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1A54A0"/>
          <w:sz w:val="19"/>
          <w:szCs w:val="19"/>
        </w:rPr>
        <w:t xml:space="preserve">FastLocations · Operations</w:t>
      </w:r>
    </w:p>
    <w:p>
      <w:pPr>
        <w:spacing w:after="60"/>
      </w:pPr>
      <w:r>
        <w:rPr>
          <w:rFonts w:ascii="Calibri" w:cs="Calibri" w:eastAsia="Calibri" w:hAnsi="Calibri"/>
          <w:b/>
          <w:bCs/>
          <w:color w:val="143F78"/>
          <w:sz w:val="56"/>
          <w:szCs w:val="56"/>
        </w:rPr>
        <w:t xml:space="preserve">Add a New Client</w:t>
      </w:r>
    </w:p>
    <w:p>
      <w:pPr>
        <w:spacing w:after="120"/>
      </w:pPr>
      <w:r>
        <w:rPr>
          <w:rFonts w:ascii="Calibri" w:cs="Calibri" w:eastAsia="Calibri" w:hAnsi="Calibri"/>
          <w:color w:val="5F6D7E"/>
          <w:sz w:val="32"/>
          <w:szCs w:val="32"/>
        </w:rPr>
        <w:t xml:space="preserve">Operations Runbook</w:t>
      </w:r>
    </w:p>
    <w:p>
      <w:pPr>
        <w:pBdr>
          <w:top w:val="single" w:color="CC2020" w:sz="6" w:space="6"/>
        </w:pBdr>
        <w:spacing w:after="160" w:before="120"/>
      </w:pPr>
      <w:r>
        <w:t xml:space="preserve"/>
      </w:r>
    </w:p>
    <w:p>
      <w:pPr>
        <w:spacing w:after="120"/>
      </w:pPr>
      <w:r>
        <w:rPr>
          <w:rFonts w:ascii="Calibri" w:cs="Calibri" w:eastAsia="Calibri" w:hAnsi="Calibri"/>
          <w:b/>
          <w:bCs/>
          <w:sz w:val="21"/>
          <w:szCs w:val="21"/>
        </w:rPr>
        <w:t xml:space="preserve">Audience:</w:t>
      </w:r>
      <w:r>
        <w:rPr>
          <w:rFonts w:ascii="Calibri" w:cs="Calibri" w:eastAsia="Calibri" w:hAnsi="Calibri"/>
          <w:sz w:val="21"/>
          <w:szCs w:val="21"/>
        </w:rPr>
        <w:t xml:space="preserve"> Whoever is putting a new organisation live — no prior knowledge of the scoring engine assumed.</w:t>
      </w:r>
    </w:p>
    <w:p>
      <w:pPr>
        <w:spacing w:after="120"/>
      </w:pPr>
      <w:r>
        <w:rPr>
          <w:rFonts w:ascii="Calibri" w:cs="Calibri" w:eastAsia="Calibri" w:hAnsi="Calibri"/>
          <w:b/>
          <w:bCs/>
          <w:sz w:val="21"/>
          <w:szCs w:val="21"/>
        </w:rPr>
        <w:t xml:space="preserve">Scope:</w:t>
      </w:r>
      <w:r>
        <w:rPr>
          <w:rFonts w:ascii="Calibri" w:cs="Calibri" w:eastAsia="Calibri" w:hAnsi="Calibri"/>
          <w:sz w:val="21"/>
          <w:szCs w:val="21"/>
        </w:rPr>
        <w:t xml:space="preserve"> All five systems a new client has to reach: the Elfsight AI assistant, the ArcGIS map record, the property scraper, the dashboard record, and the matching engine that routes leads.</w:t>
      </w:r>
    </w:p>
    <w:p>
      <w:pPr>
        <w:spacing w:after="120"/>
      </w:pPr>
      <w:r>
        <w:rPr>
          <w:rFonts w:ascii="Calibri" w:cs="Calibri" w:eastAsia="Calibri" w:hAnsi="Calibri"/>
          <w:b/>
          <w:bCs/>
          <w:sz w:val="21"/>
          <w:szCs w:val="21"/>
        </w:rPr>
        <w:t xml:space="preserve">Companion runbooks:</w:t>
      </w:r>
      <w:r>
        <w:rPr>
          <w:rFonts w:ascii="Calibri" w:cs="Calibri" w:eastAsia="Calibri" w:hAnsi="Calibri"/>
          <w:sz w:val="21"/>
          <w:szCs w:val="21"/>
        </w:rPr>
        <w:t xml:space="preserve"> Property Scraper Runbook · Organizations Data Runbook · Data Refresh Runbook.</w:t>
      </w:r>
    </w:p>
    <w:p>
      <w:pPr>
        <w:spacing w:after="160"/>
      </w:pPr>
      <w:r>
        <w:t xml:space="preserve"/>
      </w:r>
    </w:p>
    <w:p>
      <w:pPr>
        <w:pStyle w:val="Heading1"/>
        <w:spacing w:after="120" w:before="360"/>
      </w:pPr>
      <w:r>
        <w:rPr>
          <w:rFonts w:ascii="Calibri" w:cs="Calibri" w:eastAsia="Calibri" w:hAnsi="Calibri"/>
          <w:b/>
          <w:bCs/>
          <w:color w:val="143F78"/>
          <w:sz w:val="30"/>
          <w:szCs w:val="30"/>
        </w:rPr>
        <w:t xml:space="preserve">1. The short version</w:t>
      </w:r>
    </w:p>
    <w:p>
      <w:pPr>
        <w:spacing w:after="160"/>
      </w:pPr>
      <w:r>
        <w:rPr>
          <w:rFonts w:ascii="Calibri" w:cs="Calibri" w:eastAsia="Calibri" w:hAnsi="Calibri"/>
          <w:i/>
          <w:iCs/>
          <w:color w:val="5F6D7E"/>
          <w:sz w:val="21"/>
          <w:szCs w:val="21"/>
        </w:rPr>
        <w:t xml:space="preserve">If you already know the tools.</w:t>
      </w:r>
    </w:p>
    <w:p>
      <w:pPr>
        <w:spacing w:after="60" w:before="160"/>
      </w:pPr>
      <w:r>
        <w:rPr>
          <w:rFonts w:ascii="Calibri" w:cs="Calibri" w:eastAsia="Calibri" w:hAnsi="Calibri"/>
          <w:b/>
          <w:bCs/>
          <w:color w:val="1A54A0"/>
          <w:sz w:val="21"/>
          <w:szCs w:val="21"/>
        </w:rPr>
        <w:t xml:space="preserve">1.  </w:t>
      </w:r>
      <w:r>
        <w:rPr>
          <w:rFonts w:ascii="Calibri" w:cs="Calibri" w:eastAsia="Calibri" w:hAnsi="Calibri"/>
          <w:b/>
          <w:bCs/>
          <w:sz w:val="21"/>
          <w:szCs w:val="21"/>
        </w:rPr>
        <w:t xml:space="preserve">Duplicate a chatbot</w:t>
      </w:r>
    </w:p>
    <w:p>
      <w:pPr>
        <w:spacing w:after="100"/>
        <w:ind w:left="360"/>
      </w:pPr>
      <w:r>
        <w:rPr>
          <w:rFonts w:ascii="Calibri" w:cs="Calibri" w:eastAsia="Calibri" w:hAnsi="Calibri"/>
          <w:sz w:val="21"/>
          <w:szCs w:val="21"/>
        </w:rPr>
        <w:t xml:space="preserve">At dash.elfsight.com, duplicate an existing widget, point it at the client’s website, publish it, and copy its </w:t>
      </w:r>
      <w:r>
        <w:rPr>
          <w:rFonts w:ascii="Calibri" w:cs="Calibri" w:eastAsia="Calibri" w:hAnsi="Calibri"/>
          <w:b/>
          <w:bCs/>
          <w:sz w:val="21"/>
          <w:szCs w:val="21"/>
        </w:rPr>
        <w:t xml:space="preserve">Share by Link</w:t>
      </w:r>
      <w:r>
        <w:rPr>
          <w:rFonts w:ascii="Calibri" w:cs="Calibri" w:eastAsia="Calibri" w:hAnsi="Calibri"/>
          <w:sz w:val="21"/>
          <w:szCs w:val="21"/>
        </w:rPr>
        <w:t xml:space="preserve"> URL.</w:t>
      </w:r>
    </w:p>
    <w:p>
      <w:pPr>
        <w:spacing w:after="60" w:before="160"/>
      </w:pPr>
      <w:r>
        <w:rPr>
          <w:rFonts w:ascii="Calibri" w:cs="Calibri" w:eastAsia="Calibri" w:hAnsi="Calibri"/>
          <w:b/>
          <w:bCs/>
          <w:color w:val="1A54A0"/>
          <w:sz w:val="21"/>
          <w:szCs w:val="21"/>
        </w:rPr>
        <w:t xml:space="preserve">2.  </w:t>
      </w:r>
      <w:r>
        <w:rPr>
          <w:rFonts w:ascii="Calibri" w:cs="Calibri" w:eastAsia="Calibri" w:hAnsi="Calibri"/>
          <w:b/>
          <w:bCs/>
          <w:sz w:val="21"/>
          <w:szCs w:val="21"/>
        </w:rPr>
        <w:t xml:space="preserve">Put them on the map</w:t>
      </w:r>
    </w:p>
    <w:p>
      <w:pPr>
        <w:spacing w:after="100"/>
        <w:ind w:left="360"/>
      </w:pPr>
      <w:r>
        <w:rPr>
          <w:rFonts w:ascii="Calibri" w:cs="Calibri" w:eastAsia="Calibri" w:hAnsi="Calibri"/>
          <w:sz w:val="21"/>
          <w:szCs w:val="21"/>
        </w:rPr>
        <w:t xml:space="preserve">One row in </w:t>
      </w:r>
      <w:r>
        <w:rPr>
          <w:rFonts w:ascii="Consolas" w:cs="Consolas" w:eastAsia="Consolas" w:hAnsi="Consolas"/>
          <w:sz w:val="19"/>
          <w:szCs w:val="19"/>
        </w:rPr>
        <w:t xml:space="preserve">FL_Add_Client Template.csv</w:t>
      </w:r>
      <w:r>
        <w:rPr>
          <w:rFonts w:ascii="Calibri" w:cs="Calibri" w:eastAsia="Calibri" w:hAnsi="Calibri"/>
          <w:sz w:val="21"/>
          <w:szCs w:val="21"/>
        </w:rPr>
        <w:t xml:space="preserve">, uploaded to </w:t>
      </w:r>
      <w:r>
        <w:rPr>
          <w:rFonts w:ascii="Calibri" w:cs="Calibri" w:eastAsia="Calibri" w:hAnsi="Calibri"/>
          <w:b/>
          <w:bCs/>
          <w:sz w:val="21"/>
          <w:szCs w:val="21"/>
        </w:rPr>
        <w:t xml:space="preserve">AD_AI2</w:t>
      </w:r>
      <w:r>
        <w:rPr>
          <w:rFonts w:ascii="Calibri" w:cs="Calibri" w:eastAsia="Calibri" w:hAnsi="Calibri"/>
          <w:sz w:val="21"/>
          <w:szCs w:val="21"/>
        </w:rPr>
        <w:t xml:space="preserve"> in ArcGIS Online. </w:t>
      </w:r>
      <w:r>
        <w:rPr>
          <w:rFonts w:ascii="Calibri" w:cs="Calibri" w:eastAsia="Calibri" w:hAnsi="Calibri"/>
          <w:b/>
          <w:bCs/>
          <w:sz w:val="21"/>
          <w:szCs w:val="21"/>
        </w:rPr>
        <w:t xml:space="preserve">The OBJECTID you choose here is the dash ID every later step uses.</w:t>
      </w:r>
    </w:p>
    <w:p>
      <w:pPr>
        <w:spacing w:after="60" w:before="160"/>
      </w:pPr>
      <w:r>
        <w:rPr>
          <w:rFonts w:ascii="Calibri" w:cs="Calibri" w:eastAsia="Calibri" w:hAnsi="Calibri"/>
          <w:b/>
          <w:bCs/>
          <w:color w:val="1A54A0"/>
          <w:sz w:val="21"/>
          <w:szCs w:val="21"/>
        </w:rPr>
        <w:t xml:space="preserve">3.  </w:t>
      </w:r>
      <w:r>
        <w:rPr>
          <w:rFonts w:ascii="Calibri" w:cs="Calibri" w:eastAsia="Calibri" w:hAnsi="Calibri"/>
          <w:b/>
          <w:bCs/>
          <w:sz w:val="21"/>
          <w:szCs w:val="21"/>
        </w:rPr>
        <w:t xml:space="preserve">Harvest their properties</w:t>
      </w:r>
    </w:p>
    <w:p>
      <w:pPr>
        <w:spacing w:after="100"/>
        <w:ind w:left="360"/>
      </w:pPr>
      <w:r>
        <w:rPr>
          <w:rFonts w:ascii="Calibri" w:cs="Calibri" w:eastAsia="Calibri" w:hAnsi="Calibri"/>
          <w:sz w:val="21"/>
          <w:szCs w:val="21"/>
        </w:rPr>
        <w:t xml:space="preserve">Only if the client lists any. </w:t>
      </w:r>
      <w:r>
        <w:rPr>
          <w:rFonts w:ascii="Consolas" w:cs="Consolas" w:eastAsia="Consolas" w:hAnsi="Consolas"/>
          <w:sz w:val="19"/>
          <w:szCs w:val="19"/>
        </w:rPr>
        <w:t xml:space="preserve">Start_Scraper.bat</w:t>
      </w:r>
      <w:r>
        <w:rPr>
          <w:rFonts w:ascii="Calibri" w:cs="Calibri" w:eastAsia="Calibri" w:hAnsi="Calibri"/>
          <w:sz w:val="21"/>
          <w:szCs w:val="21"/>
        </w:rPr>
        <w:t xml:space="preserve"> → localhost:5000, register the account against that dash ID, run it.</w:t>
      </w:r>
    </w:p>
    <w:p>
      <w:pPr>
        <w:spacing w:after="60" w:before="160"/>
      </w:pPr>
      <w:r>
        <w:rPr>
          <w:rFonts w:ascii="Calibri" w:cs="Calibri" w:eastAsia="Calibri" w:hAnsi="Calibri"/>
          <w:b/>
          <w:bCs/>
          <w:color w:val="1A54A0"/>
          <w:sz w:val="21"/>
          <w:szCs w:val="21"/>
        </w:rPr>
        <w:t xml:space="preserve">4.  </w:t>
      </w:r>
      <w:r>
        <w:rPr>
          <w:rFonts w:ascii="Calibri" w:cs="Calibri" w:eastAsia="Calibri" w:hAnsi="Calibri"/>
          <w:b/>
          <w:bCs/>
          <w:sz w:val="21"/>
          <w:szCs w:val="21"/>
        </w:rPr>
        <w:t xml:space="preserve">Build the dashboard record</w:t>
      </w:r>
    </w:p>
    <w:p>
      <w:pPr>
        <w:spacing w:after="100"/>
        <w:ind w:left="360"/>
      </w:pPr>
      <w:r>
        <w:rPr>
          <w:rFonts w:ascii="Consolas" w:cs="Consolas" w:eastAsia="Consolas" w:hAnsi="Consolas"/>
          <w:sz w:val="19"/>
          <w:szCs w:val="19"/>
        </w:rPr>
        <w:t xml:space="preserve">Start_Organizations.bat</w:t>
      </w:r>
      <w:r>
        <w:rPr>
          <w:rFonts w:ascii="Calibri" w:cs="Calibri" w:eastAsia="Calibri" w:hAnsi="Calibri"/>
          <w:sz w:val="21"/>
          <w:szCs w:val="21"/>
        </w:rPr>
        <w:t xml:space="preserve"> → localhost:5002. Supply five fields, research the other thirty, save, then Put both data files in Dreamweaver.</w:t>
      </w:r>
    </w:p>
    <w:p>
      <w:pPr>
        <w:spacing w:after="60" w:before="160"/>
      </w:pPr>
      <w:r>
        <w:rPr>
          <w:rFonts w:ascii="Calibri" w:cs="Calibri" w:eastAsia="Calibri" w:hAnsi="Calibri"/>
          <w:b/>
          <w:bCs/>
          <w:color w:val="1A54A0"/>
          <w:sz w:val="21"/>
          <w:szCs w:val="21"/>
        </w:rPr>
        <w:t xml:space="preserve">5.  </w:t>
      </w:r>
      <w:r>
        <w:rPr>
          <w:rFonts w:ascii="Calibri" w:cs="Calibri" w:eastAsia="Calibri" w:hAnsi="Calibri"/>
          <w:b/>
          <w:bCs/>
          <w:sz w:val="21"/>
          <w:szCs w:val="21"/>
        </w:rPr>
        <w:t xml:space="preserve">Tell the matching engine</w:t>
      </w:r>
    </w:p>
    <w:p>
      <w:pPr>
        <w:spacing w:after="100"/>
        <w:ind w:left="360"/>
      </w:pPr>
      <w:r>
        <w:rPr>
          <w:rFonts w:ascii="Calibri" w:cs="Calibri" w:eastAsia="Calibri" w:hAnsi="Calibri"/>
          <w:sz w:val="21"/>
          <w:szCs w:val="21"/>
        </w:rPr>
        <w:t xml:space="preserve">Add the organisation to </w:t>
      </w:r>
      <w:r>
        <w:rPr>
          <w:rFonts w:ascii="Consolas" w:cs="Consolas" w:eastAsia="Consolas" w:hAnsi="Consolas"/>
          <w:sz w:val="19"/>
          <w:szCs w:val="19"/>
        </w:rPr>
        <w:t xml:space="preserve">edo_master_table_dual.json</w:t>
      </w:r>
      <w:r>
        <w:rPr>
          <w:rFonts w:ascii="Calibri" w:cs="Calibri" w:eastAsia="Calibri" w:hAnsi="Calibri"/>
          <w:sz w:val="21"/>
          <w:szCs w:val="21"/>
        </w:rPr>
        <w:t xml:space="preserve">, rebuild the routing indexes, push. Skip this and the client is visible everywhere but never receives a lead.</w:t>
      </w:r>
    </w:p>
    <w:p>
      <w:pPr>
        <w:spacing w:after="160"/>
      </w:pPr>
      <w:r>
        <w:t xml:space="preserve"/>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CHOOSE THE OBJECTID FIRST</w:t>
            </w:r>
          </w:p>
          <w:p>
            <w:pPr>
              <w:spacing w:after="0"/>
            </w:pPr>
            <w:r>
              <w:rPr>
                <w:rFonts w:ascii="Calibri" w:cs="Calibri" w:eastAsia="Calibri" w:hAnsi="Calibri"/>
                <w:sz w:val="21"/>
                <w:szCs w:val="21"/>
              </w:rPr>
              <w:t xml:space="preserve">Steps 2 to 5 are four separate systems that agree on one thing: a number. Decide it at step 2, write it down, and use the same value in every tool afterwards. Nothing validates this for you — each system will happily accept a different number and simply fail to join up.</w:t>
            </w:r>
          </w:p>
        </w:tc>
      </w:tr>
    </w:tbl>
    <w:p>
      <w:pPr>
        <w:spacing w:after="160"/>
      </w:pPr>
      <w:r>
        <w:t xml:space="preserve"/>
      </w:r>
    </w:p>
    <w:tbl>
      <w:tblPr>
        <w:tblW w:type="dxa" w:w="9360"/>
        <w:tblBorders>
          <w:top w:val="none" w:color="auto" w:sz="0"/>
          <w:left w:val="single" w:color="A2600B"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A2600B"/>
                <w:sz w:val="17"/>
                <w:szCs w:val="17"/>
              </w:rPr>
              <w:t xml:space="preserve">NOTHING HERE PUBLISHES ITSELF</w:t>
            </w:r>
          </w:p>
          <w:p>
            <w:pPr>
              <w:spacing w:after="0"/>
            </w:pPr>
            <w:r>
              <w:rPr>
                <w:rFonts w:ascii="Calibri" w:cs="Calibri" w:eastAsia="Calibri" w:hAnsi="Calibri"/>
                <w:sz w:val="21"/>
                <w:szCs w:val="21"/>
              </w:rPr>
              <w:t xml:space="preserve">Elfsight goes live when you press Publish. ArcGIS goes live on upload. The dashboard goes live when you Put the files in Dreamweaver. The engine goes live when Railway redeploys. Four separate acts of publishing, and a client half-added is the normal failure.</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2. Before you start</w:t>
      </w:r>
    </w:p>
    <w:p>
      <w:pPr>
        <w:spacing w:after="160"/>
      </w:pPr>
      <w:r>
        <w:rPr>
          <w:rFonts w:ascii="Calibri" w:cs="Calibri" w:eastAsia="Calibri" w:hAnsi="Calibri"/>
          <w:i/>
          <w:iCs/>
          <w:color w:val="5F6D7E"/>
          <w:sz w:val="21"/>
          <w:szCs w:val="21"/>
        </w:rPr>
        <w:t xml:space="preserve">Five minutes of gathering saves restarting at step 3.</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3000"/>
        <w:gridCol w:w="6360"/>
      </w:tblGrid>
      <w:tr>
        <w:trPr>
          <w:tblHeader/>
        </w:trPr>
        <w:tc>
          <w:tcPr>
            <w:tcW w:type="dxa" w:w="30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You need</w:t>
            </w:r>
          </w:p>
        </w:tc>
        <w:tc>
          <w:tcPr>
            <w:tcW w:type="dxa" w:w="63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For</w:t>
            </w:r>
          </w:p>
        </w:tc>
      </w:tr>
      <w:tr>
        <w:tc>
          <w:tcPr>
            <w:tcW w:type="dxa" w:w="30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client’s </w:t>
            </w:r>
            <w:r>
              <w:rPr>
                <w:rFonts w:ascii="Calibri" w:cs="Calibri" w:eastAsia="Calibri" w:hAnsi="Calibri"/>
                <w:b/>
                <w:bCs/>
                <w:sz w:val="19"/>
                <w:szCs w:val="19"/>
              </w:rPr>
              <w:t xml:space="preserve">website URL</w:t>
            </w:r>
          </w:p>
        </w:tc>
        <w:tc>
          <w:tcPr>
            <w:tcW w:type="dxa" w:w="63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Seeds the chatbot’s knowledge base (step 1) and becomes the </w:t>
            </w:r>
            <w:r>
              <w:rPr>
                <w:rFonts w:ascii="Consolas" w:cs="Consolas" w:eastAsia="Consolas" w:hAnsi="Consolas"/>
                <w:b w:val="false"/>
                <w:bCs w:val="false"/>
                <w:sz w:val="17"/>
                <w:szCs w:val="17"/>
              </w:rPr>
              <w:t xml:space="preserve">Embed</w:t>
            </w:r>
            <w:r>
              <w:rPr>
                <w:rFonts w:ascii="Calibri" w:cs="Calibri" w:eastAsia="Calibri" w:hAnsi="Calibri"/>
                <w:b w:val="false"/>
                <w:bCs w:val="false"/>
                <w:sz w:val="19"/>
                <w:szCs w:val="19"/>
              </w:rPr>
              <w:t xml:space="preserve"> value (steps 2 and 4)</w:t>
            </w:r>
          </w:p>
        </w:tc>
      </w:tr>
      <w:tr>
        <w:tc>
          <w:tcPr>
            <w:tcW w:type="dxa" w:w="30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Their </w:t>
            </w:r>
            <w:r>
              <w:rPr>
                <w:rFonts w:ascii="Calibri" w:cs="Calibri" w:eastAsia="Calibri" w:hAnsi="Calibri"/>
                <w:b/>
                <w:bCs/>
                <w:sz w:val="19"/>
                <w:szCs w:val="19"/>
              </w:rPr>
              <w:t xml:space="preserve">property-search URL</w:t>
            </w:r>
            <w:r>
              <w:rPr>
                <w:rFonts w:ascii="Calibri" w:cs="Calibri" w:eastAsia="Calibri" w:hAnsi="Calibri"/>
                <w:b w:val="false"/>
                <w:bCs w:val="false"/>
                <w:sz w:val="19"/>
                <w:szCs w:val="19"/>
              </w:rPr>
              <w:t xml:space="preserve">, if they have one</w:t>
            </w:r>
          </w:p>
        </w:tc>
        <w:tc>
          <w:tcPr>
            <w:tcW w:type="dxa" w:w="63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Step 3. If they have no property database, skip that step entirely.</w:t>
            </w:r>
          </w:p>
        </w:tc>
      </w:tr>
      <w:tr>
        <w:tc>
          <w:tcPr>
            <w:tcW w:type="dxa" w:w="30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Elfsight</w:t>
            </w:r>
            <w:r>
              <w:rPr>
                <w:rFonts w:ascii="Calibri" w:cs="Calibri" w:eastAsia="Calibri" w:hAnsi="Calibri"/>
                <w:b w:val="false"/>
                <w:bCs w:val="false"/>
                <w:sz w:val="19"/>
                <w:szCs w:val="19"/>
              </w:rPr>
              <w:t xml:space="preserve"> sign-in</w:t>
            </w:r>
          </w:p>
        </w:tc>
        <w:tc>
          <w:tcPr>
            <w:tcW w:type="dxa" w:w="63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Step 1. Check the widget allowance on the way in — the header shows it, e.g. 392 / 400.</w:t>
            </w:r>
          </w:p>
        </w:tc>
      </w:tr>
      <w:tr>
        <w:tc>
          <w:tcPr>
            <w:tcW w:type="dxa" w:w="30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ArcGIS Online</w:t>
            </w:r>
            <w:r>
              <w:rPr>
                <w:rFonts w:ascii="Calibri" w:cs="Calibri" w:eastAsia="Calibri" w:hAnsi="Calibri"/>
                <w:b w:val="false"/>
                <w:bCs w:val="false"/>
                <w:sz w:val="19"/>
                <w:szCs w:val="19"/>
              </w:rPr>
              <w:t xml:space="preserve"> sign-in — user </w:t>
            </w:r>
            <w:r>
              <w:rPr>
                <w:rFonts w:ascii="Consolas" w:cs="Consolas" w:eastAsia="Consolas" w:hAnsi="Consolas"/>
                <w:b w:val="false"/>
                <w:bCs w:val="false"/>
                <w:sz w:val="17"/>
                <w:szCs w:val="17"/>
              </w:rPr>
              <w:t xml:space="preserve">FastFacility1</w:t>
            </w:r>
          </w:p>
        </w:tc>
        <w:tc>
          <w:tcPr>
            <w:tcW w:type="dxa" w:w="63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Step 2</w:t>
            </w:r>
          </w:p>
        </w:tc>
      </w:tr>
      <w:tr>
        <w:tc>
          <w:tcPr>
            <w:tcW w:type="dxa" w:w="30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Anthropic API credit</w:t>
            </w:r>
          </w:p>
        </w:tc>
        <w:tc>
          <w:tcPr>
            <w:tcW w:type="dxa" w:w="63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Step 4 researches thirty fields for about $0.22. Click Test API keys before you begin, not during.</w:t>
            </w:r>
          </w:p>
        </w:tc>
      </w:tr>
      <w:tr>
        <w:tc>
          <w:tcPr>
            <w:tcW w:type="dxa" w:w="30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Dreamweaver</w:t>
            </w:r>
          </w:p>
        </w:tc>
        <w:tc>
          <w:tcPr>
            <w:tcW w:type="dxa" w:w="63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Publishing the dashboard files in step 4</w:t>
            </w:r>
          </w:p>
        </w:tc>
      </w:tr>
    </w:tbl>
    <w:p>
      <w:pPr>
        <w:spacing w:after="160"/>
      </w:pPr>
      <w:r>
        <w:t xml:space="preserve"/>
      </w:r>
    </w:p>
    <w:tbl>
      <w:tblPr>
        <w:tblW w:type="dxa" w:w="9360"/>
        <w:tblBorders>
          <w:top w:val="none" w:color="auto" w:sz="0"/>
          <w:left w:val="single" w:color="CC202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CC2020"/>
                <w:sz w:val="17"/>
                <w:szCs w:val="17"/>
              </w:rPr>
              <w:t xml:space="preserve">THE ARCGIS PASSWORD IS NOT IN THIS DOCUMENT</w:t>
            </w:r>
          </w:p>
          <w:p>
            <w:pPr>
              <w:spacing w:after="0"/>
            </w:pPr>
            <w:r>
              <w:rPr>
                <w:rFonts w:ascii="Calibri" w:cs="Calibri" w:eastAsia="Calibri" w:hAnsi="Calibri"/>
                <w:sz w:val="21"/>
                <w:szCs w:val="21"/>
              </w:rPr>
              <w:t xml:space="preserve">Deliberately. This runbook is version-controlled and sits in a web-served folder, so a password written here is a password published. Keep it in your password manager alongside the Elfsight and Anthropic credentials.</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3. Step 1 · The AI assistant</w:t>
      </w:r>
    </w:p>
    <w:p>
      <w:pPr>
        <w:spacing w:after="160"/>
      </w:pPr>
      <w:r>
        <w:rPr>
          <w:rFonts w:ascii="Calibri" w:cs="Calibri" w:eastAsia="Calibri" w:hAnsi="Calibri"/>
          <w:i/>
          <w:iCs/>
          <w:color w:val="5F6D7E"/>
          <w:sz w:val="21"/>
          <w:szCs w:val="21"/>
        </w:rPr>
        <w:t xml:space="preserve">Elfsight. The output of this step is a single URL, and everything else in it exists to produce that URL.</w:t>
      </w:r>
    </w:p>
    <w:p>
      <w:pPr>
        <w:spacing w:after="60" w:before="160"/>
      </w:pPr>
      <w:r>
        <w:rPr>
          <w:rFonts w:ascii="Calibri" w:cs="Calibri" w:eastAsia="Calibri" w:hAnsi="Calibri"/>
          <w:b/>
          <w:bCs/>
          <w:color w:val="1A54A0"/>
          <w:sz w:val="21"/>
          <w:szCs w:val="21"/>
        </w:rPr>
        <w:t xml:space="preserve">1.  </w:t>
      </w:r>
      <w:r>
        <w:rPr>
          <w:rFonts w:ascii="Calibri" w:cs="Calibri" w:eastAsia="Calibri" w:hAnsi="Calibri"/>
          <w:b/>
          <w:bCs/>
          <w:sz w:val="21"/>
          <w:szCs w:val="21"/>
        </w:rPr>
        <w:t xml:space="preserve">Duplicate an existing chatbot</w:t>
      </w:r>
    </w:p>
    <w:p>
      <w:pPr>
        <w:spacing w:after="100"/>
        <w:ind w:left="360"/>
      </w:pPr>
      <w:r>
        <w:rPr>
          <w:rFonts w:ascii="Calibri" w:cs="Calibri" w:eastAsia="Calibri" w:hAnsi="Calibri"/>
          <w:sz w:val="21"/>
          <w:szCs w:val="21"/>
        </w:rPr>
        <w:t xml:space="preserve">Sign in to dash.elfsight.com/apps/ai-chatbot, pick a widget you are happy with, and choose </w:t>
      </w:r>
      <w:r>
        <w:rPr>
          <w:rFonts w:ascii="Calibri" w:cs="Calibri" w:eastAsia="Calibri" w:hAnsi="Calibri"/>
          <w:b/>
          <w:bCs/>
          <w:sz w:val="21"/>
          <w:szCs w:val="21"/>
        </w:rPr>
        <w:t xml:space="preserve">Duplicate</w:t>
      </w:r>
      <w:r>
        <w:rPr>
          <w:rFonts w:ascii="Calibri" w:cs="Calibri" w:eastAsia="Calibri" w:hAnsi="Calibri"/>
          <w:sz w:val="21"/>
          <w:szCs w:val="21"/>
        </w:rPr>
        <w:t xml:space="preserve"> from its … menu.</w:t>
      </w:r>
    </w:p>
    <w:p>
      <w:pPr>
        <w:spacing w:after="100"/>
        <w:ind w:left="360"/>
      </w:pPr>
      <w:r>
        <w:rPr>
          <w:rFonts w:ascii="Calibri" w:cs="Calibri" w:eastAsia="Calibri" w:hAnsi="Calibri"/>
          <w:sz w:val="21"/>
          <w:szCs w:val="21"/>
        </w:rPr>
        <w:t xml:space="preserve">Duplicate rather than Create Widget: the copy inherits the placement, theme, visibility and email settings already tuned for FastLocations, so the only thing left to change is the knowledge base.</w:t>
      </w:r>
    </w:p>
    <w:p>
      <w:pPr>
        <w:spacing w:after="40" w:before="60"/>
        <w:ind w:left="360"/>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90975"/>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The … menu on any existing widget → Duplicate.</w:t>
      </w:r>
    </w:p>
    <w:p>
      <w:pPr>
        <w:spacing w:after="60" w:before="160"/>
      </w:pPr>
      <w:r>
        <w:rPr>
          <w:rFonts w:ascii="Calibri" w:cs="Calibri" w:eastAsia="Calibri" w:hAnsi="Calibri"/>
          <w:b/>
          <w:bCs/>
          <w:color w:val="1A54A0"/>
          <w:sz w:val="21"/>
          <w:szCs w:val="21"/>
        </w:rPr>
        <w:t xml:space="preserve">2.  </w:t>
      </w:r>
      <w:r>
        <w:rPr>
          <w:rFonts w:ascii="Calibri" w:cs="Calibri" w:eastAsia="Calibri" w:hAnsi="Calibri"/>
          <w:b/>
          <w:bCs/>
          <w:sz w:val="21"/>
          <w:szCs w:val="21"/>
        </w:rPr>
        <w:t xml:space="preserve">Open the copy</w:t>
      </w:r>
    </w:p>
    <w:p>
      <w:pPr>
        <w:spacing w:after="100"/>
        <w:ind w:left="360"/>
      </w:pPr>
      <w:r>
        <w:rPr>
          <w:rFonts w:ascii="Calibri" w:cs="Calibri" w:eastAsia="Calibri" w:hAnsi="Calibri"/>
          <w:sz w:val="21"/>
          <w:szCs w:val="21"/>
        </w:rPr>
        <w:t xml:space="preserve">It appears at the top of the list as “&lt;name&gt; Copy”, with its project showing as “—”. Click </w:t>
      </w:r>
      <w:r>
        <w:rPr>
          <w:rFonts w:ascii="Calibri" w:cs="Calibri" w:eastAsia="Calibri" w:hAnsi="Calibri"/>
          <w:b/>
          <w:bCs/>
          <w:sz w:val="21"/>
          <w:szCs w:val="21"/>
        </w:rPr>
        <w:t xml:space="preserve">Edit</w:t>
      </w:r>
      <w:r>
        <w:rPr>
          <w:rFonts w:ascii="Calibri" w:cs="Calibri" w:eastAsia="Calibri" w:hAnsi="Calibri"/>
          <w:sz w:val="21"/>
          <w:szCs w:val="21"/>
        </w:rPr>
        <w:t xml:space="preserve">.</w:t>
      </w:r>
    </w:p>
    <w:p>
      <w:pPr>
        <w:spacing w:after="40" w:before="60"/>
        <w:ind w:left="360"/>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9545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The duplicate arrives unassigned — note the project column reads “—”.</w:t>
      </w:r>
    </w:p>
    <w:p>
      <w:pPr>
        <w:spacing w:after="60" w:before="160"/>
      </w:pPr>
      <w:r>
        <w:rPr>
          <w:rFonts w:ascii="Calibri" w:cs="Calibri" w:eastAsia="Calibri" w:hAnsi="Calibri"/>
          <w:b/>
          <w:bCs/>
          <w:color w:val="1A54A0"/>
          <w:sz w:val="21"/>
          <w:szCs w:val="21"/>
        </w:rPr>
        <w:t xml:space="preserve">3.  </w:t>
      </w:r>
      <w:r>
        <w:rPr>
          <w:rFonts w:ascii="Calibri" w:cs="Calibri" w:eastAsia="Calibri" w:hAnsi="Calibri"/>
          <w:b/>
          <w:bCs/>
          <w:sz w:val="21"/>
          <w:szCs w:val="21"/>
        </w:rPr>
        <w:t xml:space="preserve">Point it at the client’s site</w:t>
      </w:r>
    </w:p>
    <w:p>
      <w:pPr>
        <w:spacing w:after="100"/>
        <w:ind w:left="360"/>
      </w:pPr>
      <w:r>
        <w:rPr>
          <w:rFonts w:ascii="Calibri" w:cs="Calibri" w:eastAsia="Calibri" w:hAnsi="Calibri"/>
          <w:sz w:val="21"/>
          <w:szCs w:val="21"/>
        </w:rPr>
        <w:t xml:space="preserve">Paste the client’s URL and let Elfsight scan. It reads the site, builds a knowledge base from the content it finds, and shapes a name, icon, role and tone of voice from it.</w:t>
      </w:r>
    </w:p>
    <w:p>
      <w:pPr>
        <w:spacing w:after="40" w:before="60"/>
        <w:ind w:left="360"/>
      </w:pPr>
      <w:r>
        <w:drawing>
          <wp:inline distT="0" distB="0" distL="0" distR="0">
            <wp:extent cx="487680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76800" cy="582930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One URL does the work: scan the site, build the knowledge base, shape the personality.</w:t>
      </w:r>
    </w:p>
    <w:p>
      <w:pPr>
        <w:spacing w:after="60" w:before="160"/>
      </w:pPr>
      <w:r>
        <w:rPr>
          <w:rFonts w:ascii="Calibri" w:cs="Calibri" w:eastAsia="Calibri" w:hAnsi="Calibri"/>
          <w:b/>
          <w:bCs/>
          <w:color w:val="1A54A0"/>
          <w:sz w:val="21"/>
          <w:szCs w:val="21"/>
        </w:rPr>
        <w:t xml:space="preserve">4.  </w:t>
      </w:r>
      <w:r>
        <w:rPr>
          <w:rFonts w:ascii="Calibri" w:cs="Calibri" w:eastAsia="Calibri" w:hAnsi="Calibri"/>
          <w:b/>
          <w:bCs/>
          <w:sz w:val="21"/>
          <w:szCs w:val="21"/>
        </w:rPr>
        <w:t xml:space="preserve">Check the settings, rename, assign, publish</w:t>
      </w:r>
    </w:p>
    <w:p>
      <w:pPr>
        <w:spacing w:after="100"/>
        <w:ind w:left="360"/>
      </w:pPr>
      <w:r>
        <w:rPr>
          <w:rFonts w:ascii="Calibri" w:cs="Calibri" w:eastAsia="Calibri" w:hAnsi="Calibri"/>
          <w:sz w:val="21"/>
          <w:szCs w:val="21"/>
        </w:rPr>
        <w:t xml:space="preserve">Work through </w:t>
      </w:r>
      <w:r>
        <w:rPr>
          <w:rFonts w:ascii="Calibri" w:cs="Calibri" w:eastAsia="Calibri" w:hAnsi="Calibri"/>
          <w:b/>
          <w:bCs/>
          <w:sz w:val="21"/>
          <w:szCs w:val="21"/>
        </w:rPr>
        <w:t xml:space="preserve">Placement &amp; Layout</w:t>
      </w:r>
      <w:r>
        <w:rPr>
          <w:rFonts w:ascii="Calibri" w:cs="Calibri" w:eastAsia="Calibri" w:hAnsi="Calibri"/>
          <w:sz w:val="21"/>
          <w:szCs w:val="21"/>
        </w:rPr>
        <w:t xml:space="preserve">, </w:t>
      </w:r>
      <w:r>
        <w:rPr>
          <w:rFonts w:ascii="Calibri" w:cs="Calibri" w:eastAsia="Calibri" w:hAnsi="Calibri"/>
          <w:b/>
          <w:bCs/>
          <w:sz w:val="21"/>
          <w:szCs w:val="21"/>
        </w:rPr>
        <w:t xml:space="preserve">Theme</w:t>
      </w:r>
      <w:r>
        <w:rPr>
          <w:rFonts w:ascii="Calibri" w:cs="Calibri" w:eastAsia="Calibri" w:hAnsi="Calibri"/>
          <w:sz w:val="21"/>
          <w:szCs w:val="21"/>
        </w:rPr>
        <w:t xml:space="preserve">, </w:t>
      </w:r>
      <w:r>
        <w:rPr>
          <w:rFonts w:ascii="Calibri" w:cs="Calibri" w:eastAsia="Calibri" w:hAnsi="Calibri"/>
          <w:b/>
          <w:bCs/>
          <w:sz w:val="21"/>
          <w:szCs w:val="21"/>
        </w:rPr>
        <w:t xml:space="preserve">Visibility</w:t>
      </w:r>
      <w:r>
        <w:rPr>
          <w:rFonts w:ascii="Calibri" w:cs="Calibri" w:eastAsia="Calibri" w:hAnsi="Calibri"/>
          <w:sz w:val="21"/>
          <w:szCs w:val="21"/>
        </w:rPr>
        <w:t xml:space="preserve"> and </w:t>
      </w:r>
      <w:r>
        <w:rPr>
          <w:rFonts w:ascii="Calibri" w:cs="Calibri" w:eastAsia="Calibri" w:hAnsi="Calibri"/>
          <w:b/>
          <w:bCs/>
          <w:sz w:val="21"/>
          <w:szCs w:val="21"/>
        </w:rPr>
        <w:t xml:space="preserve">Email Notifications</w:t>
      </w:r>
      <w:r>
        <w:rPr>
          <w:rFonts w:ascii="Calibri" w:cs="Calibri" w:eastAsia="Calibri" w:hAnsi="Calibri"/>
          <w:sz w:val="21"/>
          <w:szCs w:val="21"/>
        </w:rPr>
        <w:t xml:space="preserve">, then rename the widget from “… Copy” to the client’s name and press </w:t>
      </w:r>
      <w:r>
        <w:rPr>
          <w:rFonts w:ascii="Calibri" w:cs="Calibri" w:eastAsia="Calibri" w:hAnsi="Calibri"/>
          <w:b/>
          <w:bCs/>
          <w:sz w:val="21"/>
          <w:szCs w:val="21"/>
        </w:rPr>
        <w:t xml:space="preserve">Publish</w:t>
      </w:r>
      <w:r>
        <w:rPr>
          <w:rFonts w:ascii="Calibri" w:cs="Calibri" w:eastAsia="Calibri" w:hAnsi="Calibri"/>
          <w:sz w:val="21"/>
          <w:szCs w:val="21"/>
        </w:rPr>
        <w:t xml:space="preserve">.</w:t>
      </w:r>
    </w:p>
    <w:p>
      <w:pPr>
        <w:spacing w:after="40" w:before="60"/>
        <w:ind w:left="360"/>
      </w:pPr>
      <w:r>
        <w:drawing>
          <wp:inline distT="0" distB="0" distL="0" distR="0">
            <wp:extent cx="5715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47775"/>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Publish is the only thing that makes the widget answer.</w:t>
      </w:r>
    </w:p>
    <w:tbl>
      <w:tblPr>
        <w:tblW w:type="dxa" w:w="9360"/>
        <w:tblBorders>
          <w:top w:val="none" w:color="auto" w:sz="0"/>
          <w:left w:val="single" w:color="A2600B"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A2600B"/>
                <w:sz w:val="17"/>
                <w:szCs w:val="17"/>
              </w:rPr>
              <w:t xml:space="preserve">ASSIGN IT TO THE FASTLOCATIONS PROJECT</w:t>
            </w:r>
          </w:p>
          <w:p>
            <w:pPr>
              <w:spacing w:after="0"/>
            </w:pPr>
            <w:r>
              <w:rPr>
                <w:rFonts w:ascii="Calibri" w:cs="Calibri" w:eastAsia="Calibri" w:hAnsi="Calibri"/>
                <w:sz w:val="21"/>
                <w:szCs w:val="21"/>
              </w:rPr>
              <w:t xml:space="preserve">A duplicate is created outside any project. Leave it that way and the widget works perfectly but drops out of the FastLocations list, which is how you find it again in a year. Use Assign to Project… in the same … menu.</w:t>
            </w:r>
          </w:p>
        </w:tc>
      </w:tr>
    </w:tbl>
    <w:p>
      <w:pPr>
        <w:spacing w:after="160"/>
      </w:pPr>
      <w:r>
        <w:t xml:space="preserve"/>
      </w:r>
    </w:p>
    <w:p>
      <w:pPr>
        <w:spacing w:after="60" w:before="160"/>
      </w:pPr>
      <w:r>
        <w:rPr>
          <w:rFonts w:ascii="Calibri" w:cs="Calibri" w:eastAsia="Calibri" w:hAnsi="Calibri"/>
          <w:b/>
          <w:bCs/>
          <w:color w:val="1A54A0"/>
          <w:sz w:val="21"/>
          <w:szCs w:val="21"/>
        </w:rPr>
        <w:t xml:space="preserve">5.  </w:t>
      </w:r>
      <w:r>
        <w:rPr>
          <w:rFonts w:ascii="Calibri" w:cs="Calibri" w:eastAsia="Calibri" w:hAnsi="Calibri"/>
          <w:b/>
          <w:bCs/>
          <w:sz w:val="21"/>
          <w:szCs w:val="21"/>
        </w:rPr>
        <w:t xml:space="preserve">Copy the share link</w:t>
      </w:r>
    </w:p>
    <w:p>
      <w:pPr>
        <w:spacing w:after="100"/>
        <w:ind w:left="360"/>
      </w:pPr>
      <w:r>
        <w:rPr>
          <w:rFonts w:ascii="Calibri" w:cs="Calibri" w:eastAsia="Calibri" w:hAnsi="Calibri"/>
          <w:sz w:val="21"/>
          <w:szCs w:val="21"/>
        </w:rPr>
        <w:t xml:space="preserve">From the widget’s … menu choose </w:t>
      </w:r>
      <w:r>
        <w:rPr>
          <w:rFonts w:ascii="Calibri" w:cs="Calibri" w:eastAsia="Calibri" w:hAnsi="Calibri"/>
          <w:b/>
          <w:bCs/>
          <w:sz w:val="21"/>
          <w:szCs w:val="21"/>
        </w:rPr>
        <w:t xml:space="preserve">Share by Link</w:t>
      </w:r>
      <w:r>
        <w:rPr>
          <w:rFonts w:ascii="Calibri" w:cs="Calibri" w:eastAsia="Calibri" w:hAnsi="Calibri"/>
          <w:sz w:val="21"/>
          <w:szCs w:val="21"/>
        </w:rPr>
        <w:t xml:space="preserve">, then </w:t>
      </w:r>
      <w:r>
        <w:rPr>
          <w:rFonts w:ascii="Calibri" w:cs="Calibri" w:eastAsia="Calibri" w:hAnsi="Calibri"/>
          <w:b/>
          <w:bCs/>
          <w:sz w:val="21"/>
          <w:szCs w:val="21"/>
        </w:rPr>
        <w:t xml:space="preserve">Copy Link</w:t>
      </w:r>
      <w:r>
        <w:rPr>
          <w:rFonts w:ascii="Calibri" w:cs="Calibri" w:eastAsia="Calibri" w:hAnsi="Calibri"/>
          <w:sz w:val="21"/>
          <w:szCs w:val="21"/>
        </w:rPr>
        <w:t xml:space="preserve">. Not </w:t>
      </w:r>
      <w:r>
        <w:rPr>
          <w:rFonts w:ascii="Calibri" w:cs="Calibri" w:eastAsia="Calibri" w:hAnsi="Calibri"/>
          <w:b/>
          <w:bCs/>
          <w:sz w:val="21"/>
          <w:szCs w:val="21"/>
        </w:rPr>
        <w:t xml:space="preserve">Embed Code</w:t>
      </w:r>
      <w:r>
        <w:rPr>
          <w:rFonts w:ascii="Calibri" w:cs="Calibri" w:eastAsia="Calibri" w:hAnsi="Calibri"/>
          <w:sz w:val="21"/>
          <w:szCs w:val="21"/>
        </w:rPr>
        <w:t xml:space="preserve"> — the map and the dashboard both want a plain URL.</w:t>
      </w:r>
    </w:p>
    <w:p>
      <w:pPr>
        <w:spacing w:after="40" w:before="60"/>
        <w:ind w:left="360"/>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Share by Link, not Embed Code.</w:t>
      </w:r>
    </w:p>
    <w:p>
      <w:pPr>
        <w:spacing w:after="40" w:before="60"/>
        <w:ind w:left="360"/>
      </w:pPr>
      <w:r>
        <w:drawing>
          <wp:inline distT="0" distB="0" distL="0" distR="0">
            <wp:extent cx="5715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0975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The result is a bare elf.site URL. This is the AI Link.</w:t>
      </w:r>
    </w:p>
    <w:p>
      <w:pPr>
        <w:spacing w:after="120"/>
      </w:pPr>
      <w:r>
        <w:rPr>
          <w:rFonts w:ascii="Calibri" w:cs="Calibri" w:eastAsia="Calibri" w:hAnsi="Calibri"/>
          <w:sz w:val="21"/>
          <w:szCs w:val="21"/>
        </w:rPr>
        <w:t xml:space="preserve">It takes the form </w:t>
      </w:r>
      <w:r>
        <w:rPr>
          <w:rFonts w:ascii="Consolas" w:cs="Consolas" w:eastAsia="Consolas" w:hAnsi="Consolas"/>
          <w:sz w:val="19"/>
          <w:szCs w:val="19"/>
        </w:rPr>
        <w:t xml:space="preserve">https://1c1a624b45604350bd28837bc0512d41.elf.site</w:t>
      </w:r>
      <w:r>
        <w:rPr>
          <w:rFonts w:ascii="Calibri" w:cs="Calibri" w:eastAsia="Calibri" w:hAnsi="Calibri"/>
          <w:sz w:val="21"/>
          <w:szCs w:val="21"/>
        </w:rPr>
        <w:t xml:space="preserve">. Keep it on the clipboard — you need it twice, in step 2 and again in step 4.</w:t>
      </w:r>
    </w:p>
    <w:p>
      <w:pPr>
        <w:pStyle w:val="Heading1"/>
        <w:spacing w:after="120" w:before="360"/>
      </w:pPr>
      <w:r>
        <w:rPr>
          <w:rFonts w:ascii="Calibri" w:cs="Calibri" w:eastAsia="Calibri" w:hAnsi="Calibri"/>
          <w:b/>
          <w:bCs/>
          <w:color w:val="143F78"/>
          <w:sz w:val="30"/>
          <w:szCs w:val="30"/>
        </w:rPr>
        <w:t xml:space="preserve">4. Step 2 · The map record</w:t>
      </w:r>
    </w:p>
    <w:p>
      <w:pPr>
        <w:spacing w:after="160"/>
      </w:pPr>
      <w:r>
        <w:rPr>
          <w:rFonts w:ascii="Calibri" w:cs="Calibri" w:eastAsia="Calibri" w:hAnsi="Calibri"/>
          <w:i/>
          <w:iCs/>
          <w:color w:val="5F6D7E"/>
          <w:sz w:val="21"/>
          <w:szCs w:val="21"/>
        </w:rPr>
        <w:t xml:space="preserve">ArcGIS Online, the AD_AI2 hosted feature layer. This is where the OBJECTID is decided.</w:t>
      </w:r>
    </w:p>
    <w:p>
      <w:pPr>
        <w:pStyle w:val="Heading3"/>
        <w:spacing w:after="80" w:before="200"/>
      </w:pPr>
      <w:r>
        <w:rPr>
          <w:rFonts w:ascii="Calibri" w:cs="Calibri" w:eastAsia="Calibri" w:hAnsi="Calibri"/>
          <w:b/>
          <w:bCs/>
          <w:color w:val="39455A"/>
          <w:sz w:val="22"/>
          <w:szCs w:val="22"/>
        </w:rPr>
        <w:t xml:space="preserve">Fill in the template row</w:t>
      </w:r>
    </w:p>
    <w:p>
      <w:pPr>
        <w:spacing w:after="120"/>
      </w:pPr>
      <w:r>
        <w:rPr>
          <w:rFonts w:ascii="Calibri" w:cs="Calibri" w:eastAsia="Calibri" w:hAnsi="Calibri"/>
          <w:sz w:val="21"/>
          <w:szCs w:val="21"/>
        </w:rPr>
        <w:t xml:space="preserve">Open </w:t>
      </w:r>
      <w:r>
        <w:rPr>
          <w:rFonts w:ascii="Consolas" w:cs="Consolas" w:eastAsia="Consolas" w:hAnsi="Consolas"/>
          <w:sz w:val="19"/>
          <w:szCs w:val="19"/>
        </w:rPr>
        <w:t xml:space="preserve">FL_Add_Client Template.csv</w:t>
      </w:r>
      <w:r>
        <w:rPr>
          <w:rFonts w:ascii="Calibri" w:cs="Calibri" w:eastAsia="Calibri" w:hAnsi="Calibri"/>
          <w:sz w:val="21"/>
          <w:szCs w:val="21"/>
        </w:rPr>
        <w:t xml:space="preserve"> in the FastLocations folder and replace the template values with the client’s. Three fields carry more weight than the rest: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200"/>
        <w:gridCol w:w="7160"/>
      </w:tblGrid>
      <w:tr>
        <w:trPr>
          <w:tblHeader/>
        </w:trPr>
        <w:tc>
          <w:tcPr>
            <w:tcW w:type="dxa" w:w="22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Field</w:t>
            </w:r>
          </w:p>
        </w:tc>
        <w:tc>
          <w:tcPr>
            <w:tcW w:type="dxa" w:w="71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Value</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new number, </w:t>
            </w:r>
            <w:r>
              <w:rPr>
                <w:rFonts w:ascii="Calibri" w:cs="Calibri" w:eastAsia="Calibri" w:hAnsi="Calibri"/>
                <w:b/>
                <w:bCs/>
                <w:sz w:val="19"/>
                <w:szCs w:val="19"/>
              </w:rPr>
              <w:t xml:space="preserve">larger than the last entry</w:t>
            </w:r>
            <w:r>
              <w:rPr>
                <w:rFonts w:ascii="Calibri" w:cs="Calibri" w:eastAsia="Calibri" w:hAnsi="Calibri"/>
                <w:b w:val="false"/>
                <w:bCs w:val="false"/>
                <w:sz w:val="19"/>
                <w:szCs w:val="19"/>
              </w:rPr>
              <w:t xml:space="preserve">. This becomes the dash ID used by every other system.</w:t>
            </w:r>
          </w:p>
        </w:tc>
      </w:tr>
      <w:tr>
        <w:tc>
          <w:tcPr>
            <w:tcW w:type="dxa" w:w="22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AI Link</w:t>
            </w:r>
          </w:p>
        </w:tc>
        <w:tc>
          <w:tcPr>
            <w:tcW w:type="dxa" w:w="7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t>
            </w:r>
            <w:r>
              <w:rPr>
                <w:rFonts w:ascii="Consolas" w:cs="Consolas" w:eastAsia="Consolas" w:hAnsi="Consolas"/>
                <w:b w:val="false"/>
                <w:bCs w:val="false"/>
                <w:sz w:val="17"/>
                <w:szCs w:val="17"/>
              </w:rPr>
              <w:t xml:space="preserve">elf.site</w:t>
            </w:r>
            <w:r>
              <w:rPr>
                <w:rFonts w:ascii="Calibri" w:cs="Calibri" w:eastAsia="Calibri" w:hAnsi="Calibri"/>
                <w:b w:val="false"/>
                <w:bCs w:val="false"/>
                <w:sz w:val="19"/>
                <w:szCs w:val="19"/>
              </w:rPr>
              <w:t xml:space="preserve"> URL from step 1.</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Embed</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client’s current website URL.</w:t>
            </w:r>
          </w:p>
        </w:tc>
      </w:tr>
    </w:tbl>
    <w:p>
      <w:pPr>
        <w:spacing w:after="160"/>
      </w:pPr>
      <w:r>
        <w:t xml:space="preserve"/>
      </w:r>
    </w:p>
    <w:p>
      <w:pPr>
        <w:spacing w:after="120"/>
      </w:pPr>
      <w:r>
        <w:rPr>
          <w:rFonts w:ascii="Calibri" w:cs="Calibri" w:eastAsia="Calibri" w:hAnsi="Calibri"/>
          <w:sz w:val="21"/>
          <w:szCs w:val="21"/>
        </w:rPr>
        <w:t xml:space="preserve">You can stage several clients in one CSV and add them together; the steps below are identical.</w:t>
      </w:r>
    </w:p>
    <w:p>
      <w:pPr>
        <w:pStyle w:val="Heading3"/>
        <w:spacing w:after="80" w:before="200"/>
      </w:pPr>
      <w:r>
        <w:rPr>
          <w:rFonts w:ascii="Calibri" w:cs="Calibri" w:eastAsia="Calibri" w:hAnsi="Calibri"/>
          <w:b/>
          <w:bCs/>
          <w:color w:val="39455A"/>
          <w:sz w:val="22"/>
          <w:szCs w:val="22"/>
        </w:rPr>
        <w:t xml:space="preserve">Upload it</w:t>
      </w:r>
    </w:p>
    <w:p>
      <w:pPr>
        <w:spacing w:after="60" w:before="160"/>
      </w:pPr>
      <w:r>
        <w:rPr>
          <w:rFonts w:ascii="Calibri" w:cs="Calibri" w:eastAsia="Calibri" w:hAnsi="Calibri"/>
          <w:b/>
          <w:bCs/>
          <w:color w:val="1A54A0"/>
          <w:sz w:val="21"/>
          <w:szCs w:val="21"/>
        </w:rPr>
        <w:t xml:space="preserve">1.  </w:t>
      </w:r>
      <w:r>
        <w:rPr>
          <w:rFonts w:ascii="Calibri" w:cs="Calibri" w:eastAsia="Calibri" w:hAnsi="Calibri"/>
          <w:b/>
          <w:bCs/>
          <w:sz w:val="21"/>
          <w:szCs w:val="21"/>
        </w:rPr>
        <w:t xml:space="preserve">Find the layer</w:t>
      </w:r>
    </w:p>
    <w:p>
      <w:pPr>
        <w:spacing w:after="100"/>
        <w:ind w:left="360"/>
      </w:pPr>
      <w:r>
        <w:rPr>
          <w:rFonts w:ascii="Calibri" w:cs="Calibri" w:eastAsia="Calibri" w:hAnsi="Calibri"/>
          <w:sz w:val="21"/>
          <w:szCs w:val="21"/>
        </w:rPr>
        <w:t xml:space="preserve">Sign in at arcgis.com, then </w:t>
      </w:r>
      <w:r>
        <w:rPr>
          <w:rFonts w:ascii="Calibri" w:cs="Calibri" w:eastAsia="Calibri" w:hAnsi="Calibri"/>
          <w:b/>
          <w:bCs/>
          <w:sz w:val="21"/>
          <w:szCs w:val="21"/>
        </w:rPr>
        <w:t xml:space="preserve">Content → My favorites → AD_AI2</w:t>
      </w:r>
      <w:r>
        <w:rPr>
          <w:rFonts w:ascii="Calibri" w:cs="Calibri" w:eastAsia="Calibri" w:hAnsi="Calibri"/>
          <w:sz w:val="21"/>
          <w:szCs w:val="21"/>
        </w:rPr>
        <w:t xml:space="preserve">. It is the hosted feature layer, not either of the web maps beside it.</w:t>
      </w:r>
    </w:p>
    <w:p>
      <w:pPr>
        <w:spacing w:after="40" w:before="60"/>
        <w:ind w:left="360"/>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4790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Content → My favorites. AD_AI2 is the Feature layer (hosted) row.</w:t>
      </w:r>
    </w:p>
    <w:p>
      <w:pPr>
        <w:spacing w:after="60" w:before="160"/>
      </w:pPr>
      <w:r>
        <w:rPr>
          <w:rFonts w:ascii="Calibri" w:cs="Calibri" w:eastAsia="Calibri" w:hAnsi="Calibri"/>
          <w:b/>
          <w:bCs/>
          <w:color w:val="1A54A0"/>
          <w:sz w:val="21"/>
          <w:szCs w:val="21"/>
        </w:rPr>
        <w:t xml:space="preserve">2.  </w:t>
      </w:r>
      <w:r>
        <w:rPr>
          <w:rFonts w:ascii="Calibri" w:cs="Calibri" w:eastAsia="Calibri" w:hAnsi="Calibri"/>
          <w:b/>
          <w:bCs/>
          <w:sz w:val="21"/>
          <w:szCs w:val="21"/>
        </w:rPr>
        <w:t xml:space="preserve">Open the Data tab</w:t>
      </w:r>
    </w:p>
    <w:p>
      <w:pPr>
        <w:spacing w:after="40" w:before="60"/>
        <w:ind w:left="360"/>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1460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The item page. Data, not Visualization.</w:t>
      </w:r>
    </w:p>
    <w:p>
      <w:pPr>
        <w:spacing w:after="60" w:before="160"/>
      </w:pPr>
      <w:r>
        <w:rPr>
          <w:rFonts w:ascii="Calibri" w:cs="Calibri" w:eastAsia="Calibri" w:hAnsi="Calibri"/>
          <w:b/>
          <w:bCs/>
          <w:color w:val="1A54A0"/>
          <w:sz w:val="21"/>
          <w:szCs w:val="21"/>
        </w:rPr>
        <w:t xml:space="preserve">3.  </w:t>
      </w:r>
      <w:r>
        <w:rPr>
          <w:rFonts w:ascii="Calibri" w:cs="Calibri" w:eastAsia="Calibri" w:hAnsi="Calibri"/>
          <w:b/>
          <w:bCs/>
          <w:sz w:val="21"/>
          <w:szCs w:val="21"/>
        </w:rPr>
        <w:t xml:space="preserve">Update data → Update from a file</w:t>
      </w:r>
    </w:p>
    <w:p>
      <w:pPr>
        <w:spacing w:after="100"/>
        <w:ind w:left="360"/>
      </w:pPr>
      <w:r>
        <w:rPr>
          <w:rFonts w:ascii="Calibri" w:cs="Calibri" w:eastAsia="Calibri" w:hAnsi="Calibri"/>
          <w:sz w:val="21"/>
          <w:szCs w:val="21"/>
        </w:rPr>
        <w:t xml:space="preserve">In the left column of the table view. The layer underneath is </w:t>
      </w:r>
      <w:r>
        <w:rPr>
          <w:rFonts w:ascii="Consolas" w:cs="Consolas" w:eastAsia="Consolas" w:hAnsi="Consolas"/>
          <w:sz w:val="19"/>
          <w:szCs w:val="19"/>
        </w:rPr>
        <w:t xml:space="preserve">EDs_ai_XYTableToPoint12a</w:t>
      </w:r>
      <w:r>
        <w:rPr>
          <w:rFonts w:ascii="Calibri" w:cs="Calibri" w:eastAsia="Calibri" w:hAnsi="Calibri"/>
          <w:sz w:val="21"/>
          <w:szCs w:val="21"/>
        </w:rPr>
        <w:t xml:space="preserve">.</w:t>
      </w:r>
    </w:p>
    <w:p>
      <w:pPr>
        <w:spacing w:after="40" w:before="60"/>
        <w:ind w:left="360"/>
      </w:pPr>
      <w:r>
        <w:drawing>
          <wp:inline distT="0" distB="0" distL="0" distR="0">
            <wp:extent cx="571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3385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Update data → Update from a file.</w:t>
      </w:r>
    </w:p>
    <w:p>
      <w:pPr>
        <w:spacing w:after="60" w:before="160"/>
      </w:pPr>
      <w:r>
        <w:rPr>
          <w:rFonts w:ascii="Calibri" w:cs="Calibri" w:eastAsia="Calibri" w:hAnsi="Calibri"/>
          <w:b/>
          <w:bCs/>
          <w:color w:val="1A54A0"/>
          <w:sz w:val="21"/>
          <w:szCs w:val="21"/>
        </w:rPr>
        <w:t xml:space="preserve">4.  </w:t>
      </w:r>
      <w:r>
        <w:rPr>
          <w:rFonts w:ascii="Calibri" w:cs="Calibri" w:eastAsia="Calibri" w:hAnsi="Calibri"/>
          <w:b/>
          <w:bCs/>
          <w:sz w:val="21"/>
          <w:szCs w:val="21"/>
        </w:rPr>
        <w:t xml:space="preserve">Choose Add features</w:t>
      </w:r>
    </w:p>
    <w:p>
      <w:pPr>
        <w:spacing w:after="100"/>
        <w:ind w:left="360"/>
      </w:pPr>
      <w:r>
        <w:rPr>
          <w:rFonts w:ascii="Calibri" w:cs="Calibri" w:eastAsia="Calibri" w:hAnsi="Calibri"/>
          <w:sz w:val="21"/>
          <w:szCs w:val="21"/>
        </w:rPr>
        <w:t xml:space="preserve">ArcGIS says it plainly: this feature service only supports adding new features. The other three options are greyed out, which is the safeguard working.</w:t>
      </w:r>
    </w:p>
    <w:p>
      <w:pPr>
        <w:spacing w:after="40" w:before="60"/>
        <w:ind w:left="360"/>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86100"/>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Add features is the only live option.</w:t>
      </w:r>
    </w:p>
    <w:p>
      <w:pPr>
        <w:spacing w:after="60" w:before="160"/>
      </w:pPr>
      <w:r>
        <w:rPr>
          <w:rFonts w:ascii="Calibri" w:cs="Calibri" w:eastAsia="Calibri" w:hAnsi="Calibri"/>
          <w:b/>
          <w:bCs/>
          <w:color w:val="1A54A0"/>
          <w:sz w:val="21"/>
          <w:szCs w:val="21"/>
        </w:rPr>
        <w:t xml:space="preserve">5.  </w:t>
      </w:r>
      <w:r>
        <w:rPr>
          <w:rFonts w:ascii="Calibri" w:cs="Calibri" w:eastAsia="Calibri" w:hAnsi="Calibri"/>
          <w:b/>
          <w:bCs/>
          <w:sz w:val="21"/>
          <w:szCs w:val="21"/>
        </w:rPr>
        <w:t xml:space="preserve">Drop in the CSV</w:t>
      </w:r>
    </w:p>
    <w:p>
      <w:pPr>
        <w:spacing w:after="100"/>
        <w:ind w:left="360"/>
      </w:pPr>
      <w:r>
        <w:rPr>
          <w:rFonts w:ascii="Calibri" w:cs="Calibri" w:eastAsia="Calibri" w:hAnsi="Calibri"/>
          <w:sz w:val="21"/>
          <w:szCs w:val="21"/>
        </w:rPr>
        <w:t xml:space="preserve">Drag the file in or pick it from your computer, then Next through the rest. The new row or rows are appended.</w:t>
      </w:r>
    </w:p>
    <w:p>
      <w:pPr>
        <w:spacing w:after="40" w:before="60"/>
        <w:ind w:left="360"/>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33725"/>
                    </a:xfrm>
                    <a:prstGeom prst="rect">
                      <a:avLst/>
                    </a:prstGeom>
                  </pic:spPr>
                </pic:pic>
              </a:graphicData>
            </a:graphic>
          </wp:inline>
        </w:drawing>
      </w:r>
    </w:p>
    <w:p>
      <w:pPr>
        <w:spacing w:after="160"/>
        <w:ind w:left="360"/>
      </w:pPr>
      <w:r>
        <w:rPr>
          <w:rFonts w:ascii="Calibri" w:cs="Calibri" w:eastAsia="Calibri" w:hAnsi="Calibri"/>
          <w:i/>
          <w:iCs/>
          <w:color w:val="5F6D7E"/>
          <w:sz w:val="17"/>
          <w:szCs w:val="17"/>
        </w:rPr>
        <w:t xml:space="preserve">Drag and drop, or choose from your device.</w:t>
      </w:r>
    </w:p>
    <w:tbl>
      <w:tblPr>
        <w:tblW w:type="dxa" w:w="9360"/>
        <w:tblBorders>
          <w:top w:val="none" w:color="auto" w:sz="0"/>
          <w:left w:val="single" w:color="CC202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CC2020"/>
                <w:sz w:val="17"/>
                <w:szCs w:val="17"/>
              </w:rPr>
              <w:t xml:space="preserve">NEVER REORDER THE CLIENTS IN AD_AI2</w:t>
            </w:r>
          </w:p>
          <w:p>
            <w:pPr>
              <w:spacing w:after="0"/>
            </w:pPr>
            <w:r>
              <w:rPr>
                <w:rFonts w:ascii="Calibri" w:cs="Calibri" w:eastAsia="Calibri" w:hAnsi="Calibri"/>
                <w:sz w:val="21"/>
                <w:szCs w:val="21"/>
              </w:rPr>
              <w:t xml:space="preserve">Row order in this layer is load-bearing. Add to the end, and only to the end — which is why the OBJECTID must exceed the previous entry and why the service refuses to overwrite. Sorting the CSV before upload, or overwriting the layer to “tidy it up”, breaks the pins.</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5. Step 3 · The properties</w:t>
      </w:r>
    </w:p>
    <w:p>
      <w:pPr>
        <w:spacing w:after="160"/>
      </w:pPr>
      <w:r>
        <w:rPr>
          <w:rFonts w:ascii="Calibri" w:cs="Calibri" w:eastAsia="Calibri" w:hAnsi="Calibri"/>
          <w:i/>
          <w:iCs/>
          <w:color w:val="5F6D7E"/>
          <w:sz w:val="21"/>
          <w:szCs w:val="21"/>
        </w:rPr>
        <w:t xml:space="preserve">Only if the client lists sites or buildings. The full detail is in the Property Scraper Runbook; this is what adding one account involves.</w:t>
      </w:r>
    </w:p>
    <w:p>
      <w:pPr>
        <w:spacing w:after="120"/>
      </w:pPr>
      <w:r>
        <w:rPr>
          <w:rFonts w:ascii="Calibri" w:cs="Calibri" w:eastAsia="Calibri" w:hAnsi="Calibri"/>
          <w:sz w:val="21"/>
          <w:szCs w:val="21"/>
        </w:rPr>
        <w:t xml:space="preserve">Double-click </w:t>
      </w:r>
      <w:r>
        <w:rPr>
          <w:rFonts w:ascii="Consolas" w:cs="Consolas" w:eastAsia="Consolas" w:hAnsi="Consolas"/>
          <w:sz w:val="19"/>
          <w:szCs w:val="19"/>
        </w:rPr>
        <w:t xml:space="preserve">Start_Scraper.bat</w:t>
      </w:r>
      <w:r>
        <w:rPr>
          <w:rFonts w:ascii="Calibri" w:cs="Calibri" w:eastAsia="Calibri" w:hAnsi="Calibri"/>
          <w:sz w:val="21"/>
          <w:szCs w:val="21"/>
        </w:rPr>
        <w:t xml:space="preserve"> in the FastLocations folder. A black window opens and the browser lands on localhost:5000. Leave the window open while you work, and close it when you are done — that is what shuts the tool off.</w:t>
      </w:r>
    </w:p>
    <w:p>
      <w:pPr>
        <w:pStyle w:val="Heading3"/>
        <w:spacing w:after="80" w:before="200"/>
      </w:pPr>
      <w:r>
        <w:rPr>
          <w:rFonts w:ascii="Calibri" w:cs="Calibri" w:eastAsia="Calibri" w:hAnsi="Calibri"/>
          <w:b/>
          <w:bCs/>
          <w:color w:val="39455A"/>
          <w:sz w:val="22"/>
          <w:szCs w:val="22"/>
        </w:rPr>
        <w:t xml:space="preserve">Register the account</w:t>
      </w:r>
    </w:p>
    <w:p>
      <w:pPr>
        <w:spacing w:after="120"/>
      </w:pPr>
      <w:r>
        <w:rPr>
          <w:rFonts w:ascii="Calibri" w:cs="Calibri" w:eastAsia="Calibri" w:hAnsi="Calibri"/>
          <w:sz w:val="21"/>
          <w:szCs w:val="21"/>
        </w:rPr>
        <w:t xml:space="preserve">Four boxes at the top of the page: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600"/>
        <w:gridCol w:w="6760"/>
      </w:tblGrid>
      <w:tr>
        <w:trPr>
          <w:tblHeader/>
        </w:trPr>
        <w:tc>
          <w:tcPr>
            <w:tcW w:type="dxa" w:w="26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Box</w:t>
            </w:r>
          </w:p>
        </w:tc>
        <w:tc>
          <w:tcPr>
            <w:tcW w:type="dxa" w:w="67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What to enter</w:t>
            </w:r>
          </w:p>
        </w:tc>
      </w:tr>
      <w:tr>
        <w:tc>
          <w:tcPr>
            <w:tcW w:type="dxa" w:w="26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Property search URL</w:t>
            </w:r>
          </w:p>
        </w:tc>
        <w:tc>
          <w:tcPr>
            <w:tcW w:type="dxa" w:w="67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client’s property or site-search page — or the map/tool URL itself.</w:t>
            </w:r>
          </w:p>
        </w:tc>
      </w:tr>
      <w:tr>
        <w:tc>
          <w:tcPr>
            <w:tcW w:type="dxa" w:w="26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dashId</w:t>
            </w:r>
          </w:p>
        </w:tc>
        <w:tc>
          <w:tcPr>
            <w:tcW w:type="dxa" w:w="676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The OBJECTID from step 2.</w:t>
            </w:r>
            <w:r>
              <w:rPr>
                <w:rFonts w:ascii="Calibri" w:cs="Calibri" w:eastAsia="Calibri" w:hAnsi="Calibri"/>
                <w:b w:val="false"/>
                <w:bCs w:val="false"/>
                <w:sz w:val="19"/>
                <w:szCs w:val="19"/>
              </w:rPr>
              <w:t xml:space="preserve"> This is what ties the harvested file to the right dashboard.</w:t>
            </w:r>
          </w:p>
        </w:tc>
      </w:tr>
      <w:tr>
        <w:tc>
          <w:tcPr>
            <w:tcW w:type="dxa" w:w="26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Label</w:t>
            </w:r>
          </w:p>
        </w:tc>
        <w:tc>
          <w:tcPr>
            <w:tcW w:type="dxa" w:w="67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readable name, e.g. Hancock EDC.</w:t>
            </w:r>
          </w:p>
        </w:tc>
      </w:tr>
      <w:tr>
        <w:tc>
          <w:tcPr>
            <w:tcW w:type="dxa" w:w="26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State / Province</w:t>
            </w:r>
          </w:p>
        </w:tc>
        <w:tc>
          <w:tcPr>
            <w:tcW w:type="dxa" w:w="67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From the dropdown. Required.</w:t>
            </w:r>
          </w:p>
        </w:tc>
      </w:tr>
    </w:tbl>
    <w:p>
      <w:pPr>
        <w:spacing w:after="160"/>
      </w:pPr>
      <w:r>
        <w:t xml:space="preserve"/>
      </w:r>
    </w:p>
    <w:p>
      <w:pPr>
        <w:spacing w:after="120"/>
      </w:pPr>
      <w:r>
        <w:rPr>
          <w:rFonts w:ascii="Calibri" w:cs="Calibri" w:eastAsia="Calibri" w:hAnsi="Calibri"/>
          <w:b/>
          <w:bCs/>
          <w:sz w:val="21"/>
          <w:szCs w:val="21"/>
        </w:rPr>
        <w:t xml:space="preserve">Detect + Add + Run</w:t>
      </w:r>
      <w:r>
        <w:rPr>
          <w:rFonts w:ascii="Calibri" w:cs="Calibri" w:eastAsia="Calibri" w:hAnsi="Calibri"/>
          <w:sz w:val="21"/>
          <w:szCs w:val="21"/>
        </w:rPr>
        <w:t xml:space="preserve"> identifies the platform, registers the account and runs it immediately — the right choice for the browserless platforms. </w:t>
      </w:r>
      <w:r>
        <w:rPr>
          <w:rFonts w:ascii="Calibri" w:cs="Calibri" w:eastAsia="Calibri" w:hAnsi="Calibri"/>
          <w:b/>
          <w:bCs/>
          <w:sz w:val="21"/>
          <w:szCs w:val="21"/>
        </w:rPr>
        <w:t xml:space="preserve">Detect only</w:t>
      </w:r>
      <w:r>
        <w:rPr>
          <w:rFonts w:ascii="Calibri" w:cs="Calibri" w:eastAsia="Calibri" w:hAnsi="Calibri"/>
          <w:sz w:val="21"/>
          <w:szCs w:val="21"/>
        </w:rPr>
        <w:t xml:space="preserve"> reports what it found without committing, which is worth a click first on an unfamiliar site.</w:t>
      </w:r>
    </w:p>
    <w:p>
      <w:pPr>
        <w:spacing w:after="120"/>
      </w:pPr>
      <w:r>
        <w:rPr>
          <w:rFonts w:ascii="Calibri" w:cs="Calibri" w:eastAsia="Calibri" w:hAnsi="Calibri"/>
          <w:sz w:val="21"/>
          <w:szCs w:val="21"/>
        </w:rPr>
        <w:t xml:space="preserve">Every run writes the dated JSON file and rebuilds </w:t>
      </w:r>
      <w:r>
        <w:rPr>
          <w:rFonts w:ascii="Consolas" w:cs="Consolas" w:eastAsia="Consolas" w:hAnsi="Consolas"/>
          <w:sz w:val="19"/>
          <w:szCs w:val="19"/>
        </w:rPr>
        <w:t xml:space="preserve">properties_all.json</w:t>
      </w:r>
      <w:r>
        <w:rPr>
          <w:rFonts w:ascii="Calibri" w:cs="Calibri" w:eastAsia="Calibri" w:hAnsi="Calibri"/>
          <w:sz w:val="21"/>
          <w:szCs w:val="21"/>
        </w:rPr>
        <w:t xml:space="preserve">, the single merged file the website loads. There is no separate publish step for property data.</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A NOTE INSTEAD OF A RUN IS NORMAL</w:t>
            </w:r>
          </w:p>
          <w:p>
            <w:pPr>
              <w:spacing w:after="0"/>
            </w:pPr>
            <w:r>
              <w:rPr>
                <w:rFonts w:ascii="Calibri" w:cs="Calibri" w:eastAsia="Calibri" w:hAnsi="Calibri"/>
                <w:sz w:val="21"/>
                <w:szCs w:val="21"/>
              </w:rPr>
              <w:t xml:space="preserve">Some accounts register but cannot run until a value has been captured from the live site — VEDP regional sites need a property-list capture, ArcGIS Experience and Geocortex apps need their Feature Service URL. The tool says so plainly. Send the URL to Claude; it is typically a one-minute fix, after which the account runs itself on every future refresh.</w:t>
            </w:r>
          </w:p>
        </w:tc>
      </w:tr>
    </w:tbl>
    <w:p>
      <w:pPr>
        <w:spacing w:after="160"/>
      </w:pPr>
      <w:r>
        <w:t xml:space="preserve"/>
      </w:r>
    </w:p>
    <w:p>
      <w:pPr>
        <w:pStyle w:val="Heading3"/>
        <w:spacing w:after="80" w:before="200"/>
      </w:pPr>
      <w:r>
        <w:rPr>
          <w:rFonts w:ascii="Calibri" w:cs="Calibri" w:eastAsia="Calibri" w:hAnsi="Calibri"/>
          <w:b/>
          <w:bCs/>
          <w:color w:val="39455A"/>
          <w:sz w:val="22"/>
          <w:szCs w:val="22"/>
        </w:rPr>
        <w:t xml:space="preserve">What runs without a browser</w:t>
      </w:r>
    </w:p>
    <w:p>
      <w:pPr>
        <w:spacing w:after="120"/>
      </w:pPr>
      <w:r>
        <w:rPr>
          <w:rFonts w:ascii="Calibri" w:cs="Calibri" w:eastAsia="Calibri" w:hAnsi="Calibri"/>
          <w:sz w:val="21"/>
          <w:szCs w:val="21"/>
        </w:rPr>
        <w:t xml:space="preserve">Platforms marked </w:t>
      </w:r>
      <w:r>
        <w:rPr>
          <w:rFonts w:ascii="Calibri" w:cs="Calibri" w:eastAsia="Calibri" w:hAnsi="Calibri"/>
          <w:b/>
          <w:bCs/>
          <w:sz w:val="21"/>
          <w:szCs w:val="21"/>
        </w:rPr>
        <w:t xml:space="preserve">api</w:t>
      </w:r>
      <w:r>
        <w:rPr>
          <w:rFonts w:ascii="Calibri" w:cs="Calibri" w:eastAsia="Calibri" w:hAnsi="Calibri"/>
          <w:sz w:val="21"/>
          <w:szCs w:val="21"/>
        </w:rPr>
        <w:t xml:space="preserve"> are browserless and fast; </w:t>
      </w:r>
      <w:r>
        <w:rPr>
          <w:rFonts w:ascii="Calibri" w:cs="Calibri" w:eastAsia="Calibri" w:hAnsi="Calibri"/>
          <w:b/>
          <w:bCs/>
          <w:sz w:val="21"/>
          <w:szCs w:val="21"/>
        </w:rPr>
        <w:t xml:space="preserve">browser</w:t>
      </w:r>
      <w:r>
        <w:rPr>
          <w:rFonts w:ascii="Calibri" w:cs="Calibri" w:eastAsia="Calibri" w:hAnsi="Calibri"/>
          <w:sz w:val="21"/>
          <w:szCs w:val="21"/>
        </w:rPr>
        <w:t xml:space="preserve"> opens a Playwright window that pages through listings and closes itself.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900"/>
        <w:gridCol w:w="1300"/>
        <w:gridCol w:w="5160"/>
      </w:tblGrid>
      <w:tr>
        <w:trPr>
          <w:tblHeader/>
        </w:trPr>
        <w:tc>
          <w:tcPr>
            <w:tcW w:type="dxa" w:w="29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Platform</w:t>
            </w:r>
          </w:p>
        </w:tc>
        <w:tc>
          <w:tcPr>
            <w:tcW w:type="dxa" w:w="13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Mode</w:t>
            </w:r>
          </w:p>
        </w:tc>
        <w:tc>
          <w:tcPr>
            <w:tcW w:type="dxa" w:w="51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Notes</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ZoomProspector</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browser</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Also branded domains and broker/region filters</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Buildings &amp; Sites</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browser</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Main site and branded *siteselection.com domains</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GISWebTechGuru</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Resolves the Tenant ID automatically</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LocationOne</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Common in Canada too</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Resimplifi</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Needs a county/city filter, set by Claude</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Catylist / Moody’s</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Can be scoped to one county</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SiteLinkWeb</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Catylist data behind a Blazor front-end</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VEDP (Virginia)</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 / Claude</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Statewide runs itself; regional sites need a capture</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EDSuite (Statamic)</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Public content API</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Tevolution (WordPress)</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Category-page directory sites</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ArcGIS Feature Service / Experience / Geocortex</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 / Claude</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Experience Builder apps need the service URL captured</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ArcGIS StoryMap</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Pins on an embedded express map</w:t>
            </w:r>
          </w:p>
        </w:tc>
      </w:tr>
      <w:tr>
        <w:tc>
          <w:tcPr>
            <w:tcW w:type="dxa" w:w="2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Atlantic4</w:t>
            </w:r>
          </w:p>
        </w:tc>
        <w:tc>
          <w:tcPr>
            <w:tcW w:type="dxa" w:w="13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Atlantic Canada certified sites</w:t>
            </w:r>
          </w:p>
        </w:tc>
      </w:tr>
      <w:tr>
        <w:tc>
          <w:tcPr>
            <w:tcW w:type="dxa" w:w="2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Custom WordPress (grow_wp)</w:t>
            </w:r>
          </w:p>
        </w:tc>
        <w:tc>
          <w:tcPr>
            <w:tcW w:type="dxa" w:w="13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api</w:t>
            </w:r>
          </w:p>
        </w:tc>
        <w:tc>
          <w:tcPr>
            <w:tcW w:type="dxa" w:w="5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e.g. Grow Laurens County</w:t>
            </w:r>
          </w:p>
        </w:tc>
      </w:tr>
    </w:tbl>
    <w:p>
      <w:pPr>
        <w:spacing w:after="160"/>
      </w:pPr>
      <w:r>
        <w:t xml:space="preserve"/>
      </w:r>
    </w:p>
    <w:tbl>
      <w:tblPr>
        <w:tblW w:type="dxa" w:w="9360"/>
        <w:tblBorders>
          <w:top w:val="none" w:color="auto" w:sz="0"/>
          <w:left w:val="single" w:color="A2600B"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A2600B"/>
                <w:sz w:val="17"/>
                <w:szCs w:val="17"/>
              </w:rPr>
              <w:t xml:space="preserve">A STATEWIDE DATABASE IS NOT A LOCAL ONE</w:t>
            </w:r>
          </w:p>
          <w:p>
            <w:pPr>
              <w:spacing w:after="0"/>
            </w:pPr>
            <w:r>
              <w:rPr>
                <w:rFonts w:ascii="Calibri" w:cs="Calibri" w:eastAsia="Calibri" w:hAnsi="Calibri"/>
                <w:sz w:val="21"/>
                <w:szCs w:val="21"/>
              </w:rPr>
              <w:t xml:space="preserve">Paste a statewide ZoomProspector URL and the tool warns you, because it will pull the entire state. The local EDO’s filter is usually applied by JavaScript, so the tool cannot see it. If the client really is statewide, click Run. If you want only their patch, send the URL to Claude to capture the right broker ID or region.</w:t>
            </w:r>
          </w:p>
        </w:tc>
      </w:tr>
    </w:tbl>
    <w:p>
      <w:pPr>
        <w:spacing w:after="160"/>
      </w:pPr>
      <w:r>
        <w:t xml:space="preserve"/>
      </w:r>
    </w:p>
    <w:tbl>
      <w:tblPr>
        <w:tblW w:type="dxa" w:w="9360"/>
        <w:tblBorders>
          <w:top w:val="none" w:color="auto" w:sz="0"/>
          <w:left w:val="single" w:color="CC202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CC2020"/>
                <w:sz w:val="17"/>
                <w:szCs w:val="17"/>
              </w:rPr>
              <w:t xml:space="preserve">THREE SITES ARE REFUSED ON PURPOSE</w:t>
            </w:r>
          </w:p>
          <w:p>
            <w:pPr>
              <w:spacing w:after="0"/>
            </w:pPr>
            <w:r>
              <w:rPr>
                <w:rFonts w:ascii="Calibri" w:cs="Calibri" w:eastAsia="Calibri" w:hAnsi="Calibri"/>
                <w:sz w:val="21"/>
                <w:szCs w:val="21"/>
              </w:rPr>
              <w:t xml:space="preserve">LoopNet (CoStar LoopLink) and realtor.ca (CREA/MLS) are refused with a clear message: aggressive anti-bot measures, and scraping against their terms. MapMe is impractical to automate reliably. If the client’s property search is one of these, they get no property dataset — note it and move on to step 4.</w:t>
            </w:r>
          </w:p>
        </w:tc>
      </w:tr>
    </w:tbl>
    <w:p>
      <w:pPr>
        <w:spacing w:after="160"/>
      </w:pPr>
      <w:r>
        <w:t xml:space="preserve"/>
      </w:r>
    </w:p>
    <w:p>
      <w:pPr>
        <w:spacing w:after="120"/>
      </w:pPr>
      <w:r>
        <w:rPr>
          <w:rFonts w:ascii="Calibri" w:cs="Calibri" w:eastAsia="Calibri" w:hAnsi="Calibri"/>
          <w:sz w:val="21"/>
          <w:szCs w:val="21"/>
        </w:rPr>
        <w:t xml:space="preserve">If the client’s data is a hand-built JSON file rather than a scrape, drop it in </w:t>
      </w:r>
      <w:r>
        <w:rPr>
          <w:rFonts w:ascii="Consolas" w:cs="Consolas" w:eastAsia="Consolas" w:hAnsi="Consolas"/>
          <w:sz w:val="19"/>
          <w:szCs w:val="19"/>
        </w:rPr>
        <w:t xml:space="preserve">properties\JSON\</w:t>
      </w:r>
      <w:r>
        <w:rPr>
          <w:rFonts w:ascii="Calibri" w:cs="Calibri" w:eastAsia="Calibri" w:hAnsi="Calibri"/>
          <w:sz w:val="21"/>
          <w:szCs w:val="21"/>
        </w:rPr>
        <w:t xml:space="preserve"> and ask Claude to add its </w:t>
      </w:r>
      <w:r>
        <w:rPr>
          <w:rFonts w:ascii="Consolas" w:cs="Consolas" w:eastAsia="Consolas" w:hAnsi="Consolas"/>
          <w:sz w:val="19"/>
          <w:szCs w:val="19"/>
        </w:rPr>
        <w:t xml:space="preserve">datasets.json</w:t>
      </w:r>
      <w:r>
        <w:rPr>
          <w:rFonts w:ascii="Calibri" w:cs="Calibri" w:eastAsia="Calibri" w:hAnsi="Calibri"/>
          <w:sz w:val="21"/>
          <w:szCs w:val="21"/>
        </w:rPr>
        <w:t xml:space="preserve"> entries. Manual files sit outside the account list, so Run All never touches them.</w:t>
      </w:r>
    </w:p>
    <w:p>
      <w:pPr>
        <w:pStyle w:val="Heading1"/>
        <w:spacing w:after="120" w:before="360"/>
      </w:pPr>
      <w:r>
        <w:rPr>
          <w:rFonts w:ascii="Calibri" w:cs="Calibri" w:eastAsia="Calibri" w:hAnsi="Calibri"/>
          <w:b/>
          <w:bCs/>
          <w:color w:val="143F78"/>
          <w:sz w:val="30"/>
          <w:szCs w:val="30"/>
        </w:rPr>
        <w:t xml:space="preserve">6. Step 4 · The dashboard record</w:t>
      </w:r>
    </w:p>
    <w:p>
      <w:pPr>
        <w:spacing w:after="160"/>
      </w:pPr>
      <w:r>
        <w:rPr>
          <w:rFonts w:ascii="Calibri" w:cs="Calibri" w:eastAsia="Calibri" w:hAnsi="Calibri"/>
          <w:i/>
          <w:iCs/>
          <w:color w:val="5F6D7E"/>
          <w:sz w:val="21"/>
          <w:szCs w:val="21"/>
        </w:rPr>
        <w:t xml:space="preserve">The Organizations editor. You supply five fields; it researches the other thirty. Full detail in the Organizations Data Runbook.</w:t>
      </w:r>
    </w:p>
    <w:p>
      <w:pPr>
        <w:spacing w:after="120"/>
      </w:pPr>
      <w:r>
        <w:rPr>
          <w:rFonts w:ascii="Calibri" w:cs="Calibri" w:eastAsia="Calibri" w:hAnsi="Calibri"/>
          <w:sz w:val="21"/>
          <w:szCs w:val="21"/>
        </w:rPr>
        <w:t xml:space="preserve">Double-click </w:t>
      </w:r>
      <w:r>
        <w:rPr>
          <w:rFonts w:ascii="Consolas" w:cs="Consolas" w:eastAsia="Consolas" w:hAnsi="Consolas"/>
          <w:sz w:val="19"/>
          <w:szCs w:val="19"/>
        </w:rPr>
        <w:t xml:space="preserve">Start_Organizations.bat</w:t>
      </w:r>
      <w:r>
        <w:rPr>
          <w:rFonts w:ascii="Calibri" w:cs="Calibri" w:eastAsia="Calibri" w:hAnsi="Calibri"/>
          <w:sz w:val="21"/>
          <w:szCs w:val="21"/>
        </w:rPr>
        <w:t xml:space="preserve"> → localhost:5002. Click </w:t>
      </w:r>
      <w:r>
        <w:rPr>
          <w:rFonts w:ascii="Calibri" w:cs="Calibri" w:eastAsia="Calibri" w:hAnsi="Calibri"/>
          <w:b/>
          <w:bCs/>
          <w:sz w:val="21"/>
          <w:szCs w:val="21"/>
        </w:rPr>
        <w:t xml:space="preserve">Test API keys</w:t>
      </w:r>
      <w:r>
        <w:rPr>
          <w:rFonts w:ascii="Calibri" w:cs="Calibri" w:eastAsia="Calibri" w:hAnsi="Calibri"/>
          <w:sz w:val="21"/>
          <w:szCs w:val="21"/>
        </w:rPr>
        <w:t xml:space="preserve"> before anything else: if Claude shows a cross, top up at console.anthropic.com rather than discovering it mid-record.</w:t>
      </w:r>
    </w:p>
    <w:p>
      <w:pPr>
        <w:pStyle w:val="Heading3"/>
        <w:spacing w:after="80" w:before="200"/>
      </w:pPr>
      <w:r>
        <w:rPr>
          <w:rFonts w:ascii="Calibri" w:cs="Calibri" w:eastAsia="Calibri" w:hAnsi="Calibri"/>
          <w:b/>
          <w:bCs/>
          <w:color w:val="39455A"/>
          <w:sz w:val="22"/>
          <w:szCs w:val="22"/>
        </w:rPr>
        <w:t xml:space="preserve">The five fields that are yours</w:t>
      </w:r>
    </w:p>
    <w:p>
      <w:pPr>
        <w:spacing w:after="120"/>
      </w:pPr>
      <w:r>
        <w:rPr>
          <w:rFonts w:ascii="Calibri" w:cs="Calibri" w:eastAsia="Calibri" w:hAnsi="Calibri"/>
          <w:sz w:val="21"/>
          <w:szCs w:val="21"/>
        </w:rPr>
        <w:t xml:space="preserve">Click </w:t>
      </w:r>
      <w:r>
        <w:rPr>
          <w:rFonts w:ascii="Calibri" w:cs="Calibri" w:eastAsia="Calibri" w:hAnsi="Calibri"/>
          <w:b/>
          <w:bCs/>
          <w:sz w:val="21"/>
          <w:szCs w:val="21"/>
        </w:rPr>
        <w:t xml:space="preserve">+ New record</w:t>
      </w:r>
      <w:r>
        <w:rPr>
          <w:rFonts w:ascii="Calibri" w:cs="Calibri" w:eastAsia="Calibri" w:hAnsi="Calibri"/>
          <w:sz w:val="21"/>
          <w:szCs w:val="21"/>
        </w:rPr>
        <w:t xml:space="preserve">. Two of these cannot be discovered by any amount of searching, and three of them steer every search that follows: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200"/>
        <w:gridCol w:w="7160"/>
      </w:tblGrid>
      <w:tr>
        <w:trPr>
          <w:tblHeader/>
        </w:trPr>
        <w:tc>
          <w:tcPr>
            <w:tcW w:type="dxa" w:w="22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Field</w:t>
            </w:r>
          </w:p>
        </w:tc>
        <w:tc>
          <w:tcPr>
            <w:tcW w:type="dxa" w:w="71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Value</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The number from step 2.</w:t>
            </w:r>
            <w:r>
              <w:rPr>
                <w:rFonts w:ascii="Calibri" w:cs="Calibri" w:eastAsia="Calibri" w:hAnsi="Calibri"/>
                <w:b w:val="false"/>
                <w:bCs w:val="false"/>
                <w:sz w:val="19"/>
                <w:szCs w:val="19"/>
              </w:rPr>
              <w:t xml:space="preserve"> The tool pre-fills the next free id — type over it. See section 8.</w:t>
            </w:r>
          </w:p>
        </w:tc>
      </w:tr>
      <w:tr>
        <w:tc>
          <w:tcPr>
            <w:tcW w:type="dxa" w:w="22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AI Link</w:t>
            </w:r>
          </w:p>
        </w:tc>
        <w:tc>
          <w:tcPr>
            <w:tcW w:type="dxa" w:w="7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t>
            </w:r>
            <w:r>
              <w:rPr>
                <w:rFonts w:ascii="Consolas" w:cs="Consolas" w:eastAsia="Consolas" w:hAnsi="Consolas"/>
                <w:b w:val="false"/>
                <w:bCs w:val="false"/>
                <w:sz w:val="17"/>
                <w:szCs w:val="17"/>
              </w:rPr>
              <w:t xml:space="preserve">elf.site</w:t>
            </w:r>
            <w:r>
              <w:rPr>
                <w:rFonts w:ascii="Calibri" w:cs="Calibri" w:eastAsia="Calibri" w:hAnsi="Calibri"/>
                <w:b w:val="false"/>
                <w:bCs w:val="false"/>
                <w:sz w:val="19"/>
                <w:szCs w:val="19"/>
              </w:rPr>
              <w:t xml:space="preserve"> URL from step 1.</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Organization</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seed everything else is found from. The one field that cannot be blank.</w:t>
            </w:r>
          </w:p>
        </w:tc>
      </w:tr>
      <w:tr>
        <w:tc>
          <w:tcPr>
            <w:tcW w:type="dxa" w:w="22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Category</w:t>
            </w:r>
          </w:p>
        </w:tc>
        <w:tc>
          <w:tcPr>
            <w:tcW w:type="dxa" w:w="7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Decides which geography the figures describe — see below. Not cosmetic.</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City</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Plus State, and Address 1 / Address 2 if you have them.</w:t>
            </w:r>
          </w:p>
        </w:tc>
      </w:tr>
    </w:tbl>
    <w:p>
      <w:pPr>
        <w:spacing w:after="160"/>
      </w:pPr>
      <w:r>
        <w:t xml:space="preserve"/>
      </w:r>
    </w:p>
    <w:p>
      <w:pPr>
        <w:spacing w:after="120"/>
      </w:pPr>
      <w:r>
        <w:rPr>
          <w:rFonts w:ascii="Calibri" w:cs="Calibri" w:eastAsia="Calibri" w:hAnsi="Calibri"/>
          <w:sz w:val="21"/>
          <w:szCs w:val="21"/>
        </w:rPr>
        <w:t xml:space="preserve">Those five start unticked; everything else starts ticked. So </w:t>
      </w:r>
      <w:r>
        <w:rPr>
          <w:rFonts w:ascii="Calibri" w:cs="Calibri" w:eastAsia="Calibri" w:hAnsi="Calibri"/>
          <w:b/>
          <w:bCs/>
          <w:sz w:val="21"/>
          <w:szCs w:val="21"/>
        </w:rPr>
        <w:t xml:space="preserve">Research ticked fields</w:t>
      </w:r>
      <w:r>
        <w:rPr>
          <w:rFonts w:ascii="Calibri" w:cs="Calibri" w:eastAsia="Calibri" w:hAnsi="Calibri"/>
          <w:sz w:val="21"/>
          <w:szCs w:val="21"/>
        </w:rPr>
        <w:t xml:space="preserve"> is one click that fills the remaining thirty, in three Claude calls, for roughly $0.22.</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SET THE STATE YOURSELF</w:t>
            </w:r>
          </w:p>
          <w:p>
            <w:pPr>
              <w:spacing w:after="0"/>
            </w:pPr>
            <w:r>
              <w:rPr>
                <w:rFonts w:ascii="Calibri" w:cs="Calibri" w:eastAsia="Calibri" w:hAnsi="Calibri"/>
                <w:sz w:val="21"/>
                <w:szCs w:val="21"/>
              </w:rPr>
              <w:t xml:space="preserve">It is ticked for research by default, but choosing it narrows every subsequent search and rules out a whole class of error — the Arizona Commerce Authority sat in the data as AR for a long time. Dozens of places have a “Chamber of Commerce”; City and State are the difference between the right one and a plausible wrong one.</w:t>
            </w:r>
          </w:p>
        </w:tc>
      </w:tr>
    </w:tbl>
    <w:p>
      <w:pPr>
        <w:spacing w:after="160"/>
      </w:pPr>
      <w:r>
        <w:t xml:space="preserve"/>
      </w:r>
    </w:p>
    <w:p>
      <w:pPr>
        <w:pStyle w:val="Heading3"/>
        <w:spacing w:after="80" w:before="200"/>
      </w:pPr>
      <w:r>
        <w:rPr>
          <w:rFonts w:ascii="Calibri" w:cs="Calibri" w:eastAsia="Calibri" w:hAnsi="Calibri"/>
          <w:b/>
          <w:bCs/>
          <w:color w:val="39455A"/>
          <w:sz w:val="22"/>
          <w:szCs w:val="22"/>
        </w:rPr>
        <w:t xml:space="preserve">Category decides what “the area” means</w:t>
      </w:r>
    </w:p>
    <w:p>
      <w:pPr>
        <w:spacing w:after="120"/>
      </w:pPr>
      <w:r>
        <w:rPr>
          <w:rFonts w:ascii="Calibri" w:cs="Calibri" w:eastAsia="Calibri" w:hAnsi="Calibri"/>
          <w:sz w:val="21"/>
          <w:szCs w:val="21"/>
        </w:rPr>
        <w:t xml:space="preserve">This is the quietest way to produce a record that looks right and is useless. The Category picks one of three geographies, and it changes the searches, the instructions and the field rules together: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1700"/>
        <w:gridCol w:w="3400"/>
        <w:gridCol w:w="4260"/>
      </w:tblGrid>
      <w:tr>
        <w:trPr>
          <w:tblHeader/>
        </w:trPr>
        <w:tc>
          <w:tcPr>
            <w:tcW w:type="dxa" w:w="17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Scope</w:t>
            </w:r>
          </w:p>
        </w:tc>
        <w:tc>
          <w:tcPr>
            <w:tcW w:type="dxa" w:w="34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Applies to</w:t>
            </w:r>
          </w:p>
        </w:tc>
        <w:tc>
          <w:tcPr>
            <w:tcW w:type="dxa" w:w="42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The figures describe</w:t>
            </w:r>
          </w:p>
        </w:tc>
      </w:tr>
      <w:tr>
        <w:tc>
          <w:tcPr>
            <w:tcW w:type="dxa" w:w="17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statewide</w:t>
            </w:r>
          </w:p>
        </w:tc>
        <w:tc>
          <w:tcPr>
            <w:tcW w:type="dxa" w:w="34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State Agency</w:t>
            </w:r>
          </w:p>
        </w:tc>
        <w:tc>
          <w:tcPr>
            <w:tcW w:type="dxa" w:w="42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whole state — not the town the office sits in</w:t>
            </w:r>
          </w:p>
        </w:tc>
      </w:tr>
      <w:tr>
        <w:tc>
          <w:tcPr>
            <w:tcW w:type="dxa" w:w="17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territory</w:t>
            </w:r>
          </w:p>
        </w:tc>
        <w:tc>
          <w:tcPr>
            <w:tcW w:type="dxa" w:w="34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Utility that is the only one of its name in its state</w:t>
            </w:r>
          </w:p>
        </w:tc>
        <w:tc>
          <w:tcPr>
            <w:tcW w:type="dxa" w:w="42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Its service territory</w:t>
            </w:r>
          </w:p>
        </w:tc>
      </w:tr>
      <w:tr>
        <w:tc>
          <w:tcPr>
            <w:tcW w:type="dxa" w:w="17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local</w:t>
            </w:r>
          </w:p>
        </w:tc>
        <w:tc>
          <w:tcPr>
            <w:tcW w:type="dxa" w:w="34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Everything else</w:t>
            </w:r>
          </w:p>
        </w:tc>
        <w:tc>
          <w:tcPr>
            <w:tcW w:type="dxa" w:w="42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city and its county</w:t>
            </w:r>
          </w:p>
        </w:tc>
      </w:tr>
    </w:tbl>
    <w:p>
      <w:pPr>
        <w:spacing w:after="160"/>
      </w:pPr>
      <w:r>
        <w:t xml:space="preserve"/>
      </w:r>
    </w:p>
    <w:p>
      <w:pPr>
        <w:spacing w:after="120"/>
      </w:pPr>
      <w:r>
        <w:rPr>
          <w:rFonts w:ascii="Calibri" w:cs="Calibri" w:eastAsia="Calibri" w:hAnsi="Calibri"/>
          <w:sz w:val="21"/>
          <w:szCs w:val="21"/>
        </w:rPr>
        <w:t xml:space="preserve">Get this wrong on a new state agency and you get its host city’s population presented as the state’s. Ten of the 31 statewide records trip the warning for exactly that reason today.</w:t>
      </w:r>
    </w:p>
    <w:p>
      <w:pPr>
        <w:pStyle w:val="Heading3"/>
        <w:spacing w:after="80" w:before="200"/>
      </w:pPr>
      <w:r>
        <w:rPr>
          <w:rFonts w:ascii="Calibri" w:cs="Calibri" w:eastAsia="Calibri" w:hAnsi="Calibri"/>
          <w:b/>
          <w:bCs/>
          <w:color w:val="39455A"/>
          <w:sz w:val="22"/>
          <w:szCs w:val="22"/>
        </w:rPr>
        <w:t xml:space="preserve">Read it, then save</w:t>
      </w:r>
    </w:p>
    <w:p>
      <w:pPr>
        <w:spacing w:after="120"/>
      </w:pPr>
      <w:r>
        <w:rPr>
          <w:rFonts w:ascii="Calibri" w:cs="Calibri" w:eastAsia="Calibri" w:hAnsi="Calibri"/>
          <w:sz w:val="21"/>
          <w:szCs w:val="21"/>
        </w:rPr>
        <w:t xml:space="preserve">Researched values land in the form, not on disk. The badge at the top must read </w:t>
      </w:r>
      <w:r>
        <w:rPr>
          <w:rFonts w:ascii="Calibri" w:cs="Calibri" w:eastAsia="Calibri" w:hAnsi="Calibri"/>
          <w:b/>
          <w:bCs/>
          <w:sz w:val="21"/>
          <w:szCs w:val="21"/>
        </w:rPr>
        <w:t xml:space="preserve">valid</w:t>
      </w:r>
      <w:r>
        <w:rPr>
          <w:rFonts w:ascii="Calibri" w:cs="Calibri" w:eastAsia="Calibri" w:hAnsi="Calibri"/>
          <w:sz w:val="21"/>
          <w:szCs w:val="21"/>
        </w:rPr>
        <w:t xml:space="preserve">: </w:t>
      </w:r>
      <w:r>
        <w:rPr>
          <w:rFonts w:ascii="Calibri" w:cs="Calibri" w:eastAsia="Calibri" w:hAnsi="Calibri"/>
          <w:b/>
          <w:bCs/>
          <w:sz w:val="21"/>
          <w:szCs w:val="21"/>
        </w:rPr>
        <w:t xml:space="preserve">error</w:t>
      </w:r>
      <w:r>
        <w:rPr>
          <w:rFonts w:ascii="Calibri" w:cs="Calibri" w:eastAsia="Calibri" w:hAnsi="Calibri"/>
          <w:sz w:val="21"/>
          <w:szCs w:val="21"/>
        </w:rPr>
        <w:t xml:space="preserve"> blocks the save because the dashboard would drop or mis-render the value, while </w:t>
      </w:r>
      <w:r>
        <w:rPr>
          <w:rFonts w:ascii="Calibri" w:cs="Calibri" w:eastAsia="Calibri" w:hAnsi="Calibri"/>
          <w:b/>
          <w:bCs/>
          <w:sz w:val="21"/>
          <w:szCs w:val="21"/>
        </w:rPr>
        <w:t xml:space="preserve">warning</w:t>
      </w:r>
      <w:r>
        <w:rPr>
          <w:rFonts w:ascii="Calibri" w:cs="Calibri" w:eastAsia="Calibri" w:hAnsi="Calibri"/>
          <w:sz w:val="21"/>
          <w:szCs w:val="21"/>
        </w:rPr>
        <w:t xml:space="preserve"> only means it looks unlike the rest of the dataset.</w:t>
      </w:r>
    </w:p>
    <w:p>
      <w:pPr>
        <w:spacing w:after="120"/>
      </w:pPr>
      <w:r>
        <w:rPr>
          <w:rFonts w:ascii="Calibri" w:cs="Calibri" w:eastAsia="Calibri" w:hAnsi="Calibri"/>
          <w:sz w:val="21"/>
          <w:szCs w:val="21"/>
        </w:rPr>
        <w:t xml:space="preserve">The dashboard parses these fields with regular expressions to build its charts, so a value in the wrong shape produces an empty chart and no error anywhere. That silent failure is what the validation exists to catch. Read the red message under a field — it names the exact pattern — or copy the wording from a good record in the same state.</w:t>
      </w:r>
    </w:p>
    <w:p>
      <w:pPr>
        <w:spacing w:after="120"/>
      </w:pPr>
      <w:r>
        <w:rPr>
          <w:rFonts w:ascii="Calibri" w:cs="Calibri" w:eastAsia="Calibri" w:hAnsi="Calibri"/>
          <w:b/>
          <w:bCs/>
          <w:sz w:val="21"/>
          <w:szCs w:val="21"/>
        </w:rPr>
        <w:t xml:space="preserve">Save</w:t>
      </w:r>
      <w:r>
        <w:rPr>
          <w:rFonts w:ascii="Calibri" w:cs="Calibri" w:eastAsia="Calibri" w:hAnsi="Calibri"/>
          <w:sz w:val="21"/>
          <w:szCs w:val="21"/>
        </w:rPr>
        <w:t xml:space="preserve"> backs up the whole file to </w:t>
      </w:r>
      <w:r>
        <w:rPr>
          <w:rFonts w:ascii="Consolas" w:cs="Consolas" w:eastAsia="Consolas" w:hAnsi="Consolas"/>
          <w:sz w:val="19"/>
          <w:szCs w:val="19"/>
        </w:rPr>
        <w:t xml:space="preserve">dash\data\_backups\&lt;timestamp&gt;\</w:t>
      </w:r>
      <w:r>
        <w:rPr>
          <w:rFonts w:ascii="Calibri" w:cs="Calibri" w:eastAsia="Calibri" w:hAnsi="Calibri"/>
          <w:sz w:val="21"/>
          <w:szCs w:val="21"/>
        </w:rPr>
        <w:t xml:space="preserve"> first, then rewrites it. To undo anything at all, copy that backup over </w:t>
      </w:r>
      <w:r>
        <w:rPr>
          <w:rFonts w:ascii="Consolas" w:cs="Consolas" w:eastAsia="Consolas" w:hAnsi="Consolas"/>
          <w:sz w:val="19"/>
          <w:szCs w:val="19"/>
        </w:rPr>
        <w:t xml:space="preserve">dash\data\organizations.json</w:t>
      </w:r>
      <w:r>
        <w:rPr>
          <w:rFonts w:ascii="Calibri" w:cs="Calibri" w:eastAsia="Calibri" w:hAnsi="Calibri"/>
          <w:sz w:val="21"/>
          <w:szCs w:val="21"/>
        </w:rPr>
        <w:t xml:space="preserve"> and restart the tool.</w:t>
      </w:r>
    </w:p>
    <w:p>
      <w:pPr>
        <w:pStyle w:val="Heading3"/>
        <w:spacing w:after="80" w:before="200"/>
      </w:pPr>
      <w:r>
        <w:rPr>
          <w:rFonts w:ascii="Calibri" w:cs="Calibri" w:eastAsia="Calibri" w:hAnsi="Calibri"/>
          <w:b/>
          <w:bCs/>
          <w:color w:val="39455A"/>
          <w:sz w:val="22"/>
          <w:szCs w:val="22"/>
        </w:rPr>
        <w:t xml:space="preserve">Publish it</w:t>
      </w:r>
    </w:p>
    <w:p>
      <w:pPr>
        <w:spacing w:after="120"/>
      </w:pPr>
      <w:r>
        <w:rPr>
          <w:rFonts w:ascii="Calibri" w:cs="Calibri" w:eastAsia="Calibri" w:hAnsi="Calibri"/>
          <w:sz w:val="21"/>
          <w:szCs w:val="21"/>
        </w:rPr>
        <w:t xml:space="preserve">Saving updates your PC. The website serves the old data until you upload, in Dreamweaver, </w:t>
      </w:r>
      <w:r>
        <w:rPr>
          <w:rFonts w:ascii="Calibri" w:cs="Calibri" w:eastAsia="Calibri" w:hAnsi="Calibri"/>
          <w:b/>
          <w:bCs/>
          <w:sz w:val="21"/>
          <w:szCs w:val="21"/>
        </w:rPr>
        <w:t xml:space="preserve">both</w:t>
      </w:r>
      <w:r>
        <w:rPr>
          <w:rFonts w:ascii="Calibri" w:cs="Calibri" w:eastAsia="Calibri" w:hAnsi="Calibri"/>
          <w:sz w:val="21"/>
          <w:szCs w:val="21"/>
        </w:rPr>
        <w:t xml:space="preserve"> of: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3400"/>
        <w:gridCol w:w="5960"/>
      </w:tblGrid>
      <w:tr>
        <w:trPr>
          <w:tblHeader/>
        </w:trPr>
        <w:tc>
          <w:tcPr>
            <w:tcW w:type="dxa" w:w="34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File</w:t>
            </w:r>
          </w:p>
        </w:tc>
        <w:tc>
          <w:tcPr>
            <w:tcW w:type="dxa" w:w="59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Why</w:t>
            </w:r>
          </w:p>
        </w:tc>
      </w:tr>
      <w:tr>
        <w:tc>
          <w:tcPr>
            <w:tcW w:type="dxa" w:w="34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dash/data/organizations.json</w:t>
            </w:r>
          </w:p>
        </w:tc>
        <w:tc>
          <w:tcPr>
            <w:tcW w:type="dxa" w:w="59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records themselves</w:t>
            </w:r>
          </w:p>
        </w:tc>
      </w:tr>
      <w:tr>
        <w:tc>
          <w:tcPr>
            <w:tcW w:type="dxa" w:w="34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dash/data/meta.json</w:t>
            </w:r>
          </w:p>
        </w:tc>
        <w:tc>
          <w:tcPr>
            <w:tcW w:type="dxa" w:w="59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Record count and state list, refreshed on every save. The filters read it.</w:t>
            </w:r>
          </w:p>
        </w:tc>
      </w:tr>
    </w:tbl>
    <w:p>
      <w:pPr>
        <w:spacing w:after="160"/>
      </w:pPr>
      <w:r>
        <w:t xml:space="preserve"/>
      </w:r>
    </w:p>
    <w:p>
      <w:pPr>
        <w:spacing w:after="120"/>
      </w:pPr>
      <w:r>
        <w:rPr>
          <w:rFonts w:ascii="Calibri" w:cs="Calibri" w:eastAsia="Calibri" w:hAnsi="Calibri"/>
          <w:sz w:val="21"/>
          <w:szCs w:val="21"/>
        </w:rPr>
        <w:t xml:space="preserve">Upload only the records and the filter dropdowns fall out of step with them — the new client is in the file but unreachable from the interface.</w:t>
      </w:r>
    </w:p>
    <w:tbl>
      <w:tblPr>
        <w:tblW w:type="dxa" w:w="9360"/>
        <w:tblBorders>
          <w:top w:val="none" w:color="auto" w:sz="0"/>
          <w:left w:val="single" w:color="CC202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CC2020"/>
                <w:sz w:val="17"/>
                <w:szCs w:val="17"/>
              </w:rPr>
              <w:t xml:space="preserve">NEVER UPLOAD DASH/TOOL/</w:t>
            </w:r>
          </w:p>
          <w:p>
            <w:pPr>
              <w:spacing w:after="0"/>
            </w:pPr>
            <w:r>
              <w:rPr>
                <w:rFonts w:ascii="Consolas" w:cs="Consolas" w:eastAsia="Consolas" w:hAnsi="Consolas"/>
                <w:sz w:val="19"/>
                <w:szCs w:val="19"/>
              </w:rPr>
              <w:t xml:space="preserve">orgs_config.json</w:t>
            </w:r>
            <w:r>
              <w:rPr>
                <w:rFonts w:ascii="Calibri" w:cs="Calibri" w:eastAsia="Calibri" w:hAnsi="Calibri"/>
                <w:sz w:val="21"/>
                <w:szCs w:val="21"/>
              </w:rPr>
              <w:t xml:space="preserve"> holds both API keys in plain text. It stays on your PC.</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7. Step 5 · The matching engine</w:t>
      </w:r>
    </w:p>
    <w:p>
      <w:pPr>
        <w:spacing w:after="160"/>
      </w:pPr>
      <w:r>
        <w:rPr>
          <w:rFonts w:ascii="Calibri" w:cs="Calibri" w:eastAsia="Calibri" w:hAnsi="Calibri"/>
          <w:i/>
          <w:iCs/>
          <w:color w:val="5F6D7E"/>
          <w:sz w:val="21"/>
          <w:szCs w:val="21"/>
        </w:rPr>
        <w:t xml:space="preserve">The step that has no button, no warning and no tool — and the one that decides whether the client ever receives a lead.</w:t>
      </w:r>
    </w:p>
    <w:p>
      <w:pPr>
        <w:spacing w:after="120"/>
      </w:pPr>
      <w:r>
        <w:rPr>
          <w:rFonts w:ascii="Calibri" w:cs="Calibri" w:eastAsia="Calibri" w:hAnsi="Calibri"/>
          <w:sz w:val="21"/>
          <w:szCs w:val="21"/>
        </w:rPr>
        <w:t xml:space="preserve">The dashboard and the scoring engine hold </w:t>
      </w:r>
      <w:r>
        <w:rPr>
          <w:rFonts w:ascii="Calibri" w:cs="Calibri" w:eastAsia="Calibri" w:hAnsi="Calibri"/>
          <w:b/>
          <w:bCs/>
          <w:sz w:val="21"/>
          <w:szCs w:val="21"/>
        </w:rPr>
        <w:t xml:space="preserve">the same roster of organisations in two different files</w:t>
      </w:r>
      <w:r>
        <w:rPr>
          <w:rFonts w:ascii="Calibri" w:cs="Calibri" w:eastAsia="Calibri" w:hAnsi="Calibri"/>
          <w:sz w:val="21"/>
          <w:szCs w:val="21"/>
        </w:rPr>
        <w:t xml:space="preserve">, keyed by the same id: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3100"/>
        <w:gridCol w:w="1900"/>
        <w:gridCol w:w="1900"/>
        <w:gridCol w:w="2460"/>
      </w:tblGrid>
      <w:tr>
        <w:trPr>
          <w:tblHeader/>
        </w:trPr>
        <w:tc>
          <w:tcPr>
            <w:tcW w:type="dxa" w:w="31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File</w:t>
            </w:r>
          </w:p>
        </w:tc>
        <w:tc>
          <w:tcPr>
            <w:tcW w:type="dxa" w:w="19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Lives on</w:t>
            </w:r>
          </w:p>
        </w:tc>
        <w:tc>
          <w:tcPr>
            <w:tcW w:type="dxa" w:w="19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Read by</w:t>
            </w:r>
          </w:p>
        </w:tc>
        <w:tc>
          <w:tcPr>
            <w:tcW w:type="dxa" w:w="24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Updated by steps 1–4?</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dash/data/organizations.json</w:t>
            </w:r>
          </w:p>
        </w:tc>
        <w:tc>
          <w:tcPr>
            <w:tcW w:type="dxa" w:w="1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web host</w:t>
            </w:r>
          </w:p>
        </w:tc>
        <w:tc>
          <w:tcPr>
            <w:tcW w:type="dxa" w:w="19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dashboard</w:t>
            </w:r>
          </w:p>
        </w:tc>
        <w:tc>
          <w:tcPr>
            <w:tcW w:type="dxa" w:w="246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yes</w:t>
            </w:r>
            <w:r>
              <w:rPr>
                <w:rFonts w:ascii="Calibri" w:cs="Calibri" w:eastAsia="Calibri" w:hAnsi="Calibri"/>
                <w:b w:val="false"/>
                <w:bCs w:val="false"/>
                <w:sz w:val="19"/>
                <w:szCs w:val="19"/>
              </w:rPr>
              <w:t xml:space="preserve"> — step 4</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edo_master_table_dual.json</w:t>
            </w:r>
          </w:p>
        </w:tc>
        <w:tc>
          <w:tcPr>
            <w:tcW w:type="dxa" w:w="19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Railway, in the API</w:t>
            </w:r>
          </w:p>
        </w:tc>
        <w:tc>
          <w:tcPr>
            <w:tcW w:type="dxa" w:w="1900"/>
            <w:shd w:fill="F4F7FB" w:color="auto" w:val="clear"/>
            <w:tcMar>
              <w:top w:type="dxa" w:w="60"/>
              <w:left w:type="dxa" w:w="110"/>
              <w:bottom w:type="dxa" w:w="60"/>
              <w:right w:type="dxa" w:w="110"/>
            </w:tcMar>
          </w:tcPr>
          <w:p>
            <w:pPr>
              <w:spacing w:after="0"/>
            </w:pPr>
            <w:r>
              <w:rPr>
                <w:rFonts w:ascii="Consolas" w:cs="Consolas" w:eastAsia="Consolas" w:hAnsi="Consolas"/>
                <w:b w:val="false"/>
                <w:bCs w:val="false"/>
                <w:sz w:val="17"/>
                <w:szCs w:val="17"/>
              </w:rPr>
              <w:t xml:space="preserve">scorer.py</w:t>
            </w:r>
          </w:p>
        </w:tc>
        <w:tc>
          <w:tcPr>
            <w:tcW w:type="dxa" w:w="246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no</w:t>
            </w:r>
          </w:p>
        </w:tc>
      </w:tr>
    </w:tbl>
    <w:p>
      <w:pPr>
        <w:spacing w:after="160"/>
      </w:pPr>
      <w:r>
        <w:t xml:space="preserve"/>
      </w:r>
    </w:p>
    <w:p>
      <w:pPr>
        <w:spacing w:after="120"/>
      </w:pPr>
      <w:r>
        <w:rPr>
          <w:rFonts w:ascii="Calibri" w:cs="Calibri" w:eastAsia="Calibri" w:hAnsi="Calibri"/>
          <w:sz w:val="21"/>
          <w:szCs w:val="21"/>
        </w:rPr>
        <w:t xml:space="preserve">Nothing synchronises them. A client added through steps 1 to 4 has a chatbot, a pin, properties and a dashboard — and is invisible to Where to Expand: My Project. The matching engine rolls every candidate county up to the EDO customer whose territory covers it, and an organisation absent from the master table serves no territory, so it is never anybody’s answer.</w:t>
      </w:r>
    </w:p>
    <w:p>
      <w:pPr>
        <w:pStyle w:val="Heading3"/>
        <w:spacing w:after="80" w:before="200"/>
      </w:pPr>
      <w:r>
        <w:rPr>
          <w:rFonts w:ascii="Calibri" w:cs="Calibri" w:eastAsia="Calibri" w:hAnsi="Calibri"/>
          <w:b/>
          <w:bCs/>
          <w:color w:val="39455A"/>
          <w:sz w:val="22"/>
          <w:szCs w:val="22"/>
        </w:rPr>
        <w:t xml:space="preserve">Add the row</w:t>
      </w:r>
    </w:p>
    <w:p>
      <w:pPr>
        <w:spacing w:after="120"/>
      </w:pPr>
      <w:r>
        <w:rPr>
          <w:rFonts w:ascii="Calibri" w:cs="Calibri" w:eastAsia="Calibri" w:hAnsi="Calibri"/>
          <w:sz w:val="21"/>
          <w:szCs w:val="21"/>
        </w:rPr>
        <w:t xml:space="preserve">Each record carries the same identity fields you have already filled in, plus a territory:</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"objectid": "4571",</w:t>
            </w:r>
          </w:p>
          <w:p>
            <w:pPr>
              <w:spacing w:after="0"/>
            </w:pPr>
            <w:r>
              <w:rPr>
                <w:rFonts w:ascii="Consolas" w:cs="Consolas" w:eastAsia="Consolas" w:hAnsi="Consolas"/>
                <w:sz w:val="18"/>
                <w:szCs w:val="18"/>
              </w:rPr>
              <w:t xml:space="preserve"> "organization": "Hancock County EDC",</w:t>
            </w:r>
          </w:p>
          <w:p>
            <w:pPr>
              <w:spacing w:after="0"/>
            </w:pPr>
            <w:r>
              <w:rPr>
                <w:rFonts w:ascii="Consolas" w:cs="Consolas" w:eastAsia="Consolas" w:hAnsi="Consolas"/>
                <w:sz w:val="18"/>
                <w:szCs w:val="18"/>
              </w:rPr>
              <w:t xml:space="preserve"> "category": "Local Development Agency",</w:t>
            </w:r>
          </w:p>
          <w:p>
            <w:pPr>
              <w:spacing w:after="0"/>
            </w:pPr>
            <w:r>
              <w:rPr>
                <w:rFonts w:ascii="Consolas" w:cs="Consolas" w:eastAsia="Consolas" w:hAnsi="Consolas"/>
                <w:sz w:val="18"/>
                <w:szCs w:val="18"/>
              </w:rPr>
              <w:t xml:space="preserve"> "city": "Findlay",</w:t>
            </w:r>
          </w:p>
          <w:p>
            <w:pPr>
              <w:spacing w:after="0"/>
            </w:pPr>
            <w:r>
              <w:rPr>
                <w:rFonts w:ascii="Consolas" w:cs="Consolas" w:eastAsia="Consolas" w:hAnsi="Consolas"/>
                <w:sz w:val="18"/>
                <w:szCs w:val="18"/>
              </w:rPr>
              <w:t xml:space="preserve"> "state": "OH",</w:t>
            </w:r>
          </w:p>
          <w:p>
            <w:pPr>
              <w:spacing w:after="0"/>
            </w:pPr>
            <w:r>
              <w:rPr>
                <w:rFonts w:ascii="Consolas" w:cs="Consolas" w:eastAsia="Consolas" w:hAnsi="Consolas"/>
                <w:sz w:val="18"/>
                <w:szCs w:val="18"/>
              </w:rPr>
              <w:t xml:space="preserve"> "country": "US",</w:t>
            </w:r>
          </w:p>
          <w:p>
            <w:pPr>
              <w:spacing w:after="0"/>
            </w:pPr>
            <w:r>
              <w:rPr>
                <w:rFonts w:ascii="Consolas" w:cs="Consolas" w:eastAsia="Consolas" w:hAnsi="Consolas"/>
                <w:sz w:val="18"/>
                <w:szCs w:val="18"/>
              </w:rPr>
              <w:t xml:space="preserve"> "latitude": "41.044", "longitude": "-83.650",</w:t>
            </w:r>
          </w:p>
          <w:p>
            <w:pPr>
              <w:spacing w:after="0"/>
            </w:pPr>
            <w:r>
              <w:rPr>
                <w:rFonts w:ascii="Consolas" w:cs="Consolas" w:eastAsia="Consolas" w:hAnsi="Consolas"/>
                <w:sz w:val="18"/>
                <w:szCs w:val="18"/>
              </w:rPr>
              <w:t xml:space="preserve"> "home_county_fips": "39063",</w:t>
            </w:r>
          </w:p>
          <w:p>
            <w:pPr>
              <w:spacing w:after="0"/>
            </w:pPr>
            <w:r>
              <w:rPr>
                <w:rFonts w:ascii="Consolas" w:cs="Consolas" w:eastAsia="Consolas" w:hAnsi="Consolas"/>
                <w:sz w:val="18"/>
                <w:szCs w:val="18"/>
              </w:rPr>
              <w:t xml:space="preserve"> "territory_fips": ["39063"],</w:t>
            </w:r>
          </w:p>
          <w:p>
            <w:pPr>
              <w:spacing w:after="0"/>
            </w:pPr>
            <w:r>
              <w:rPr>
                <w:rFonts w:ascii="Consolas" w:cs="Consolas" w:eastAsia="Consolas" w:hAnsi="Consolas"/>
                <w:sz w:val="18"/>
                <w:szCs w:val="18"/>
              </w:rPr>
              <w:t xml:space="preserve"> "territory_geoids": ["39063"],</w:t>
            </w:r>
          </w:p>
          <w:p>
            <w:pPr>
              <w:spacing w:after="0"/>
            </w:pPr>
            <w:r>
              <w:rPr>
                <w:rFonts w:ascii="Consolas" w:cs="Consolas" w:eastAsia="Consolas" w:hAnsi="Consolas"/>
                <w:sz w:val="18"/>
                <w:szCs w:val="18"/>
              </w:rPr>
              <w:t xml:space="preserve"> "geo_system": "US_FIPS", "geoid_type": "county_fips",</w:t>
            </w:r>
          </w:p>
          <w:p>
            <w:pPr>
              <w:spacing w:after="0"/>
            </w:pPr>
            <w:r>
              <w:rPr>
                <w:rFonts w:ascii="Consolas" w:cs="Consolas" w:eastAsia="Consolas" w:hAnsi="Consolas"/>
                <w:sz w:val="18"/>
                <w:szCs w:val="18"/>
              </w:rPr>
              <w:t xml:space="preserve"> "territory_basis": "home_county",</w:t>
            </w:r>
          </w:p>
          <w:p>
            <w:pPr>
              <w:spacing w:after="0"/>
            </w:pPr>
            <w:r>
              <w:rPr>
                <w:rFonts w:ascii="Consolas" w:cs="Consolas" w:eastAsia="Consolas" w:hAnsi="Consolas"/>
                <w:sz w:val="18"/>
                <w:szCs w:val="18"/>
              </w:rPr>
              <w:t xml:space="preserve"> "embed_url": "https://...", "ai_link": "https://....elf.site"</w:t>
            </w:r>
          </w:p>
          <w:p>
            <w:pPr>
              <w:spacing w:after="0"/>
            </w:pPr>
            <w:r>
              <w:rPr>
                <w:rFonts w:ascii="Consolas" w:cs="Consolas" w:eastAsia="Consolas" w:hAnsi="Consolas"/>
                <w:sz w:val="18"/>
                <w:szCs w:val="18"/>
              </w:rPr>
              <w:t xml:space="preserve">}</w:t>
            </w:r>
          </w:p>
        </w:tc>
      </w:tr>
    </w:tbl>
    <w:p>
      <w:pPr>
        <w:spacing w:after="160"/>
      </w:pPr>
      <w:r>
        <w:t xml:space="preserve"/>
      </w:r>
    </w:p>
    <w:p>
      <w:pPr>
        <w:spacing w:after="120"/>
      </w:pPr>
      <w:r>
        <w:rPr>
          <w:rFonts w:ascii="Consolas" w:cs="Consolas" w:eastAsia="Consolas" w:hAnsi="Consolas"/>
          <w:sz w:val="19"/>
          <w:szCs w:val="19"/>
        </w:rPr>
        <w:t xml:space="preserve">objectid</w:t>
      </w:r>
      <w:r>
        <w:rPr>
          <w:rFonts w:ascii="Calibri" w:cs="Calibri" w:eastAsia="Calibri" w:hAnsi="Calibri"/>
          <w:sz w:val="21"/>
          <w:szCs w:val="21"/>
        </w:rPr>
        <w:t xml:space="preserve"> is a </w:t>
      </w:r>
      <w:r>
        <w:rPr>
          <w:rFonts w:ascii="Calibri" w:cs="Calibri" w:eastAsia="Calibri" w:hAnsi="Calibri"/>
          <w:b/>
          <w:bCs/>
          <w:sz w:val="21"/>
          <w:szCs w:val="21"/>
        </w:rPr>
        <w:t xml:space="preserve">string</w:t>
      </w:r>
      <w:r>
        <w:rPr>
          <w:rFonts w:ascii="Calibri" w:cs="Calibri" w:eastAsia="Calibri" w:hAnsi="Calibri"/>
          <w:sz w:val="21"/>
          <w:szCs w:val="21"/>
        </w:rPr>
        <w:t xml:space="preserve">, and it is the same number as everywhere else. </w:t>
      </w:r>
      <w:r>
        <w:rPr>
          <w:rFonts w:ascii="Consolas" w:cs="Consolas" w:eastAsia="Consolas" w:hAnsi="Consolas"/>
          <w:sz w:val="19"/>
          <w:szCs w:val="19"/>
        </w:rPr>
        <w:t xml:space="preserve">ai_link</w:t>
      </w:r>
      <w:r>
        <w:rPr>
          <w:rFonts w:ascii="Calibri" w:cs="Calibri" w:eastAsia="Calibri" w:hAnsi="Calibri"/>
          <w:sz w:val="21"/>
          <w:szCs w:val="21"/>
        </w:rPr>
        <w:t xml:space="preserve"> and </w:t>
      </w:r>
      <w:r>
        <w:rPr>
          <w:rFonts w:ascii="Consolas" w:cs="Consolas" w:eastAsia="Consolas" w:hAnsi="Consolas"/>
          <w:sz w:val="19"/>
          <w:szCs w:val="19"/>
        </w:rPr>
        <w:t xml:space="preserve">embed_url</w:t>
      </w:r>
      <w:r>
        <w:rPr>
          <w:rFonts w:ascii="Calibri" w:cs="Calibri" w:eastAsia="Calibri" w:hAnsi="Calibri"/>
          <w:sz w:val="21"/>
          <w:szCs w:val="21"/>
        </w:rPr>
        <w:t xml:space="preserve"> are the two URLs from steps 1 and 2 again.</w:t>
      </w:r>
    </w:p>
    <w:p>
      <w:pPr>
        <w:spacing w:after="120"/>
      </w:pPr>
      <w:r>
        <w:rPr>
          <w:rFonts w:ascii="Calibri" w:cs="Calibri" w:eastAsia="Calibri" w:hAnsi="Calibri"/>
          <w:sz w:val="21"/>
          <w:szCs w:val="21"/>
        </w:rPr>
        <w:t xml:space="preserve">How the territory is set depends on what the client is: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400"/>
        <w:gridCol w:w="6960"/>
      </w:tblGrid>
      <w:tr>
        <w:trPr>
          <w:tblHeader/>
        </w:trPr>
        <w:tc>
          <w:tcPr>
            <w:tcW w:type="dxa" w:w="24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Kind</w:t>
            </w:r>
          </w:p>
        </w:tc>
        <w:tc>
          <w:tcPr>
            <w:tcW w:type="dxa" w:w="69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Territory</w:t>
            </w:r>
          </w:p>
        </w:tc>
      </w:tr>
      <w:tr>
        <w:tc>
          <w:tcPr>
            <w:tcW w:type="dxa" w:w="24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local agency</w:t>
            </w:r>
          </w:p>
        </w:tc>
        <w:tc>
          <w:tcPr>
            <w:tcW w:type="dxa" w:w="69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Its home county. </w:t>
            </w:r>
            <w:r>
              <w:rPr>
                <w:rFonts w:ascii="Consolas" w:cs="Consolas" w:eastAsia="Consolas" w:hAnsi="Consolas"/>
                <w:b w:val="false"/>
                <w:bCs w:val="false"/>
                <w:sz w:val="17"/>
                <w:szCs w:val="17"/>
              </w:rPr>
              <w:t xml:space="preserve">territory_basis: "home_county"</w:t>
            </w:r>
            <w:r>
              <w:rPr>
                <w:rFonts w:ascii="Calibri" w:cs="Calibri" w:eastAsia="Calibri" w:hAnsi="Calibri"/>
                <w:b w:val="false"/>
                <w:bCs w:val="false"/>
                <w:sz w:val="19"/>
                <w:szCs w:val="19"/>
              </w:rPr>
              <w:t xml:space="preserve"> — type it in.</w:t>
            </w:r>
          </w:p>
        </w:tc>
      </w:tr>
      <w:tr>
        <w:tc>
          <w:tcPr>
            <w:tcW w:type="dxa" w:w="24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An electric utility</w:t>
            </w:r>
          </w:p>
        </w:tc>
        <w:tc>
          <w:tcPr>
            <w:tcW w:type="dxa" w:w="69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Resolved from EIA-861 by </w:t>
            </w:r>
            <w:r>
              <w:rPr>
                <w:rFonts w:ascii="Consolas" w:cs="Consolas" w:eastAsia="Consolas" w:hAnsi="Consolas"/>
                <w:b w:val="false"/>
                <w:bCs w:val="false"/>
                <w:sz w:val="17"/>
                <w:szCs w:val="17"/>
              </w:rPr>
              <w:t xml:space="preserve">build_utility_territories.py</w:t>
            </w:r>
            <w:r>
              <w:rPr>
                <w:rFonts w:ascii="Calibri" w:cs="Calibri" w:eastAsia="Calibri" w:hAnsi="Calibri"/>
                <w:b w:val="false"/>
                <w:bCs w:val="false"/>
                <w:sz w:val="19"/>
                <w:szCs w:val="19"/>
              </w:rPr>
              <w:t xml:space="preserve">, which writes </w:t>
            </w:r>
            <w:r>
              <w:rPr>
                <w:rFonts w:ascii="Consolas" w:cs="Consolas" w:eastAsia="Consolas" w:hAnsi="Consolas"/>
                <w:b w:val="false"/>
                <w:bCs w:val="false"/>
                <w:sz w:val="17"/>
                <w:szCs w:val="17"/>
              </w:rPr>
              <w:t xml:space="preserve">territory_geoids</w:t>
            </w:r>
            <w:r>
              <w:rPr>
                <w:rFonts w:ascii="Calibri" w:cs="Calibri" w:eastAsia="Calibri" w:hAnsi="Calibri"/>
                <w:b w:val="false"/>
                <w:bCs w:val="false"/>
                <w:sz w:val="19"/>
                <w:szCs w:val="19"/>
              </w:rPr>
              <w:t xml:space="preserve"> into the master table.</w:t>
            </w:r>
          </w:p>
        </w:tc>
      </w:tr>
      <w:tr>
        <w:tc>
          <w:tcPr>
            <w:tcW w:type="dxa" w:w="24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regional agency</w:t>
            </w:r>
          </w:p>
        </w:tc>
        <w:tc>
          <w:tcPr>
            <w:tcW w:type="dxa" w:w="69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From </w:t>
            </w:r>
            <w:r>
              <w:rPr>
                <w:rFonts w:ascii="Consolas" w:cs="Consolas" w:eastAsia="Consolas" w:hAnsi="Consolas"/>
                <w:b w:val="false"/>
                <w:bCs w:val="false"/>
                <w:sz w:val="17"/>
                <w:szCs w:val="17"/>
              </w:rPr>
              <w:t xml:space="preserve">regional_edo_members.json</w:t>
            </w:r>
            <w:r>
              <w:rPr>
                <w:rFonts w:ascii="Calibri" w:cs="Calibri" w:eastAsia="Calibri" w:hAnsi="Calibri"/>
                <w:b w:val="false"/>
                <w:bCs w:val="false"/>
                <w:sz w:val="19"/>
                <w:szCs w:val="19"/>
              </w:rPr>
              <w:t xml:space="preserve"> via </w:t>
            </w:r>
            <w:r>
              <w:rPr>
                <w:rFonts w:ascii="Consolas" w:cs="Consolas" w:eastAsia="Consolas" w:hAnsi="Consolas"/>
                <w:b w:val="false"/>
                <w:bCs w:val="false"/>
                <w:sz w:val="17"/>
                <w:szCs w:val="17"/>
              </w:rPr>
              <w:t xml:space="preserve">build_regional_territories.py</w:t>
            </w:r>
            <w:r>
              <w:rPr>
                <w:rFonts w:ascii="Calibri" w:cs="Calibri" w:eastAsia="Calibri" w:hAnsi="Calibri"/>
                <w:b w:val="false"/>
                <w:bCs w:val="false"/>
                <w:sz w:val="19"/>
                <w:szCs w:val="19"/>
              </w:rPr>
              <w:t xml:space="preserve">. Add the members there first; without them it keeps a single home county and stays flagged INCOMPLETE.</w:t>
            </w:r>
          </w:p>
        </w:tc>
      </w:tr>
    </w:tbl>
    <w:p>
      <w:pPr>
        <w:spacing w:after="160"/>
      </w:pPr>
      <w:r>
        <w:t xml:space="preserve"/>
      </w:r>
    </w:p>
    <w:p>
      <w:pPr>
        <w:pStyle w:val="Heading3"/>
        <w:spacing w:after="80" w:before="200"/>
      </w:pPr>
      <w:r>
        <w:rPr>
          <w:rFonts w:ascii="Calibri" w:cs="Calibri" w:eastAsia="Calibri" w:hAnsi="Calibri"/>
          <w:b/>
          <w:bCs/>
          <w:color w:val="39455A"/>
          <w:sz w:val="22"/>
          <w:szCs w:val="22"/>
        </w:rPr>
        <w:t xml:space="preserve">Rebuild the routing indexes and ship it</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0"/>
            </w:pPr>
            <w:r>
              <w:rPr>
                <w:rFonts w:ascii="Consolas" w:cs="Consolas" w:eastAsia="Consolas" w:hAnsi="Consolas"/>
                <w:sz w:val="18"/>
                <w:szCs w:val="18"/>
              </w:rPr>
              <w:t xml:space="preserve">python build_edo_indexes.py     # master table -&gt; edo_fips_index.json + edo_ca_cd_index.json</w:t>
            </w:r>
          </w:p>
          <w:p>
            <w:pPr>
              <w:spacing w:after="0"/>
            </w:pPr>
            <w:r>
              <w:rPr>
                <w:rFonts w:ascii="Consolas" w:cs="Consolas" w:eastAsia="Consolas" w:hAnsi="Consolas"/>
                <w:sz w:val="18"/>
                <w:szCs w:val="18"/>
              </w:rPr>
              <w:t xml:space="preserve">git add -A &amp;&amp; git commit &amp;&amp; git push</w:t>
            </w:r>
          </w:p>
        </w:tc>
      </w:tr>
    </w:tbl>
    <w:p>
      <w:pPr>
        <w:spacing w:after="160"/>
      </w:pPr>
      <w:r>
        <w:t xml:space="preserve"/>
      </w:r>
    </w:p>
    <w:p>
      <w:pPr>
        <w:spacing w:after="120"/>
      </w:pPr>
      <w:r>
        <w:rPr>
          <w:rFonts w:ascii="Calibri" w:cs="Calibri" w:eastAsia="Calibri" w:hAnsi="Calibri"/>
          <w:sz w:val="21"/>
          <w:szCs w:val="21"/>
        </w:rPr>
        <w:t xml:space="preserve">The two indexes map county FIPS (and Canadian CDUID) to the objectids that serve them. The scorer reads the indexes, not the master table, so a new organisation that is not in them routes to nobody. Railway redeploys from </w:t>
      </w:r>
      <w:r>
        <w:rPr>
          <w:rFonts w:ascii="Consolas" w:cs="Consolas" w:eastAsia="Consolas" w:hAnsi="Consolas"/>
          <w:sz w:val="19"/>
          <w:szCs w:val="19"/>
        </w:rPr>
        <w:t xml:space="preserve">main</w:t>
      </w:r>
      <w:r>
        <w:rPr>
          <w:rFonts w:ascii="Calibri" w:cs="Calibri" w:eastAsia="Calibri" w:hAnsi="Calibri"/>
          <w:sz w:val="21"/>
          <w:szCs w:val="21"/>
        </w:rPr>
        <w:t xml:space="preserve">; confirm the deploy carried it:</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0"/>
            </w:pPr>
            <w:r>
              <w:rPr>
                <w:rFonts w:ascii="Consolas" w:cs="Consolas" w:eastAsia="Consolas" w:hAnsi="Consolas"/>
                <w:sz w:val="18"/>
                <w:szCs w:val="18"/>
              </w:rPr>
              <w:t xml:space="preserve">https://fastlocations-scoring-api-production.up.railway.app/health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{"counties":3144,"edos":391,"states_with_incentives":65,"status":"ok"}</w:t>
            </w:r>
          </w:p>
        </w:tc>
      </w:tr>
    </w:tbl>
    <w:p>
      <w:pPr>
        <w:spacing w:after="160"/>
      </w:pPr>
      <w:r>
        <w:t xml:space="preserve"/>
      </w:r>
    </w:p>
    <w:p>
      <w:pPr>
        <w:spacing w:after="120"/>
      </w:pPr>
      <w:r>
        <w:rPr>
          <w:rFonts w:ascii="Consolas" w:cs="Consolas" w:eastAsia="Consolas" w:hAnsi="Consolas"/>
          <w:sz w:val="19"/>
          <w:szCs w:val="19"/>
        </w:rPr>
        <w:t xml:space="preserve">edos</w:t>
      </w:r>
      <w:r>
        <w:rPr>
          <w:rFonts w:ascii="Calibri" w:cs="Calibri" w:eastAsia="Calibri" w:hAnsi="Calibri"/>
          <w:sz w:val="21"/>
          <w:szCs w:val="21"/>
        </w:rPr>
        <w:t xml:space="preserve"> should have gone up by one. If it still reads the old number, the deploy has not run or ran from the wrong branch.</w:t>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THE PROPERTY BONUS USUALLY NEEDS NOTHING</w:t>
            </w:r>
          </w:p>
          <w:p>
            <w:pPr>
              <w:spacing w:after="0"/>
            </w:pPr>
            <w:r>
              <w:rPr>
                <w:rFonts w:ascii="Calibri" w:cs="Calibri" w:eastAsia="Calibri" w:hAnsi="Calibri"/>
                <w:sz w:val="21"/>
                <w:szCs w:val="21"/>
              </w:rPr>
              <w:t xml:space="preserve">Counties served by an organisation with listed properties get a scoring bonus. If </w:t>
            </w:r>
            <w:r>
              <w:rPr>
                <w:rFonts w:ascii="Consolas" w:cs="Consolas" w:eastAsia="Consolas" w:hAnsi="Consolas"/>
                <w:sz w:val="19"/>
                <w:szCs w:val="19"/>
              </w:rPr>
              <w:t xml:space="preserve">PROPERTIES_JS_URL</w:t>
            </w:r>
            <w:r>
              <w:rPr>
                <w:rFonts w:ascii="Calibri" w:cs="Calibri" w:eastAsia="Calibri" w:hAnsi="Calibri"/>
                <w:sz w:val="21"/>
                <w:szCs w:val="21"/>
              </w:rPr>
              <w:t xml:space="preserve"> is set, the scorer re-reads the dashboard’s </w:t>
            </w:r>
            <w:r>
              <w:rPr>
                <w:rFonts w:ascii="Consolas" w:cs="Consolas" w:eastAsia="Consolas" w:hAnsi="Consolas"/>
                <w:sz w:val="19"/>
                <w:szCs w:val="19"/>
              </w:rPr>
              <w:t xml:space="preserve">properties.js</w:t>
            </w:r>
            <w:r>
              <w:rPr>
                <w:rFonts w:ascii="Calibri" w:cs="Calibri" w:eastAsia="Calibri" w:hAnsi="Calibri"/>
                <w:sz w:val="21"/>
                <w:szCs w:val="21"/>
              </w:rPr>
              <w:t xml:space="preserve"> every fifteen minutes and resolves the labels itself — so step 3 propagates on its own, with no rebuild and no push. Only if that variable is unset does it fall back to the bundled snapshot, which is when you rerun </w:t>
            </w:r>
            <w:r>
              <w:rPr>
                <w:rFonts w:ascii="Consolas" w:cs="Consolas" w:eastAsia="Consolas" w:hAnsi="Consolas"/>
                <w:sz w:val="19"/>
                <w:szCs w:val="19"/>
              </w:rPr>
              <w:t xml:space="preserve">build_property_orgs.py</w:t>
            </w:r>
            <w:r>
              <w:rPr>
                <w:rFonts w:ascii="Calibri" w:cs="Calibri" w:eastAsia="Calibri" w:hAnsi="Calibri"/>
                <w:sz w:val="21"/>
                <w:szCs w:val="21"/>
              </w:rPr>
              <w:t xml:space="preserve"> (or the orgs_with_properties dataset in the Data Refresh Tool) and push.</w:t>
            </w:r>
          </w:p>
        </w:tc>
      </w:tr>
    </w:tbl>
    <w:p>
      <w:pPr>
        <w:spacing w:after="160"/>
      </w:pPr>
      <w:r>
        <w:t xml:space="preserve"/>
      </w:r>
    </w:p>
    <w:tbl>
      <w:tblPr>
        <w:tblW w:type="dxa" w:w="9360"/>
        <w:tblBorders>
          <w:top w:val="none" w:color="auto" w:sz="0"/>
          <w:left w:val="single" w:color="A2600B"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A2600B"/>
                <w:sz w:val="17"/>
                <w:szCs w:val="17"/>
              </w:rPr>
              <w:t xml:space="preserve">RE-CHECK THE REGIONAL BALANCE</w:t>
            </w:r>
          </w:p>
          <w:p>
            <w:pPr>
              <w:spacing w:after="0"/>
            </w:pPr>
            <w:r>
              <w:rPr>
                <w:rFonts w:ascii="Consolas" w:cs="Consolas" w:eastAsia="Consolas" w:hAnsi="Consolas"/>
                <w:sz w:val="19"/>
                <w:szCs w:val="19"/>
              </w:rPr>
              <w:t xml:space="preserve">python check_regional_balance.py</w:t>
            </w:r>
            <w:r>
              <w:rPr>
                <w:rFonts w:ascii="Calibri" w:cs="Calibri" w:eastAsia="Calibri" w:hAnsi="Calibri"/>
                <w:sz w:val="21"/>
                <w:szCs w:val="21"/>
              </w:rPr>
              <w:t xml:space="preserve"> reports how evenly the Top 5 spreads across regions and where customer coverage is thin. Worth running after a batch of new clients — it is how you find out that a whole region still has nobody to route to.</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8. One number, five places</w:t>
      </w:r>
    </w:p>
    <w:p>
      <w:pPr>
        <w:spacing w:after="160"/>
      </w:pPr>
      <w:r>
        <w:rPr>
          <w:rFonts w:ascii="Calibri" w:cs="Calibri" w:eastAsia="Calibri" w:hAnsi="Calibri"/>
          <w:i/>
          <w:iCs/>
          <w:color w:val="5F6D7E"/>
          <w:sz w:val="21"/>
          <w:szCs w:val="21"/>
        </w:rPr>
        <w:t xml:space="preserve">The single most common way a client ends up half-added.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3100"/>
        <w:gridCol w:w="1700"/>
        <w:gridCol w:w="4560"/>
      </w:tblGrid>
      <w:tr>
        <w:trPr>
          <w:tblHeader/>
        </w:trPr>
        <w:tc>
          <w:tcPr>
            <w:tcW w:type="dxa" w:w="31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Where</w:t>
            </w:r>
          </w:p>
        </w:tc>
        <w:tc>
          <w:tcPr>
            <w:tcW w:type="dxa" w:w="17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Called</w:t>
            </w:r>
          </w:p>
        </w:tc>
        <w:tc>
          <w:tcPr>
            <w:tcW w:type="dxa" w:w="45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Watch for</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FL_Add_Client Template.csv</w:t>
            </w:r>
          </w:p>
        </w:tc>
        <w:tc>
          <w:tcPr>
            <w:tcW w:type="dxa" w:w="17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45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Must be larger than the previous entry</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AD_AI2 feature layer</w:t>
            </w:r>
          </w:p>
        </w:tc>
        <w:tc>
          <w:tcPr>
            <w:tcW w:type="dxa" w:w="17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45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Appended only, never reordered</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Scraper account — port 5000</w:t>
            </w:r>
          </w:p>
        </w:tc>
        <w:tc>
          <w:tcPr>
            <w:tcW w:type="dxa" w:w="17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dashId</w:t>
            </w:r>
          </w:p>
        </w:tc>
        <w:tc>
          <w:tcPr>
            <w:tcW w:type="dxa" w:w="45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Duplicates are blocked; one org’s list can feed several dashboards</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dash/data/organizations.json</w:t>
            </w:r>
          </w:p>
        </w:tc>
        <w:tc>
          <w:tcPr>
            <w:tcW w:type="dxa" w:w="17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456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The tool pre-fills a different number</w:t>
            </w:r>
            <w:r>
              <w:rPr>
                <w:rFonts w:ascii="Calibri" w:cs="Calibri" w:eastAsia="Calibri" w:hAnsi="Calibri"/>
                <w:b w:val="false"/>
                <w:bCs w:val="false"/>
                <w:sz w:val="19"/>
                <w:szCs w:val="19"/>
              </w:rPr>
              <w:t xml:space="preserve"> — type over it</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edo_master_table_dual.json</w:t>
            </w:r>
          </w:p>
        </w:tc>
        <w:tc>
          <w:tcPr>
            <w:tcW w:type="dxa" w:w="17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w:t>
            </w:r>
          </w:p>
        </w:tc>
        <w:tc>
          <w:tcPr>
            <w:tcW w:type="dxa" w:w="45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string, e.g. "4571"</w:t>
            </w:r>
          </w:p>
        </w:tc>
      </w:tr>
    </w:tbl>
    <w:p>
      <w:pPr>
        <w:spacing w:after="160"/>
      </w:pPr>
      <w:r>
        <w:t xml:space="preserve"/>
      </w:r>
    </w:p>
    <w:tbl>
      <w:tblPr>
        <w:tblW w:type="dxa" w:w="9360"/>
        <w:tblBorders>
          <w:top w:val="none" w:color="auto" w:sz="0"/>
          <w:left w:val="single" w:color="A2600B"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A2600B"/>
                <w:sz w:val="17"/>
                <w:szCs w:val="17"/>
              </w:rPr>
              <w:t xml:space="preserve">THE PRE-FILLED ID IS THE TRAP</w:t>
            </w:r>
          </w:p>
          <w:p>
            <w:pPr>
              <w:spacing w:after="0"/>
            </w:pPr>
            <w:r>
              <w:rPr>
                <w:rFonts w:ascii="Calibri" w:cs="Calibri" w:eastAsia="Calibri" w:hAnsi="Calibri"/>
                <w:sz w:val="21"/>
                <w:szCs w:val="21"/>
              </w:rPr>
              <w:t xml:space="preserve">The Organizations editor pre-fills the next free OBJECTID, and its own runbook tells you to accept it — correct advice when you are creating a record from scratch, wrong here. You already chose the number in step 2 and three other systems are using it. Type over the suggestion. If the editor refuses it as a duplicate, that number is genuinely taken and it is step 2 that needs revisiting, not step 4.</w:t>
            </w:r>
          </w:p>
        </w:tc>
      </w:tr>
    </w:tbl>
    <w:p>
      <w:pPr>
        <w:spacing w:after="160"/>
      </w:pPr>
      <w:r>
        <w:t xml:space="preserve"/>
      </w:r>
    </w:p>
    <w:p>
      <w:pPr>
        <w:spacing w:after="120"/>
      </w:pPr>
      <w:r>
        <w:rPr>
          <w:rFonts w:ascii="Calibri" w:cs="Calibri" w:eastAsia="Calibri" w:hAnsi="Calibri"/>
          <w:sz w:val="21"/>
          <w:szCs w:val="21"/>
        </w:rPr>
        <w:t xml:space="preserve">Two URLs travel just as far. The </w:t>
      </w:r>
      <w:r>
        <w:rPr>
          <w:rFonts w:ascii="Consolas" w:cs="Consolas" w:eastAsia="Consolas" w:hAnsi="Consolas"/>
          <w:sz w:val="19"/>
          <w:szCs w:val="19"/>
        </w:rPr>
        <w:t xml:space="preserve">elf.site</w:t>
      </w:r>
      <w:r>
        <w:rPr>
          <w:rFonts w:ascii="Calibri" w:cs="Calibri" w:eastAsia="Calibri" w:hAnsi="Calibri"/>
          <w:sz w:val="21"/>
          <w:szCs w:val="21"/>
        </w:rPr>
        <w:t xml:space="preserve"> link from step 1 is the </w:t>
      </w:r>
      <w:r>
        <w:rPr>
          <w:rFonts w:ascii="Calibri" w:cs="Calibri" w:eastAsia="Calibri" w:hAnsi="Calibri"/>
          <w:b/>
          <w:bCs/>
          <w:sz w:val="21"/>
          <w:szCs w:val="21"/>
        </w:rPr>
        <w:t xml:space="preserve">AI Link</w:t>
      </w:r>
      <w:r>
        <w:rPr>
          <w:rFonts w:ascii="Calibri" w:cs="Calibri" w:eastAsia="Calibri" w:hAnsi="Calibri"/>
          <w:sz w:val="21"/>
          <w:szCs w:val="21"/>
        </w:rPr>
        <w:t xml:space="preserve"> in the CSV, the </w:t>
      </w:r>
      <w:r>
        <w:rPr>
          <w:rFonts w:ascii="Calibri" w:cs="Calibri" w:eastAsia="Calibri" w:hAnsi="Calibri"/>
          <w:b/>
          <w:bCs/>
          <w:sz w:val="21"/>
          <w:szCs w:val="21"/>
        </w:rPr>
        <w:t xml:space="preserve">AI Link</w:t>
      </w:r>
      <w:r>
        <w:rPr>
          <w:rFonts w:ascii="Calibri" w:cs="Calibri" w:eastAsia="Calibri" w:hAnsi="Calibri"/>
          <w:sz w:val="21"/>
          <w:szCs w:val="21"/>
        </w:rPr>
        <w:t xml:space="preserve"> in the dashboard record, and </w:t>
      </w:r>
      <w:r>
        <w:rPr>
          <w:rFonts w:ascii="Consolas" w:cs="Consolas" w:eastAsia="Consolas" w:hAnsi="Consolas"/>
          <w:sz w:val="19"/>
          <w:szCs w:val="19"/>
        </w:rPr>
        <w:t xml:space="preserve">ai_link</w:t>
      </w:r>
      <w:r>
        <w:rPr>
          <w:rFonts w:ascii="Calibri" w:cs="Calibri" w:eastAsia="Calibri" w:hAnsi="Calibri"/>
          <w:sz w:val="21"/>
          <w:szCs w:val="21"/>
        </w:rPr>
        <w:t xml:space="preserve"> in the master table. The client’s own website is </w:t>
      </w:r>
      <w:r>
        <w:rPr>
          <w:rFonts w:ascii="Calibri" w:cs="Calibri" w:eastAsia="Calibri" w:hAnsi="Calibri"/>
          <w:b/>
          <w:bCs/>
          <w:sz w:val="21"/>
          <w:szCs w:val="21"/>
        </w:rPr>
        <w:t xml:space="preserve">Embed</w:t>
      </w:r>
      <w:r>
        <w:rPr>
          <w:rFonts w:ascii="Calibri" w:cs="Calibri" w:eastAsia="Calibri" w:hAnsi="Calibri"/>
          <w:sz w:val="21"/>
          <w:szCs w:val="21"/>
        </w:rPr>
        <w:t xml:space="preserve"> in the CSV and </w:t>
      </w:r>
      <w:r>
        <w:rPr>
          <w:rFonts w:ascii="Consolas" w:cs="Consolas" w:eastAsia="Consolas" w:hAnsi="Consolas"/>
          <w:sz w:val="19"/>
          <w:szCs w:val="19"/>
        </w:rPr>
        <w:t xml:space="preserve">embed_url</w:t>
      </w:r>
      <w:r>
        <w:rPr>
          <w:rFonts w:ascii="Calibri" w:cs="Calibri" w:eastAsia="Calibri" w:hAnsi="Calibri"/>
          <w:sz w:val="21"/>
          <w:szCs w:val="21"/>
        </w:rPr>
        <w:t xml:space="preserve"> in the master table.</w:t>
      </w:r>
    </w:p>
    <w:p>
      <w:pPr>
        <w:pStyle w:val="Heading1"/>
        <w:spacing w:after="120" w:before="360"/>
      </w:pPr>
      <w:r>
        <w:rPr>
          <w:rFonts w:ascii="Calibri" w:cs="Calibri" w:eastAsia="Calibri" w:hAnsi="Calibri"/>
          <w:b/>
          <w:bCs/>
          <w:color w:val="143F78"/>
          <w:sz w:val="30"/>
          <w:szCs w:val="30"/>
        </w:rPr>
        <w:t xml:space="preserve">9. Checking it worked</w:t>
      </w:r>
    </w:p>
    <w:p>
      <w:pPr>
        <w:spacing w:after="160"/>
      </w:pPr>
      <w:r>
        <w:rPr>
          <w:rFonts w:ascii="Calibri" w:cs="Calibri" w:eastAsia="Calibri" w:hAnsi="Calibri"/>
          <w:i/>
          <w:iCs/>
          <w:color w:val="5F6D7E"/>
          <w:sz w:val="21"/>
          <w:szCs w:val="21"/>
        </w:rPr>
        <w:t xml:space="preserve">Five systems, five separate proofs. None of them tells you about the others.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2200"/>
        <w:gridCol w:w="7160"/>
      </w:tblGrid>
      <w:tr>
        <w:trPr>
          <w:tblHeader/>
        </w:trPr>
        <w:tc>
          <w:tcPr>
            <w:tcW w:type="dxa" w:w="22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Step</w:t>
            </w:r>
          </w:p>
        </w:tc>
        <w:tc>
          <w:tcPr>
            <w:tcW w:type="dxa" w:w="71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Proof</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1</w:t>
            </w:r>
            <w:r>
              <w:rPr>
                <w:rFonts w:ascii="Calibri" w:cs="Calibri" w:eastAsia="Calibri" w:hAnsi="Calibri"/>
                <w:b w:val="false"/>
                <w:bCs w:val="false"/>
                <w:sz w:val="19"/>
                <w:szCs w:val="19"/>
              </w:rPr>
              <w:t xml:space="preserve"> Chatbot</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t>
            </w:r>
            <w:r>
              <w:rPr>
                <w:rFonts w:ascii="Consolas" w:cs="Consolas" w:eastAsia="Consolas" w:hAnsi="Consolas"/>
                <w:b w:val="false"/>
                <w:bCs w:val="false"/>
                <w:sz w:val="17"/>
                <w:szCs w:val="17"/>
              </w:rPr>
              <w:t xml:space="preserve">elf.site</w:t>
            </w:r>
            <w:r>
              <w:rPr>
                <w:rFonts w:ascii="Calibri" w:cs="Calibri" w:eastAsia="Calibri" w:hAnsi="Calibri"/>
                <w:b w:val="false"/>
                <w:bCs w:val="false"/>
                <w:sz w:val="19"/>
                <w:szCs w:val="19"/>
              </w:rPr>
              <w:t xml:space="preserve"> URL opens and the assistant answers a question about the client’s business. The widget shows the FastLocations project, not “—”.</w:t>
            </w:r>
          </w:p>
        </w:tc>
      </w:tr>
      <w:tr>
        <w:tc>
          <w:tcPr>
            <w:tcW w:type="dxa" w:w="22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2</w:t>
            </w:r>
            <w:r>
              <w:rPr>
                <w:rFonts w:ascii="Calibri" w:cs="Calibri" w:eastAsia="Calibri" w:hAnsi="Calibri"/>
                <w:b w:val="false"/>
                <w:bCs w:val="false"/>
                <w:sz w:val="19"/>
                <w:szCs w:val="19"/>
              </w:rPr>
              <w:t xml:space="preserve"> Map</w:t>
            </w:r>
          </w:p>
        </w:tc>
        <w:tc>
          <w:tcPr>
            <w:tcW w:type="dxa" w:w="7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new row is the last one in AD_AI2’s table, with the OBJECTID you chose.</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3</w:t>
            </w:r>
            <w:r>
              <w:rPr>
                <w:rFonts w:ascii="Calibri" w:cs="Calibri" w:eastAsia="Calibri" w:hAnsi="Calibri"/>
                <w:b w:val="false"/>
                <w:bCs w:val="false"/>
                <w:sz w:val="19"/>
                <w:szCs w:val="19"/>
              </w:rPr>
              <w:t xml:space="preserve"> Properties</w:t>
            </w:r>
          </w:p>
        </w:tc>
        <w:tc>
          <w:tcPr>
            <w:tcW w:type="dxa" w:w="7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run logs a record count above zero, and </w:t>
            </w:r>
            <w:r>
              <w:rPr>
                <w:rFonts w:ascii="Consolas" w:cs="Consolas" w:eastAsia="Consolas" w:hAnsi="Consolas"/>
                <w:b w:val="false"/>
                <w:bCs w:val="false"/>
                <w:sz w:val="17"/>
                <w:szCs w:val="17"/>
              </w:rPr>
              <w:t xml:space="preserve">properties_all.json</w:t>
            </w:r>
            <w:r>
              <w:rPr>
                <w:rFonts w:ascii="Calibri" w:cs="Calibri" w:eastAsia="Calibri" w:hAnsi="Calibri"/>
                <w:b w:val="false"/>
                <w:bCs w:val="false"/>
                <w:sz w:val="19"/>
                <w:szCs w:val="19"/>
              </w:rPr>
              <w:t xml:space="preserve"> has been rewritten.</w:t>
            </w:r>
          </w:p>
        </w:tc>
      </w:tr>
      <w:tr>
        <w:tc>
          <w:tcPr>
            <w:tcW w:type="dxa" w:w="2200"/>
            <w:shd w:fill="F4F7FB"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4</w:t>
            </w:r>
            <w:r>
              <w:rPr>
                <w:rFonts w:ascii="Calibri" w:cs="Calibri" w:eastAsia="Calibri" w:hAnsi="Calibri"/>
                <w:b w:val="false"/>
                <w:bCs w:val="false"/>
                <w:sz w:val="19"/>
                <w:szCs w:val="19"/>
              </w:rPr>
              <w:t xml:space="preserve"> Dashboard</w:t>
            </w:r>
          </w:p>
        </w:tc>
        <w:tc>
          <w:tcPr>
            <w:tcW w:type="dxa" w:w="7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badge read valid before saving; both files uploaded; the client appears in the live filter dropdowns.</w:t>
            </w:r>
          </w:p>
        </w:tc>
      </w:tr>
      <w:tr>
        <w:tc>
          <w:tcPr>
            <w:tcW w:type="dxa" w:w="2200"/>
            <w:shd w:fill="FFFFFF" w:color="auto" w:val="clear"/>
            <w:tcMar>
              <w:top w:type="dxa" w:w="60"/>
              <w:left w:type="dxa" w:w="110"/>
              <w:bottom w:type="dxa" w:w="60"/>
              <w:right w:type="dxa" w:w="110"/>
            </w:tcMar>
          </w:tcPr>
          <w:p>
            <w:pPr>
              <w:spacing w:after="0"/>
            </w:pPr>
            <w:r>
              <w:rPr>
                <w:rFonts w:ascii="Calibri" w:cs="Calibri" w:eastAsia="Calibri" w:hAnsi="Calibri"/>
                <w:b/>
                <w:bCs/>
                <w:sz w:val="19"/>
                <w:szCs w:val="19"/>
              </w:rPr>
              <w:t xml:space="preserve">5</w:t>
            </w:r>
            <w:r>
              <w:rPr>
                <w:rFonts w:ascii="Calibri" w:cs="Calibri" w:eastAsia="Calibri" w:hAnsi="Calibri"/>
                <w:b w:val="false"/>
                <w:bCs w:val="false"/>
                <w:sz w:val="19"/>
                <w:szCs w:val="19"/>
              </w:rPr>
              <w:t xml:space="preserve"> Engine</w:t>
            </w:r>
          </w:p>
        </w:tc>
        <w:tc>
          <w:tcPr>
            <w:tcW w:type="dxa" w:w="7160"/>
            <w:shd w:fill="FFFFFF" w:color="auto" w:val="clear"/>
            <w:tcMar>
              <w:top w:type="dxa" w:w="60"/>
              <w:left w:type="dxa" w:w="110"/>
              <w:bottom w:type="dxa" w:w="60"/>
              <w:right w:type="dxa" w:w="110"/>
            </w:tcMar>
          </w:tcPr>
          <w:p>
            <w:pPr>
              <w:spacing w:after="0"/>
            </w:pPr>
            <w:r>
              <w:rPr>
                <w:rFonts w:ascii="Consolas" w:cs="Consolas" w:eastAsia="Consolas" w:hAnsi="Consolas"/>
                <w:b w:val="false"/>
                <w:bCs w:val="false"/>
                <w:sz w:val="17"/>
                <w:szCs w:val="17"/>
              </w:rPr>
              <w:t xml:space="preserve">/health</w:t>
            </w:r>
            <w:r>
              <w:rPr>
                <w:rFonts w:ascii="Calibri" w:cs="Calibri" w:eastAsia="Calibri" w:hAnsi="Calibri"/>
                <w:b w:val="false"/>
                <w:bCs w:val="false"/>
                <w:sz w:val="19"/>
                <w:szCs w:val="19"/>
              </w:rPr>
              <w:t xml:space="preserve"> reports </w:t>
            </w:r>
            <w:r>
              <w:rPr>
                <w:rFonts w:ascii="Consolas" w:cs="Consolas" w:eastAsia="Consolas" w:hAnsi="Consolas"/>
                <w:b w:val="false"/>
                <w:bCs w:val="false"/>
                <w:sz w:val="17"/>
                <w:szCs w:val="17"/>
              </w:rPr>
              <w:t xml:space="preserve">edos</w:t>
            </w:r>
            <w:r>
              <w:rPr>
                <w:rFonts w:ascii="Calibri" w:cs="Calibri" w:eastAsia="Calibri" w:hAnsi="Calibri"/>
                <w:b w:val="false"/>
                <w:bCs w:val="false"/>
                <w:sz w:val="19"/>
                <w:szCs w:val="19"/>
              </w:rPr>
              <w:t xml:space="preserve"> one higher than before.</w:t>
            </w:r>
          </w:p>
        </w:tc>
      </w:tr>
    </w:tbl>
    <w:p>
      <w:pPr>
        <w:spacing w:after="160"/>
      </w:pPr>
      <w:r>
        <w:t xml:space="preserve"/>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THE HONEST END-TO-END TEST</w:t>
            </w:r>
          </w:p>
          <w:p>
            <w:pPr>
              <w:spacing w:after="0"/>
            </w:pPr>
            <w:r>
              <w:rPr>
                <w:rFonts w:ascii="Calibri" w:cs="Calibri" w:eastAsia="Calibri" w:hAnsi="Calibri"/>
                <w:sz w:val="21"/>
                <w:szCs w:val="21"/>
              </w:rPr>
              <w:t xml:space="preserve">Run a search on Where to Expand: My Project that the new client’s county should win, and see whether the lead routes to them. That exercises the master table, the routing indexes and the territory in one go — the three things nothing else checks.</w:t>
            </w:r>
          </w:p>
        </w:tc>
      </w:tr>
    </w:tbl>
    <w:p>
      <w:pPr>
        <w:spacing w:after="160"/>
      </w:pPr>
      <w:r>
        <w:t xml:space="preserve"/>
      </w:r>
    </w:p>
    <w:p>
      <w:pPr>
        <w:pStyle w:val="Heading1"/>
        <w:spacing w:after="120" w:before="360"/>
      </w:pPr>
      <w:r>
        <w:rPr>
          <w:rFonts w:ascii="Calibri" w:cs="Calibri" w:eastAsia="Calibri" w:hAnsi="Calibri"/>
          <w:b/>
          <w:bCs/>
          <w:color w:val="143F78"/>
          <w:sz w:val="30"/>
          <w:szCs w:val="30"/>
        </w:rPr>
        <w:t xml:space="preserve">10. When it goes wrong</w:t>
      </w:r>
    </w:p>
    <w:p>
      <w:pPr>
        <w:spacing w:after="160"/>
      </w:pPr>
      <w:r>
        <w:rPr>
          <w:rFonts w:ascii="Calibri" w:cs="Calibri" w:eastAsia="Calibri" w:hAnsi="Calibri"/>
          <w:i/>
          <w:iCs/>
          <w:color w:val="5F6D7E"/>
          <w:sz w:val="21"/>
          <w:szCs w:val="21"/>
        </w:rPr>
        <w:t xml:space="preserve">The failures specific to adding a client. The two tool runbooks cover the rest.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Pr>
      <w:tblGrid>
        <w:gridCol w:w="3100"/>
        <w:gridCol w:w="3100"/>
        <w:gridCol w:w="3160"/>
      </w:tblGrid>
      <w:tr>
        <w:trPr>
          <w:tblHeader/>
        </w:trPr>
        <w:tc>
          <w:tcPr>
            <w:tcW w:type="dxa" w:w="31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What you see</w:t>
            </w:r>
          </w:p>
        </w:tc>
        <w:tc>
          <w:tcPr>
            <w:tcW w:type="dxa" w:w="310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What it means</w:t>
            </w:r>
          </w:p>
        </w:tc>
        <w:tc>
          <w:tcPr>
            <w:tcW w:type="dxa" w:w="3160"/>
            <w:shd w:fill="1A54A0" w:color="auto" w:val="clear"/>
            <w:tcMar>
              <w:top w:type="dxa" w:w="60"/>
              <w:left w:type="dxa" w:w="110"/>
              <w:bottom w:type="dxa" w:w="60"/>
              <w:right w:type="dxa" w:w="110"/>
            </w:tcMar>
          </w:tcPr>
          <w:p>
            <w:pPr>
              <w:spacing w:after="0"/>
            </w:pPr>
            <w:r>
              <w:rPr>
                <w:rFonts w:ascii="Calibri" w:cs="Calibri" w:eastAsia="Calibri" w:hAnsi="Calibri"/>
                <w:b/>
                <w:bCs/>
                <w:color w:val="FFFFFF"/>
                <w:sz w:val="19"/>
                <w:szCs w:val="19"/>
              </w:rPr>
              <w:t xml:space="preserve">What to do</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chatbot answers about the wrong company</w:t>
            </w:r>
          </w:p>
        </w:tc>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duplicate’s knowledge base was never re-scanned</w:t>
            </w:r>
          </w:p>
        </w:tc>
        <w:tc>
          <w:tcPr>
            <w:tcW w:type="dxa" w:w="3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Edit the widget, paste the client’s URL, let it rebuild, publish again</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widget vanished from the FastLocations list</w:t>
            </w:r>
          </w:p>
        </w:tc>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duplicate was never assigned to a project</w:t>
            </w:r>
          </w:p>
        </w:tc>
        <w:tc>
          <w:tcPr>
            <w:tcW w:type="dxa" w:w="3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Assign to Project… in the … menu</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ArcGIS offers only Add features</w:t>
            </w:r>
          </w:p>
        </w:tc>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Working as intended — the service does not support overwriting</w:t>
            </w:r>
          </w:p>
        </w:tc>
        <w:tc>
          <w:tcPr>
            <w:tcW w:type="dxa" w:w="3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Nothing. Never try to route around it.</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“Detection failed: platform not recognised”</w:t>
            </w:r>
          </w:p>
        </w:tc>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new or JavaScript-injected platform</w:t>
            </w:r>
          </w:p>
        </w:tc>
        <w:tc>
          <w:tcPr>
            <w:tcW w:type="dxa" w:w="3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Send the URL to Claude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“Registered but not run — fill in params first”</w:t>
            </w:r>
          </w:p>
        </w:tc>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Needs a captured value (VEDP region, ArcGIS service URL)</w:t>
            </w:r>
          </w:p>
        </w:tc>
        <w:tc>
          <w:tcPr>
            <w:tcW w:type="dxa" w:w="3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Send the URL to Claude</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property run finishes with 0 records</w:t>
            </w:r>
          </w:p>
        </w:tc>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site changed, or a session id rotated</w:t>
            </w:r>
          </w:p>
        </w:tc>
        <w:tc>
          <w:tcPr>
            <w:tcW w:type="dxa" w:w="3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Send it to Claude to refresh</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“OBJECTID is already used by…”</w:t>
            </w:r>
          </w:p>
        </w:tc>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number you chose in step 2 was not free</w:t>
            </w:r>
          </w:p>
        </w:tc>
        <w:tc>
          <w:tcPr>
            <w:tcW w:type="dxa" w:w="3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Fix step 2 first, then match it here — do not accept the suggested id</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dashboard field will not clear its error</w:t>
            </w:r>
          </w:p>
        </w:tc>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value does not match the shape the charts parse</w:t>
            </w:r>
          </w:p>
        </w:tc>
        <w:tc>
          <w:tcPr>
            <w:tcW w:type="dxa" w:w="3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Read the red message; copy the wording from a good record in the same state</w:t>
            </w:r>
          </w:p>
        </w:tc>
      </w:tr>
      <w:tr>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The client is on the dashboard but never wins a search</w:t>
            </w:r>
          </w:p>
        </w:tc>
        <w:tc>
          <w:tcPr>
            <w:tcW w:type="dxa" w:w="310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Step 5 was skipped, or the territory is empty</w:t>
            </w:r>
          </w:p>
        </w:tc>
        <w:tc>
          <w:tcPr>
            <w:tcW w:type="dxa" w:w="3160"/>
            <w:shd w:fill="FFFFFF"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Check /health, then that the objectid appears in </w:t>
            </w:r>
            <w:r>
              <w:rPr>
                <w:rFonts w:ascii="Consolas" w:cs="Consolas" w:eastAsia="Consolas" w:hAnsi="Consolas"/>
                <w:b w:val="false"/>
                <w:bCs w:val="false"/>
                <w:sz w:val="17"/>
                <w:szCs w:val="17"/>
              </w:rPr>
              <w:t xml:space="preserve">edo_fips_index.json</w:t>
            </w:r>
          </w:p>
        </w:tc>
      </w:tr>
      <w:tr>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Charts on the client’s dashboard are blank</w:t>
            </w:r>
          </w:p>
        </w:tc>
        <w:tc>
          <w:tcPr>
            <w:tcW w:type="dxa" w:w="310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A researched value parsed cleanly but in the wrong shape, or </w:t>
            </w:r>
            <w:r>
              <w:rPr>
                <w:rFonts w:ascii="Consolas" w:cs="Consolas" w:eastAsia="Consolas" w:hAnsi="Consolas"/>
                <w:b w:val="false"/>
                <w:bCs w:val="false"/>
                <w:sz w:val="17"/>
                <w:szCs w:val="17"/>
              </w:rPr>
              <w:t xml:space="preserve">meta.json</w:t>
            </w:r>
            <w:r>
              <w:rPr>
                <w:rFonts w:ascii="Calibri" w:cs="Calibri" w:eastAsia="Calibri" w:hAnsi="Calibri"/>
                <w:b w:val="false"/>
                <w:bCs w:val="false"/>
                <w:sz w:val="19"/>
                <w:szCs w:val="19"/>
              </w:rPr>
              <w:t xml:space="preserve"> was not uploaded</w:t>
            </w:r>
          </w:p>
        </w:tc>
        <w:tc>
          <w:tcPr>
            <w:tcW w:type="dxa" w:w="3160"/>
            <w:shd w:fill="F4F7FB" w:color="auto" w:val="clear"/>
            <w:tcMar>
              <w:top w:type="dxa" w:w="60"/>
              <w:left w:type="dxa" w:w="110"/>
              <w:bottom w:type="dxa" w:w="60"/>
              <w:right w:type="dxa" w:w="110"/>
            </w:tcMar>
          </w:tcPr>
          <w:p>
            <w:pPr>
              <w:spacing w:after="0"/>
            </w:pPr>
            <w:r>
              <w:rPr>
                <w:rFonts w:ascii="Calibri" w:cs="Calibri" w:eastAsia="Calibri" w:hAnsi="Calibri"/>
                <w:b w:val="false"/>
                <w:bCs w:val="false"/>
                <w:sz w:val="19"/>
                <w:szCs w:val="19"/>
              </w:rPr>
              <w:t xml:space="preserve">Re-open the record and read the badge; upload both files</w:t>
            </w:r>
          </w:p>
        </w:tc>
      </w:tr>
    </w:tbl>
    <w:p>
      <w:pPr>
        <w:spacing w:after="160"/>
      </w:pPr>
      <w:r>
        <w:t xml:space="preserve"/>
      </w:r>
    </w:p>
    <w:tbl>
      <w:tblPr>
        <w:tblW w:type="dxa" w:w="9360"/>
        <w:tblBorders>
          <w:top w:val="none" w:color="auto" w:sz="0"/>
          <w:left w:val="single" w:color="1A54A0" w:sz="18"/>
          <w:bottom w:val="none" w:color="auto" w:sz="0"/>
          <w:right w:val="none" w:color="auto" w:sz="0"/>
          <w:insideH w:val="none" w:color="auto" w:sz="0"/>
          <w:insideV w:val="none" w:color="auto" w:sz="0"/>
        </w:tblBorders>
      </w:tblPr>
      <w:tblGrid>
        <w:gridCol w:w="9360"/>
      </w:tblGrid>
      <w:tr>
        <w:tc>
          <w:tcPr>
            <w:tcW w:type="dxa" w:w="9360"/>
            <w:shd w:fill="F4F7FB" w:color="auto" w:val="clear"/>
            <w:tcMar>
              <w:top w:type="dxa" w:w="120"/>
              <w:left w:type="dxa" w:w="180"/>
              <w:bottom w:type="dxa" w:w="120"/>
              <w:right w:type="dxa" w:w="180"/>
            </w:tcMar>
          </w:tcPr>
          <w:p>
            <w:pPr>
              <w:spacing w:after="60"/>
            </w:pPr>
            <w:r>
              <w:rPr>
                <w:rFonts w:ascii="Calibri" w:cs="Calibri" w:eastAsia="Calibri" w:hAnsi="Calibri"/>
                <w:b/>
                <w:bCs/>
                <w:color w:val="1A54A0"/>
                <w:sz w:val="17"/>
                <w:szCs w:val="17"/>
              </w:rPr>
              <w:t xml:space="preserve">RELATED RUNBOOKS</w:t>
            </w:r>
          </w:p>
          <w:p>
            <w:pPr>
              <w:spacing w:after="0"/>
            </w:pPr>
            <w:r>
              <w:rPr>
                <w:rFonts w:ascii="Calibri" w:cs="Calibri" w:eastAsia="Calibri" w:hAnsi="Calibri"/>
                <w:sz w:val="21"/>
                <w:szCs w:val="21"/>
              </w:rPr>
              <w:t xml:space="preserve">Property Scraper Runbook for platforms, filters and regional splits. Organizations Data Runbook for bulk research, validation formats and backups. Data Refresh Runbook for the datasets behind the score.</w:t>
            </w:r>
          </w:p>
        </w:tc>
      </w:tr>
    </w:tbl>
    <w:p>
      <w:pPr>
        <w:spacing w:after="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jc w:val="center"/>
    </w:pPr>
    <w:r>
      <w:rPr>
        <w:rFonts w:ascii="Calibri" w:cs="Calibri" w:eastAsia="Calibri" w:hAnsi="Calibri"/>
        <w:color w:val="5F6D7E"/>
        <w:sz w:val="17"/>
        <w:szCs w:val="17"/>
      </w:rPr>
      <w:t xml:space="preserve">FastLocations · Add a New Client · page </w:t>
    </w:r>
    <w:r>
      <w:rPr>
        <w:rFonts w:ascii="Calibri" w:cs="Calibri" w:eastAsia="Calibri" w:hAnsi="Calibri"/>
        <w:color w:val="5F6D7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d2d39b8a56cf7a8c3ac2134163669bc7a35514.png"/><Relationship Id="rId9" Type="http://schemas.openxmlformats.org/officeDocument/2006/relationships/image" Target="media/7173fc34aaec7e4ff5383da7b0a06907e829ad3b.png"/><Relationship Id="rId10" Type="http://schemas.openxmlformats.org/officeDocument/2006/relationships/image" Target="media/3bd784ca5d977d2787e304829e80bc2a57af4cb3.png"/><Relationship Id="rId11" Type="http://schemas.openxmlformats.org/officeDocument/2006/relationships/image" Target="media/68241cdfdad324698f292206bfc3eaeba59ca592.png"/><Relationship Id="rId12" Type="http://schemas.openxmlformats.org/officeDocument/2006/relationships/image" Target="media/696d93fd5544b2112fd168220f8faf1d90bd94ec.png"/><Relationship Id="rId13" Type="http://schemas.openxmlformats.org/officeDocument/2006/relationships/image" Target="media/d31964b88a09c9422f5b5712c059b9f41120c3fd.png"/><Relationship Id="rId14" Type="http://schemas.openxmlformats.org/officeDocument/2006/relationships/image" Target="media/e6b6523c6994721273ebcd9380e071e9179513e2.png"/><Relationship Id="rId15" Type="http://schemas.openxmlformats.org/officeDocument/2006/relationships/image" Target="media/203ba0b2021ababd64258940afe91e40146feaa9.png"/><Relationship Id="rId16" Type="http://schemas.openxmlformats.org/officeDocument/2006/relationships/image" Target="media/4e2068cc004ed105696cb9fa93268e47bd9fb032.png"/><Relationship Id="rId17" Type="http://schemas.openxmlformats.org/officeDocument/2006/relationships/image" Target="media/b203a49387ab0e92ffdcfa7e555442e1dd88b7cd.png"/><Relationship Id="rId18" Type="http://schemas.openxmlformats.org/officeDocument/2006/relationships/image" Target="media/e4ccad27e9b2e54780614526bdfaac21bd704cd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2026-09-10T20:10:24.354Z</dcterms:created>
  <dcterms:modified xsi:type="dcterms:W3CDTF">2026-09-10T20:10:24.354Z</dcterms:modified>
</cp:coreProperties>
</file>

<file path=docProps/custom.xml><?xml version="1.0" encoding="utf-8"?>
<Properties xmlns="http://schemas.openxmlformats.org/officeDocument/2006/custom-properties" xmlns:vt="http://schemas.openxmlformats.org/officeDocument/2006/docPropsVTypes"/>
</file>