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60103B2B" w14:textId="289C8144" w:rsidR="00FC75D3" w:rsidRPr="00343380" w:rsidRDefault="00E86979" w:rsidP="00343380">
      <w:pPr>
        <w:pStyle w:val="Title"/>
        <w:rPr>
          <w:sz w:val="36"/>
          <w:szCs w:val="36"/>
        </w:rPr>
      </w:pPr>
      <w:bookmarkStart w:id="0" w:name="_Hlk204712301"/>
      <w:bookmarkStart w:id="1" w:name="_Toc203156947"/>
      <w:bookmarkStart w:id="2" w:name="_Toc203156938"/>
      <w:bookmarkStart w:id="3" w:name="_Toc203156990"/>
      <w:r w:rsidRPr="00343380">
        <w:rPr>
          <w:rStyle w:val="TitleChar"/>
          <w:sz w:val="36"/>
          <w:szCs w:val="36"/>
        </w:rPr>
        <w:t>O</w:t>
      </w:r>
      <w:r w:rsidR="00FC75D3" w:rsidRPr="00343380">
        <w:rPr>
          <w:rStyle w:val="TitleChar"/>
          <w:sz w:val="36"/>
          <w:szCs w:val="36"/>
        </w:rPr>
        <w:t>n the Statistical Relationship Between</w:t>
      </w:r>
      <w:r w:rsidRPr="00343380">
        <w:rPr>
          <w:rStyle w:val="TitleChar"/>
          <w:sz w:val="36"/>
          <w:szCs w:val="36"/>
        </w:rPr>
        <w:t xml:space="preserve"> 90-Degree Configurations of Planetary Orbital</w:t>
      </w:r>
      <w:r w:rsidRPr="00343380">
        <w:rPr>
          <w:rStyle w:val="Strong"/>
          <w:b w:val="0"/>
          <w:bCs w:val="0"/>
          <w:sz w:val="36"/>
          <w:szCs w:val="36"/>
        </w:rPr>
        <w:t xml:space="preserve"> Geometry</w:t>
      </w:r>
      <w:r w:rsidR="006F0B2F">
        <w:rPr>
          <w:rStyle w:val="Strong"/>
          <w:b w:val="0"/>
          <w:bCs w:val="0"/>
          <w:sz w:val="36"/>
          <w:szCs w:val="36"/>
        </w:rPr>
        <w:t xml:space="preserve"> and </w:t>
      </w:r>
      <w:r w:rsidR="00FC75D3" w:rsidRPr="00343380">
        <w:rPr>
          <w:rStyle w:val="Strong"/>
          <w:b w:val="0"/>
          <w:bCs w:val="0"/>
          <w:sz w:val="36"/>
          <w:szCs w:val="36"/>
        </w:rPr>
        <w:t>Solar Activity</w:t>
      </w:r>
      <w:r w:rsidR="00352ABD">
        <w:rPr>
          <w:rStyle w:val="Strong"/>
          <w:b w:val="0"/>
          <w:bCs w:val="0"/>
          <w:sz w:val="36"/>
          <w:szCs w:val="36"/>
        </w:rPr>
        <w:t xml:space="preserve"> </w:t>
      </w:r>
    </w:p>
    <w:p w14:paraId="6C40F544" w14:textId="77777777" w:rsidR="00FC75D3" w:rsidRPr="00FC75D3" w:rsidRDefault="00000000" w:rsidP="003A4230">
      <w:pPr>
        <w:spacing w:before="480" w:after="480"/>
        <w:rPr>
          <w:rFonts w:asciiTheme="minorHAnsi" w:hAnsiTheme="minorHAnsi" w:cstheme="minorHAnsi"/>
        </w:rPr>
      </w:pPr>
      <w:r>
        <w:rPr>
          <w:rFonts w:asciiTheme="minorHAnsi" w:hAnsiTheme="minorHAnsi" w:cstheme="minorHAnsi"/>
        </w:rPr>
        <w:pict w14:anchorId="0AEA7828">
          <v:rect id="_x0000_i1025" style="width:0;height:.75pt" o:hralign="center" o:hrstd="t" o:hr="t" fillcolor="#a0a0a0" stroked="f"/>
        </w:pict>
      </w:r>
    </w:p>
    <w:p w14:paraId="130E3175" w14:textId="2AABA850" w:rsidR="00FC75D3" w:rsidRPr="004F3F2B" w:rsidRDefault="00FC75D3" w:rsidP="004F3F2B">
      <w:pPr>
        <w:pStyle w:val="Heading1"/>
      </w:pPr>
      <w:r w:rsidRPr="004F3F2B">
        <w:rPr>
          <w:rStyle w:val="Strong"/>
          <w:b/>
          <w:bCs w:val="0"/>
        </w:rPr>
        <w:t>Introduction</w:t>
      </w:r>
    </w:p>
    <w:p w14:paraId="02ACA39D" w14:textId="2B8B4B1D" w:rsidR="00236659" w:rsidRPr="00435913" w:rsidRDefault="00AF6697" w:rsidP="00236659">
      <w:r>
        <w:t>Our</w:t>
      </w:r>
      <w:r w:rsidR="00746F38" w:rsidRPr="00F01558">
        <w:t xml:space="preserve"> previous paper [1</w:t>
      </w:r>
      <w:r w:rsidR="00953936">
        <w:rPr>
          <w:rStyle w:val="FootnoteReference"/>
        </w:rPr>
        <w:footnoteReference w:id="1"/>
      </w:r>
      <w:r w:rsidR="00746F38" w:rsidRPr="00F01558">
        <w:t xml:space="preserve">] </w:t>
      </w:r>
      <w:r w:rsidR="00352ABD">
        <w:t>(</w:t>
      </w:r>
      <w:r w:rsidR="00EB604D">
        <w:t xml:space="preserve">Shaun: References will be added later) </w:t>
      </w:r>
      <w:r w:rsidR="00746F38" w:rsidRPr="00F01558">
        <w:t xml:space="preserve">described a </w:t>
      </w:r>
      <w:r w:rsidR="00775EC5">
        <w:t>multi</w:t>
      </w:r>
      <w:r w:rsidR="00746F38" w:rsidRPr="00F01558">
        <w:t>-</w:t>
      </w:r>
      <w:r w:rsidR="00CB5A5B">
        <w:t>element</w:t>
      </w:r>
      <w:r w:rsidR="00746F38" w:rsidRPr="00F01558">
        <w:t xml:space="preserve"> mechanism linking the orbital geometry of the solar system to fluctuations in collective investor sentiment. </w:t>
      </w:r>
      <w:r w:rsidR="00236659" w:rsidRPr="00435913">
        <w:t>The mechanism consists of four elements:</w:t>
      </w:r>
    </w:p>
    <w:p w14:paraId="340D764F" w14:textId="09A7880C" w:rsidR="00236659" w:rsidRPr="00FC75D3" w:rsidRDefault="00236659" w:rsidP="00236659">
      <w:pPr>
        <w:pStyle w:val="ListParagraph"/>
        <w:numPr>
          <w:ilvl w:val="0"/>
          <w:numId w:val="4"/>
        </w:numPr>
      </w:pPr>
      <w:r w:rsidRPr="00435913">
        <w:rPr>
          <w:rStyle w:val="Strong"/>
          <w:rFonts w:asciiTheme="minorHAnsi" w:hAnsiTheme="minorHAnsi" w:cstheme="minorHAnsi"/>
          <w:color w:val="0F1115"/>
        </w:rPr>
        <w:t>Solar Influence:</w:t>
      </w:r>
      <w:r w:rsidRPr="00FC75D3">
        <w:t> Planetary orbital geometry influences</w:t>
      </w:r>
      <w:r w:rsidR="006F0B2F">
        <w:t xml:space="preserve"> </w:t>
      </w:r>
      <w:r w:rsidRPr="00FC75D3">
        <w:t>the stability of energy emission processes within the Sun</w:t>
      </w:r>
      <w:r w:rsidR="006F0B2F">
        <w:t>.</w:t>
      </w:r>
      <w:r w:rsidR="005B4149">
        <w:t xml:space="preserve"> </w:t>
      </w:r>
    </w:p>
    <w:p w14:paraId="038077FE" w14:textId="77777777" w:rsidR="00236659" w:rsidRPr="00FC75D3" w:rsidRDefault="00236659" w:rsidP="00236659">
      <w:pPr>
        <w:pStyle w:val="ListParagraph"/>
        <w:numPr>
          <w:ilvl w:val="0"/>
          <w:numId w:val="4"/>
        </w:numPr>
      </w:pPr>
      <w:r w:rsidRPr="00435913">
        <w:rPr>
          <w:rStyle w:val="Strong"/>
          <w:rFonts w:asciiTheme="minorHAnsi" w:hAnsiTheme="minorHAnsi" w:cstheme="minorHAnsi"/>
          <w:color w:val="0F1115"/>
        </w:rPr>
        <w:t>Ionospheric Coupling:</w:t>
      </w:r>
      <w:r w:rsidRPr="00FC75D3">
        <w:t> Modulations in solar emissions, specifically in low-frequency turbulence, affect the stability and altitude of the Earth’s ionosphere.</w:t>
      </w:r>
    </w:p>
    <w:p w14:paraId="7287F3BB" w14:textId="665BE656" w:rsidR="00236659" w:rsidRPr="00FC75D3" w:rsidRDefault="00236659" w:rsidP="00236659">
      <w:pPr>
        <w:pStyle w:val="ListParagraph"/>
        <w:numPr>
          <w:ilvl w:val="0"/>
          <w:numId w:val="4"/>
        </w:numPr>
      </w:pPr>
      <w:r w:rsidRPr="00435913">
        <w:rPr>
          <w:rStyle w:val="Strong"/>
          <w:rFonts w:asciiTheme="minorHAnsi" w:hAnsiTheme="minorHAnsi" w:cstheme="minorHAnsi"/>
          <w:color w:val="0F1115"/>
        </w:rPr>
        <w:t>Wave Resonance:</w:t>
      </w:r>
      <w:r w:rsidRPr="00FC75D3">
        <w:t> Changes in ionospheric conditions alter the stability of global electromagnetic standing waves in the Earth-ionosphere cavity, known as Schumann resonances.</w:t>
      </w:r>
    </w:p>
    <w:p w14:paraId="649E506E" w14:textId="77777777" w:rsidR="00236659" w:rsidRPr="00FC75D3" w:rsidRDefault="00236659" w:rsidP="00236659">
      <w:pPr>
        <w:pStyle w:val="ListParagraph"/>
        <w:numPr>
          <w:ilvl w:val="0"/>
          <w:numId w:val="4"/>
        </w:numPr>
      </w:pPr>
      <w:r w:rsidRPr="00435913">
        <w:rPr>
          <w:rStyle w:val="Strong"/>
          <w:rFonts w:asciiTheme="minorHAnsi" w:hAnsiTheme="minorHAnsi" w:cstheme="minorHAnsi"/>
          <w:color w:val="0F1115"/>
        </w:rPr>
        <w:t>Behavioral Modulation:</w:t>
      </w:r>
      <w:r w:rsidRPr="00FC75D3">
        <w:t xml:space="preserve"> Shifts in the </w:t>
      </w:r>
      <w:r>
        <w:t>variability</w:t>
      </w:r>
      <w:r w:rsidRPr="00FC75D3">
        <w:t xml:space="preserve"> of these electromagnetic standing waves influence human neurophysiology and psychology, manifesting as </w:t>
      </w:r>
      <w:r>
        <w:t xml:space="preserve">changes in how responsive individuals are to negative and positive events and conditions. The simultaneous impact of these small forces on a large pool of individuals affects </w:t>
      </w:r>
      <w:r w:rsidRPr="00FC75D3">
        <w:t xml:space="preserve">collective investor sentiment, which are subsequently reflected in </w:t>
      </w:r>
      <w:r>
        <w:t>stock</w:t>
      </w:r>
      <w:r w:rsidRPr="00FC75D3">
        <w:t xml:space="preserve"> market returns.</w:t>
      </w:r>
    </w:p>
    <w:p w14:paraId="5DB3A317" w14:textId="2DCB81F2" w:rsidR="006F0B2F" w:rsidRDefault="00236659" w:rsidP="002747D1">
      <w:r w:rsidRPr="00FC75D3">
        <w:t>While Elements 2 and 3 are extrapolations from established ionospheric physics [6, 7], Elements 1 and 4 remain speculative</w:t>
      </w:r>
      <w:r w:rsidR="006F0B2F">
        <w:t xml:space="preserve">. </w:t>
      </w:r>
      <w:r w:rsidR="006F0B2F" w:rsidRPr="00F01558">
        <w:t xml:space="preserve">The purpose of </w:t>
      </w:r>
      <w:r w:rsidR="002C36F1">
        <w:t>our</w:t>
      </w:r>
      <w:r w:rsidR="006F0B2F" w:rsidRPr="00F01558">
        <w:t xml:space="preserve"> earlier paper was to </w:t>
      </w:r>
      <w:r w:rsidR="006F0B2F">
        <w:t>describe</w:t>
      </w:r>
      <w:r w:rsidR="006F0B2F" w:rsidRPr="00F01558">
        <w:t xml:space="preserve"> a plausible causal pathway, present initial empirical evidence, and identify areas for further investigation.</w:t>
      </w:r>
    </w:p>
    <w:p w14:paraId="0ECD049F" w14:textId="33BCEA04" w:rsidR="00086B80" w:rsidRDefault="006F0B2F" w:rsidP="002747D1">
      <w:r>
        <w:t>The focus of this paper is on Element 1</w:t>
      </w:r>
      <w:r w:rsidR="002C36F1">
        <w:t>,</w:t>
      </w:r>
      <w:r w:rsidR="00236659" w:rsidRPr="00FC75D3">
        <w:t xml:space="preserve"> and </w:t>
      </w:r>
      <w:r w:rsidR="002C36F1">
        <w:t>evaluates whether a specific planetary configuration is associated with measurable changes in short-term solar tranquility</w:t>
      </w:r>
      <w:r w:rsidR="002C36F1">
        <w:t>. W</w:t>
      </w:r>
      <w:r>
        <w:t>e assess</w:t>
      </w:r>
      <w:r w:rsidR="00086B80" w:rsidRPr="00086B80">
        <w:t xml:space="preserve"> </w:t>
      </w:r>
      <w:r w:rsidR="00086B80">
        <w:t>the statistical relationship between</w:t>
      </w:r>
      <w:r w:rsidR="00086B80">
        <w:t>:</w:t>
      </w:r>
    </w:p>
    <w:p w14:paraId="2BC5FB0F" w14:textId="68318DD7" w:rsidR="00086B80" w:rsidRDefault="00817E9F" w:rsidP="00086B80">
      <w:pPr>
        <w:pStyle w:val="ListParagraph"/>
        <w:numPr>
          <w:ilvl w:val="0"/>
          <w:numId w:val="19"/>
        </w:numPr>
      </w:pPr>
      <w:r>
        <w:t xml:space="preserve">Changes in the </w:t>
      </w:r>
      <w:r w:rsidR="006F0B2F">
        <w:t xml:space="preserve">stability of </w:t>
      </w:r>
      <w:r>
        <w:t xml:space="preserve">solar activity before, during, and after a specific </w:t>
      </w:r>
      <w:r>
        <w:t xml:space="preserve">planetary configuration </w:t>
      </w:r>
      <w:r w:rsidR="006F0B2F">
        <w:t xml:space="preserve">(studies </w:t>
      </w:r>
      <w:r>
        <w:t>A</w:t>
      </w:r>
      <w:r w:rsidR="006F0B2F">
        <w:t xml:space="preserve"> and </w:t>
      </w:r>
      <w:r>
        <w:t>B</w:t>
      </w:r>
      <w:r w:rsidR="006F0B2F">
        <w:t xml:space="preserve">) </w:t>
      </w:r>
    </w:p>
    <w:p w14:paraId="35BBB4F5" w14:textId="37FF75AA" w:rsidR="006F0B2F" w:rsidRDefault="00086B80" w:rsidP="00086B80">
      <w:pPr>
        <w:pStyle w:val="ListParagraph"/>
        <w:numPr>
          <w:ilvl w:val="0"/>
          <w:numId w:val="19"/>
        </w:numPr>
      </w:pPr>
      <w:r>
        <w:t>T</w:t>
      </w:r>
      <w:r w:rsidR="006F0B2F">
        <w:t xml:space="preserve">he change in solar activity in the weeks after the end of the </w:t>
      </w:r>
      <w:r w:rsidR="00817E9F">
        <w:t xml:space="preserve">specific </w:t>
      </w:r>
      <w:r w:rsidR="006F0B2F">
        <w:t>configuration</w:t>
      </w:r>
      <w:r>
        <w:t xml:space="preserve"> (stud</w:t>
      </w:r>
      <w:r w:rsidR="00817E9F">
        <w:t>y C</w:t>
      </w:r>
      <w:r>
        <w:t>)</w:t>
      </w:r>
      <w:r w:rsidR="006F0B2F">
        <w:t>.</w:t>
      </w:r>
      <w:r w:rsidR="00236659">
        <w:t xml:space="preserve"> </w:t>
      </w:r>
    </w:p>
    <w:p w14:paraId="1DC7EC76" w14:textId="23160601" w:rsidR="00086B80" w:rsidRDefault="00086B80" w:rsidP="002747D1">
      <w:r>
        <w:t>This paper. The analysis is empirical and does not attempt to specify the physical processes that may underlie this association. Such mechanisms are the subject of ongoing debate and are not required for the statistical results reported here.</w:t>
      </w:r>
    </w:p>
    <w:p w14:paraId="31AC271D" w14:textId="4A2D1555" w:rsidR="00086B80" w:rsidRDefault="00086B80" w:rsidP="00086B80">
      <w:r>
        <w:lastRenderedPageBreak/>
        <w:t xml:space="preserve">Our studies use a </w:t>
      </w:r>
      <w:r>
        <w:t xml:space="preserve">metric of </w:t>
      </w:r>
      <w:r w:rsidRPr="00AB2638">
        <w:rPr>
          <w:i/>
          <w:iCs/>
        </w:rPr>
        <w:t>solar tranquility</w:t>
      </w:r>
      <w:r>
        <w:t xml:space="preserve"> calculated from the SILO sunspot count</w:t>
      </w:r>
      <w:r w:rsidRPr="00F01558">
        <w:t xml:space="preserve">. </w:t>
      </w:r>
      <w:r>
        <w:t xml:space="preserve"> Solar tranquility is calculated as </w:t>
      </w:r>
      <w:r w:rsidR="002C36F1">
        <w:t xml:space="preserve">the </w:t>
      </w:r>
      <w:r>
        <w:t>sunspot count normalized to range from 0.0 to 1.0</w:t>
      </w:r>
      <w:r w:rsidR="002C36F1">
        <w:t>,</w:t>
      </w:r>
      <w:r>
        <w:t xml:space="preserve"> </w:t>
      </w:r>
      <w:r w:rsidR="002C36F1">
        <w:t xml:space="preserve">with </w:t>
      </w:r>
      <w:r>
        <w:t>the scale is inverted (1-normalized value) to result in a measure of solar tranquility. The higher the value the more tranquil the Sun’s surface is as indicated by the sunspot count.  The SILO data was obtained from the GF</w:t>
      </w:r>
      <w:r>
        <w:t xml:space="preserve">Z. </w:t>
      </w:r>
    </w:p>
    <w:p w14:paraId="0A15E7CA" w14:textId="6CF5EEEA" w:rsidR="00A068A6" w:rsidRDefault="00A068A6" w:rsidP="00A068A6">
      <w:r>
        <w:t>The specific planetary configuration examined in this study is defined by a 90° angle between the geometric centers of two overlapping groups of planets. The first group comprises the inner and middle planets—Mercury through Saturn—and the second includes the outer planets, Jupiter through Neptune, with the Sun located at the vertex. In practice, this 90° configuration is defined as an angular range between 86° and 94°.</w:t>
      </w:r>
      <w:r w:rsidRPr="00A068A6">
        <w:t xml:space="preserve"> </w:t>
      </w:r>
      <w:r>
        <w:t xml:space="preserve">This configuration appears to produce </w:t>
      </w:r>
      <w:r w:rsidRPr="006857B6">
        <w:rPr>
          <w:rStyle w:val="Strong"/>
          <w:rFonts w:eastAsiaTheme="majorEastAsia"/>
          <w:b w:val="0"/>
          <w:bCs w:val="0"/>
        </w:rPr>
        <w:t>abrupt, self-contained shifts in both solar tranquility</w:t>
      </w:r>
      <w:r w:rsidR="002C36F1">
        <w:rPr>
          <w:rStyle w:val="Strong"/>
          <w:rFonts w:eastAsiaTheme="majorEastAsia"/>
          <w:b w:val="0"/>
          <w:bCs w:val="0"/>
        </w:rPr>
        <w:t xml:space="preserve"> and patterns of market behavior</w:t>
      </w:r>
      <w:r>
        <w:rPr>
          <w:rStyle w:val="Strong"/>
          <w:rFonts w:eastAsiaTheme="majorEastAsia"/>
          <w:b w:val="0"/>
          <w:bCs w:val="0"/>
        </w:rPr>
        <w:t>. As described in (cite preprint)</w:t>
      </w:r>
      <w:r w:rsidRPr="006857B6">
        <w:rPr>
          <w:rStyle w:val="Strong"/>
          <w:rFonts w:eastAsiaTheme="majorEastAsia"/>
          <w:b w:val="0"/>
          <w:bCs w:val="0"/>
        </w:rPr>
        <w:t xml:space="preserve"> </w:t>
      </w:r>
      <w:r>
        <w:rPr>
          <w:rStyle w:val="Strong"/>
          <w:rFonts w:eastAsiaTheme="majorEastAsia"/>
          <w:b w:val="0"/>
          <w:bCs w:val="0"/>
        </w:rPr>
        <w:t xml:space="preserve">these configuration events </w:t>
      </w:r>
      <w:r>
        <w:rPr>
          <w:rStyle w:val="Strong"/>
          <w:rFonts w:eastAsiaTheme="majorEastAsia"/>
          <w:b w:val="0"/>
          <w:bCs w:val="0"/>
        </w:rPr>
        <w:t xml:space="preserve">coincide with stock market price inflection points encompassed in </w:t>
      </w:r>
      <w:r w:rsidRPr="006857B6">
        <w:rPr>
          <w:rStyle w:val="Strong"/>
          <w:rFonts w:eastAsiaTheme="majorEastAsia"/>
          <w:b w:val="0"/>
          <w:bCs w:val="0"/>
        </w:rPr>
        <w:t>boom-and-bust patterns of performance</w:t>
      </w:r>
      <w:r>
        <w:rPr>
          <w:rStyle w:val="Strong"/>
          <w:rFonts w:eastAsiaTheme="majorEastAsia"/>
          <w:b w:val="0"/>
          <w:bCs w:val="0"/>
        </w:rPr>
        <w:t>.</w:t>
      </w:r>
    </w:p>
    <w:p w14:paraId="02288B57" w14:textId="7224CF49" w:rsidR="00A068A6" w:rsidRDefault="00A068A6" w:rsidP="00086B80">
      <w:r w:rsidRPr="00F01558">
        <w:t xml:space="preserve">The null hypothesis </w:t>
      </w:r>
      <w:r w:rsidR="002C36F1">
        <w:t xml:space="preserve">in all studies </w:t>
      </w:r>
      <w:r w:rsidRPr="00F01558">
        <w:t xml:space="preserve">is that planetary configuration has no measurable impact on </w:t>
      </w:r>
      <w:r>
        <w:t>solar tranquility</w:t>
      </w:r>
      <w:r>
        <w:t>.</w:t>
      </w:r>
      <w:r w:rsidR="002C36F1">
        <w:t xml:space="preserve"> Thus, any statistically significant results support the view that planets affect solar activity.  </w:t>
      </w:r>
    </w:p>
    <w:p w14:paraId="71A4BA01" w14:textId="47DA7E49" w:rsidR="00746F38" w:rsidRPr="00F01558" w:rsidRDefault="00DF3165" w:rsidP="002747D1">
      <w:r>
        <w:t>The underlying planetary coordinates were obtained from the NASA …</w:t>
      </w:r>
      <w:r w:rsidR="00CB5A5B">
        <w:t>more.</w:t>
      </w:r>
    </w:p>
    <w:p w14:paraId="0A8793A0" w14:textId="2681D6B4" w:rsidR="00DA1172" w:rsidRDefault="00D9581F" w:rsidP="002747D1">
      <w:pPr>
        <w:rPr>
          <w:color w:val="000000" w:themeColor="text1"/>
        </w:rPr>
      </w:pPr>
      <w:r>
        <w:rPr>
          <w:color w:val="000000" w:themeColor="text1"/>
        </w:rPr>
        <w:t>T</w:t>
      </w:r>
      <w:r w:rsidR="00DA1172" w:rsidRPr="006A4529">
        <w:rPr>
          <w:color w:val="000000" w:themeColor="text1"/>
        </w:rPr>
        <w:t xml:space="preserve">he timing of this </w:t>
      </w:r>
      <w:r w:rsidR="00DA1172">
        <w:rPr>
          <w:color w:val="000000" w:themeColor="text1"/>
        </w:rPr>
        <w:t>paper</w:t>
      </w:r>
      <w:r w:rsidR="00DA1172" w:rsidRPr="006A4529">
        <w:rPr>
          <w:color w:val="000000" w:themeColor="text1"/>
        </w:rPr>
        <w:t xml:space="preserve"> </w:t>
      </w:r>
      <w:r w:rsidR="002D4FA7" w:rsidRPr="006A4529">
        <w:rPr>
          <w:color w:val="000000" w:themeColor="text1"/>
        </w:rPr>
        <w:t>is significant</w:t>
      </w:r>
      <w:r w:rsidR="00DA1172" w:rsidRPr="006A4529">
        <w:rPr>
          <w:color w:val="000000" w:themeColor="text1"/>
        </w:rPr>
        <w:t xml:space="preserve">. </w:t>
      </w:r>
      <w:r w:rsidR="00DA1172">
        <w:rPr>
          <w:color w:val="000000" w:themeColor="text1"/>
        </w:rPr>
        <w:t xml:space="preserve">Based on NASA data, the next </w:t>
      </w:r>
      <w:r w:rsidR="00CB5A5B">
        <w:rPr>
          <w:color w:val="000000" w:themeColor="text1"/>
        </w:rPr>
        <w:t xml:space="preserve">cluster of 90-degree </w:t>
      </w:r>
      <w:r w:rsidR="00DA1172">
        <w:rPr>
          <w:color w:val="000000" w:themeColor="text1"/>
        </w:rPr>
        <w:t>configuration events will begin i</w:t>
      </w:r>
      <w:r w:rsidR="00DA1172" w:rsidRPr="006A4529">
        <w:rPr>
          <w:color w:val="000000" w:themeColor="text1"/>
        </w:rPr>
        <w:t>n mid-2026</w:t>
      </w:r>
      <w:r w:rsidR="00DA1172">
        <w:rPr>
          <w:color w:val="000000" w:themeColor="text1"/>
        </w:rPr>
        <w:t xml:space="preserve"> and end before 2027. Thus</w:t>
      </w:r>
      <w:r w:rsidR="00CB5A5B">
        <w:rPr>
          <w:color w:val="000000" w:themeColor="text1"/>
        </w:rPr>
        <w:t>,</w:t>
      </w:r>
      <w:r w:rsidR="00DA1172">
        <w:rPr>
          <w:color w:val="000000" w:themeColor="text1"/>
        </w:rPr>
        <w:t xml:space="preserve"> 2026 will be a rare </w:t>
      </w:r>
      <w:r w:rsidR="00DA1172" w:rsidRPr="006A4529">
        <w:rPr>
          <w:color w:val="000000" w:themeColor="text1"/>
        </w:rPr>
        <w:t xml:space="preserve">opportunity to </w:t>
      </w:r>
      <w:r w:rsidR="002D4FA7">
        <w:rPr>
          <w:color w:val="000000" w:themeColor="text1"/>
        </w:rPr>
        <w:t xml:space="preserve">verify, falsify, and refine </w:t>
      </w:r>
      <w:r w:rsidR="00DA1172">
        <w:rPr>
          <w:color w:val="000000" w:themeColor="text1"/>
        </w:rPr>
        <w:t>in real time</w:t>
      </w:r>
      <w:r w:rsidR="00DA1172" w:rsidRPr="006A4529">
        <w:rPr>
          <w:color w:val="000000" w:themeColor="text1"/>
        </w:rPr>
        <w:t xml:space="preserve"> the </w:t>
      </w:r>
      <w:r w:rsidR="00DA1172">
        <w:rPr>
          <w:color w:val="000000" w:themeColor="text1"/>
        </w:rPr>
        <w:t>relationships</w:t>
      </w:r>
      <w:r w:rsidR="00DA1172" w:rsidRPr="006A4529">
        <w:rPr>
          <w:color w:val="000000" w:themeColor="text1"/>
        </w:rPr>
        <w:t xml:space="preserve"> between </w:t>
      </w:r>
      <w:r w:rsidR="00DA1172">
        <w:rPr>
          <w:color w:val="000000" w:themeColor="text1"/>
        </w:rPr>
        <w:t>the configuration</w:t>
      </w:r>
      <w:r w:rsidR="002D4FA7">
        <w:rPr>
          <w:color w:val="000000" w:themeColor="text1"/>
        </w:rPr>
        <w:t xml:space="preserve"> events</w:t>
      </w:r>
      <w:r w:rsidR="00DA1172">
        <w:rPr>
          <w:color w:val="000000" w:themeColor="text1"/>
        </w:rPr>
        <w:t xml:space="preserve">, </w:t>
      </w:r>
      <w:r w:rsidR="00DA1172" w:rsidRPr="006A4529">
        <w:rPr>
          <w:color w:val="000000" w:themeColor="text1"/>
        </w:rPr>
        <w:t>electromagnetic standing waves</w:t>
      </w:r>
      <w:r w:rsidR="00DA1172">
        <w:rPr>
          <w:color w:val="000000" w:themeColor="text1"/>
        </w:rPr>
        <w:t xml:space="preserve">, sunspot counts, and </w:t>
      </w:r>
      <w:r w:rsidR="00CB5A5B">
        <w:rPr>
          <w:color w:val="000000" w:themeColor="text1"/>
        </w:rPr>
        <w:t xml:space="preserve">stock </w:t>
      </w:r>
      <w:r w:rsidR="00DA1172">
        <w:rPr>
          <w:color w:val="000000" w:themeColor="text1"/>
        </w:rPr>
        <w:t>market performance</w:t>
      </w:r>
      <w:r w:rsidR="00DA1172" w:rsidRPr="006A4529">
        <w:rPr>
          <w:color w:val="000000" w:themeColor="text1"/>
        </w:rPr>
        <w:t xml:space="preserve">.  </w:t>
      </w:r>
    </w:p>
    <w:p w14:paraId="588F2E02" w14:textId="01E6182F" w:rsidR="00FC75D3" w:rsidRPr="00FC75D3" w:rsidRDefault="00FC75D3" w:rsidP="003A4230">
      <w:r w:rsidRPr="004F3F2B">
        <w:rPr>
          <w:rStyle w:val="Heading2Char"/>
        </w:rPr>
        <w:t>2.2 Literature Context</w:t>
      </w:r>
      <w:r w:rsidRPr="004F3F2B">
        <w:rPr>
          <w:rStyle w:val="Heading2Char"/>
        </w:rPr>
        <w:br/>
      </w:r>
      <w:r w:rsidRPr="00FC75D3">
        <w:t xml:space="preserve">The broader concept that solar and geomagnetic activity can influence human physiology and psychology has been explored in the literature. Studies have reported correlations between geomagnetic activity and rates of heart attacks, suicides, and mood disorders [8, 9]. More directly relevant to finance, </w:t>
      </w:r>
      <w:proofErr w:type="spellStart"/>
      <w:r w:rsidRPr="00FC75D3">
        <w:t>Krivelyova</w:t>
      </w:r>
      <w:proofErr w:type="spellEnd"/>
      <w:r w:rsidRPr="00FC75D3">
        <w:t xml:space="preserve"> and Robotti [10] found that stock returns tend to decline following periods of high geomagnetic activity, suggesting that geomagnetic disturbances may negatively affect investor mood and risk perception. </w:t>
      </w:r>
    </w:p>
    <w:p w14:paraId="07E4DDB1" w14:textId="1C0A6D99" w:rsidR="00FC75D3" w:rsidRDefault="00FC75D3" w:rsidP="003A4230">
      <w:r w:rsidRPr="00FC75D3">
        <w:t xml:space="preserve">The relationship </w:t>
      </w:r>
      <w:r w:rsidR="00162F33">
        <w:t xml:space="preserve">between </w:t>
      </w:r>
      <w:r w:rsidRPr="00FC75D3">
        <w:t xml:space="preserve">planetary configuration </w:t>
      </w:r>
      <w:r w:rsidR="00162F33">
        <w:t xml:space="preserve">and </w:t>
      </w:r>
      <w:r w:rsidRPr="00FC75D3">
        <w:t xml:space="preserve">solar activity is more contentious. Although the prevailing view dismisses planetary </w:t>
      </w:r>
      <w:r w:rsidR="00162F33">
        <w:t xml:space="preserve">gravitational and electromagnetic </w:t>
      </w:r>
      <w:r w:rsidRPr="00FC75D3">
        <w:t xml:space="preserve">forces as too weak to materially affect the Sun [11], several studies have reported correlations between planetary alignments and solar cycle parameters [3, 4, 12]. The present study aligns with this minority perspective, proposing that </w:t>
      </w:r>
      <w:r w:rsidR="00162F33">
        <w:t xml:space="preserve">planetary </w:t>
      </w:r>
      <w:r w:rsidRPr="00FC75D3">
        <w:t>effects can induce a more laminar flow in the Sun's convective zone, for which sunspot counts serve as a practical, long-term proxy.</w:t>
      </w:r>
    </w:p>
    <w:p w14:paraId="2472B5F1" w14:textId="5FBAAFD9" w:rsidR="002D4FA7" w:rsidRDefault="002D4FA7" w:rsidP="003A4230">
      <w:r w:rsidRPr="00FC75D3">
        <w:t>The potential influence of solar system dynamics on complex systems, including solar activity and human socio-economic behavior, represents a persistent and controversial topic in nonlinear science [1, 2]. While the mainstream view in solar physics holds that planetary gravitational influences are negligible, a body of research continues to investigate potential correlations [3, 4].</w:t>
      </w:r>
    </w:p>
    <w:p w14:paraId="5F67C3EA" w14:textId="3F637C2A" w:rsidR="00086B80" w:rsidRDefault="00086B80" w:rsidP="003A4230">
      <w:r>
        <w:lastRenderedPageBreak/>
        <w:t>Several mechanisms have been proposed in the literature that link planetary geometry to solar variability, including tidal, resonant, and electromagnetic interactions. The present study does not attempt to evaluate these mechanisms. Our focus is solely on the statistical detection of a measurable response in solar tranquility associated with the 90-degree configuration.</w:t>
      </w:r>
    </w:p>
    <w:p w14:paraId="3C8C7C2E" w14:textId="3BCA2AE8" w:rsidR="002402E7" w:rsidRDefault="008447F2" w:rsidP="003A4230">
      <w:bookmarkStart w:id="4" w:name="_Hlk213764161"/>
      <w:r w:rsidRPr="004F3F2B">
        <w:rPr>
          <w:rStyle w:val="Heading2Char"/>
        </w:rPr>
        <w:t>T</w:t>
      </w:r>
      <w:r w:rsidR="00FC75D3" w:rsidRPr="004F3F2B">
        <w:rPr>
          <w:rStyle w:val="Heading2Char"/>
        </w:rPr>
        <w:t>he 90° Configuration</w:t>
      </w:r>
      <w:r w:rsidRPr="004F3F2B">
        <w:rPr>
          <w:rStyle w:val="Heading2Char"/>
        </w:rPr>
        <w:t xml:space="preserve"> of Two Planetary Groups</w:t>
      </w:r>
      <w:bookmarkEnd w:id="4"/>
      <w:r w:rsidR="00FC75D3" w:rsidRPr="004F3F2B">
        <w:rPr>
          <w:rStyle w:val="Heading2Char"/>
        </w:rPr>
        <w:br/>
      </w:r>
      <w:r w:rsidR="00FC75D3" w:rsidRPr="00435913">
        <w:t xml:space="preserve">The </w:t>
      </w:r>
      <w:r w:rsidR="004456C7">
        <w:t xml:space="preserve">specific planetary geometry we focus on is the </w:t>
      </w:r>
      <w:r w:rsidR="00FC75D3" w:rsidRPr="00435913">
        <w:t xml:space="preserve">angular separation between the centers of two </w:t>
      </w:r>
      <w:r w:rsidR="004456C7">
        <w:t xml:space="preserve">overlapping </w:t>
      </w:r>
      <w:r w:rsidR="00FC75D3" w:rsidRPr="00435913">
        <w:t>planetary groups. The inner group</w:t>
      </w:r>
      <w:r w:rsidR="004456C7">
        <w:t xml:space="preserve"> consists of </w:t>
      </w:r>
      <w:r w:rsidR="00FC75D3" w:rsidRPr="00435913">
        <w:t>Mercury, Venus, Earth, Jupiter, Saturn</w:t>
      </w:r>
      <w:r w:rsidR="004456C7">
        <w:t xml:space="preserve">. The outer group consists of </w:t>
      </w:r>
      <w:r w:rsidR="004456C7" w:rsidRPr="00435913">
        <w:t>Jupiter, Saturn, Uranus, Neptune</w:t>
      </w:r>
      <w:r w:rsidR="004456C7">
        <w:t xml:space="preserve">. </w:t>
      </w:r>
      <w:r w:rsidR="002402E7">
        <w:t xml:space="preserve">The 86-degree to 94-degree range allows analysis of a number of weeks close to the 90-degree mark.  </w:t>
      </w:r>
      <w:r w:rsidR="00EF5A58">
        <w:t xml:space="preserve">The four-degree span before and after the 90-degree mark </w:t>
      </w:r>
      <w:r w:rsidR="002402E7">
        <w:t xml:space="preserve">was selected arbitrarily. </w:t>
      </w:r>
    </w:p>
    <w:p w14:paraId="1A71D32D" w14:textId="409A682B" w:rsidR="007E2AE9" w:rsidRDefault="004456C7" w:rsidP="003A4230">
      <w:r>
        <w:t xml:space="preserve">The </w:t>
      </w:r>
      <w:r w:rsidR="00EE0B5B">
        <w:t xml:space="preserve">calculated center of the inner planetary group is based on those planets’ impact on shorter cycles of price acceleration of the stock market. </w:t>
      </w:r>
      <w:r w:rsidR="00D9581F">
        <w:t>The effects are</w:t>
      </w:r>
      <w:r w:rsidR="00EE0B5B">
        <w:t xml:space="preserve"> sufficiently close to the </w:t>
      </w:r>
      <w:r>
        <w:t xml:space="preserve">standard formula for tidal forces </w:t>
      </w:r>
      <w:r w:rsidR="00D7795F" w:rsidRPr="00435913">
        <w:t>(</w:t>
      </w:r>
      <m:oMath>
        <m:r>
          <w:rPr>
            <w:rFonts w:ascii="Cambria Math" w:hAnsi="Cambria Math"/>
          </w:rPr>
          <m:t>F∝M</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oMath>
      <w:r w:rsidR="00D7795F" w:rsidRPr="00435913">
        <w:t xml:space="preserve">) </w:t>
      </w:r>
      <w:r w:rsidR="00EE0B5B">
        <w:t xml:space="preserve"> that we used the</w:t>
      </w:r>
      <w:r w:rsidR="00752088">
        <w:t xml:space="preserve"> weights indicated by the </w:t>
      </w:r>
      <w:r w:rsidR="00EE0B5B">
        <w:t xml:space="preserve">tidal formula. </w:t>
      </w:r>
    </w:p>
    <w:p w14:paraId="72199668" w14:textId="7D884C59" w:rsidR="00752088" w:rsidRDefault="00EE0B5B" w:rsidP="003A4230">
      <w:r>
        <w:t xml:space="preserve">The calculated center of the outer group is based on those planets’ impact on longer cycles of price acceleration of the stock market. </w:t>
      </w:r>
      <w:r w:rsidR="00D7795F">
        <w:t xml:space="preserve">Since such effects fall outside current views on physical effects, this approach is speculative. </w:t>
      </w:r>
      <w:r w:rsidR="00FC75D3" w:rsidRPr="00435913">
        <w:t>The final weights are presented in Table 1.</w:t>
      </w:r>
    </w:p>
    <w:p w14:paraId="5AABFC15" w14:textId="384D8033" w:rsidR="00FC75D3" w:rsidRPr="005635E4" w:rsidRDefault="00435913" w:rsidP="003A4230">
      <w:pPr>
        <w:pStyle w:val="TableTitle"/>
      </w:pPr>
      <w:r w:rsidRPr="005635E4">
        <w:rPr>
          <w:rStyle w:val="Strong"/>
          <w:b/>
          <w:bCs w:val="0"/>
        </w:rPr>
        <w:t>Table 1</w:t>
      </w:r>
      <w:r w:rsidR="001A54B4" w:rsidRPr="005635E4">
        <w:rPr>
          <w:rStyle w:val="Strong"/>
          <w:b/>
          <w:bCs w:val="0"/>
        </w:rPr>
        <w:t>:</w:t>
      </w:r>
      <w:r w:rsidR="001A54B4" w:rsidRPr="005635E4">
        <w:t> Planetary Mass Weights for Orbital Group Centers</w:t>
      </w:r>
    </w:p>
    <w:tbl>
      <w:tblPr>
        <w:tblW w:w="8091" w:type="dxa"/>
        <w:jc w:val="center"/>
        <w:tblLayout w:type="fixed"/>
        <w:tblLook w:val="04A0" w:firstRow="1" w:lastRow="0" w:firstColumn="1" w:lastColumn="0" w:noHBand="0" w:noVBand="1"/>
      </w:tblPr>
      <w:tblGrid>
        <w:gridCol w:w="1756"/>
        <w:gridCol w:w="3221"/>
        <w:gridCol w:w="3114"/>
      </w:tblGrid>
      <w:tr w:rsidR="00D252B6" w:rsidRPr="00D252B6" w14:paraId="3DEEA4CC" w14:textId="77777777" w:rsidTr="00D252B6">
        <w:trPr>
          <w:trHeight w:val="49"/>
          <w:jc w:val="center"/>
        </w:trPr>
        <w:tc>
          <w:tcPr>
            <w:tcW w:w="1756" w:type="dxa"/>
            <w:hideMark/>
          </w:tcPr>
          <w:p w14:paraId="12F2857A" w14:textId="77777777" w:rsidR="00FC75D3" w:rsidRPr="00D252B6" w:rsidRDefault="00FC75D3" w:rsidP="00D252B6">
            <w:pPr>
              <w:spacing w:after="0"/>
              <w:rPr>
                <w:rFonts w:cs="Times New Roman"/>
                <w:b/>
                <w:bCs/>
                <w:sz w:val="20"/>
                <w:szCs w:val="20"/>
              </w:rPr>
            </w:pPr>
            <w:r w:rsidRPr="00D252B6">
              <w:rPr>
                <w:rFonts w:cs="Times New Roman"/>
                <w:b/>
                <w:bCs/>
                <w:sz w:val="20"/>
                <w:szCs w:val="20"/>
              </w:rPr>
              <w:t>Planet</w:t>
            </w:r>
          </w:p>
        </w:tc>
        <w:tc>
          <w:tcPr>
            <w:tcW w:w="3221" w:type="dxa"/>
            <w:hideMark/>
          </w:tcPr>
          <w:p w14:paraId="7CF7569C" w14:textId="00F466A2" w:rsidR="00FC75D3" w:rsidRPr="00D252B6" w:rsidRDefault="00FC75D3" w:rsidP="00D252B6">
            <w:pPr>
              <w:spacing w:after="0"/>
              <w:jc w:val="center"/>
              <w:rPr>
                <w:rFonts w:cs="Times New Roman"/>
                <w:b/>
                <w:bCs/>
                <w:sz w:val="20"/>
                <w:szCs w:val="20"/>
              </w:rPr>
            </w:pPr>
            <w:r w:rsidRPr="00D252B6">
              <w:rPr>
                <w:rFonts w:cs="Times New Roman"/>
                <w:b/>
                <w:bCs/>
                <w:sz w:val="20"/>
                <w:szCs w:val="20"/>
              </w:rPr>
              <w:t>Weight in Inner Group</w:t>
            </w:r>
          </w:p>
        </w:tc>
        <w:tc>
          <w:tcPr>
            <w:tcW w:w="3114" w:type="dxa"/>
            <w:hideMark/>
          </w:tcPr>
          <w:p w14:paraId="37C28ED7" w14:textId="3B120076" w:rsidR="00FC75D3" w:rsidRPr="00D252B6" w:rsidRDefault="00FC75D3" w:rsidP="00D252B6">
            <w:pPr>
              <w:spacing w:after="0"/>
              <w:jc w:val="center"/>
              <w:rPr>
                <w:rFonts w:cs="Times New Roman"/>
                <w:b/>
                <w:bCs/>
                <w:sz w:val="20"/>
                <w:szCs w:val="20"/>
              </w:rPr>
            </w:pPr>
            <w:r w:rsidRPr="00D252B6">
              <w:rPr>
                <w:rFonts w:cs="Times New Roman"/>
                <w:b/>
                <w:bCs/>
                <w:sz w:val="20"/>
                <w:szCs w:val="20"/>
              </w:rPr>
              <w:t>Weight in Outer Group</w:t>
            </w:r>
          </w:p>
        </w:tc>
      </w:tr>
      <w:tr w:rsidR="00D252B6" w:rsidRPr="00D252B6" w14:paraId="469A73C5" w14:textId="77777777" w:rsidTr="00D252B6">
        <w:trPr>
          <w:trHeight w:val="49"/>
          <w:jc w:val="center"/>
        </w:trPr>
        <w:tc>
          <w:tcPr>
            <w:tcW w:w="1756" w:type="dxa"/>
            <w:hideMark/>
          </w:tcPr>
          <w:p w14:paraId="07350605" w14:textId="77777777" w:rsidR="00FC75D3" w:rsidRPr="00D252B6" w:rsidRDefault="00FC75D3" w:rsidP="00D252B6">
            <w:pPr>
              <w:spacing w:after="0"/>
              <w:rPr>
                <w:rFonts w:cs="Times New Roman"/>
                <w:sz w:val="20"/>
                <w:szCs w:val="20"/>
              </w:rPr>
            </w:pPr>
            <w:r w:rsidRPr="00D252B6">
              <w:rPr>
                <w:rFonts w:cs="Times New Roman"/>
                <w:sz w:val="20"/>
                <w:szCs w:val="20"/>
              </w:rPr>
              <w:t>Mercury</w:t>
            </w:r>
          </w:p>
        </w:tc>
        <w:tc>
          <w:tcPr>
            <w:tcW w:w="3221" w:type="dxa"/>
            <w:hideMark/>
          </w:tcPr>
          <w:p w14:paraId="1834B47A" w14:textId="77777777" w:rsidR="00FC75D3" w:rsidRPr="00D252B6" w:rsidRDefault="00FC75D3" w:rsidP="00D252B6">
            <w:pPr>
              <w:spacing w:after="0"/>
              <w:jc w:val="center"/>
              <w:rPr>
                <w:rFonts w:cs="Times New Roman"/>
                <w:sz w:val="20"/>
                <w:szCs w:val="20"/>
              </w:rPr>
            </w:pPr>
            <w:r w:rsidRPr="00D252B6">
              <w:rPr>
                <w:rFonts w:cs="Times New Roman"/>
                <w:sz w:val="20"/>
                <w:szCs w:val="20"/>
              </w:rPr>
              <w:t>14 %</w:t>
            </w:r>
          </w:p>
        </w:tc>
        <w:tc>
          <w:tcPr>
            <w:tcW w:w="3114" w:type="dxa"/>
            <w:hideMark/>
          </w:tcPr>
          <w:p w14:paraId="38FC6AD0"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r>
      <w:tr w:rsidR="00D252B6" w:rsidRPr="00D252B6" w14:paraId="70BAE01C" w14:textId="77777777" w:rsidTr="00D252B6">
        <w:trPr>
          <w:trHeight w:val="49"/>
          <w:jc w:val="center"/>
        </w:trPr>
        <w:tc>
          <w:tcPr>
            <w:tcW w:w="1756" w:type="dxa"/>
            <w:hideMark/>
          </w:tcPr>
          <w:p w14:paraId="2E582DF9" w14:textId="77777777" w:rsidR="00FC75D3" w:rsidRPr="00D252B6" w:rsidRDefault="00FC75D3" w:rsidP="00D252B6">
            <w:pPr>
              <w:spacing w:after="0"/>
              <w:rPr>
                <w:rFonts w:cs="Times New Roman"/>
                <w:sz w:val="20"/>
                <w:szCs w:val="20"/>
              </w:rPr>
            </w:pPr>
            <w:r w:rsidRPr="00D252B6">
              <w:rPr>
                <w:rFonts w:cs="Times New Roman"/>
                <w:sz w:val="20"/>
                <w:szCs w:val="20"/>
              </w:rPr>
              <w:t>Venus</w:t>
            </w:r>
          </w:p>
        </w:tc>
        <w:tc>
          <w:tcPr>
            <w:tcW w:w="3221" w:type="dxa"/>
            <w:hideMark/>
          </w:tcPr>
          <w:p w14:paraId="07E88865" w14:textId="77777777" w:rsidR="00FC75D3" w:rsidRPr="00D252B6" w:rsidRDefault="00FC75D3" w:rsidP="00D252B6">
            <w:pPr>
              <w:spacing w:after="0"/>
              <w:jc w:val="center"/>
              <w:rPr>
                <w:rFonts w:cs="Times New Roman"/>
                <w:sz w:val="20"/>
                <w:szCs w:val="20"/>
              </w:rPr>
            </w:pPr>
            <w:r w:rsidRPr="00D252B6">
              <w:rPr>
                <w:rFonts w:cs="Times New Roman"/>
                <w:sz w:val="20"/>
                <w:szCs w:val="20"/>
              </w:rPr>
              <w:t>34 %</w:t>
            </w:r>
          </w:p>
        </w:tc>
        <w:tc>
          <w:tcPr>
            <w:tcW w:w="3114" w:type="dxa"/>
            <w:hideMark/>
          </w:tcPr>
          <w:p w14:paraId="7EC5437C"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r>
      <w:tr w:rsidR="00D252B6" w:rsidRPr="00D252B6" w14:paraId="45C75F44" w14:textId="77777777" w:rsidTr="00D252B6">
        <w:trPr>
          <w:trHeight w:val="49"/>
          <w:jc w:val="center"/>
        </w:trPr>
        <w:tc>
          <w:tcPr>
            <w:tcW w:w="1756" w:type="dxa"/>
            <w:hideMark/>
          </w:tcPr>
          <w:p w14:paraId="4C3479F2" w14:textId="77777777" w:rsidR="00FC75D3" w:rsidRPr="00D252B6" w:rsidRDefault="00FC75D3" w:rsidP="00D252B6">
            <w:pPr>
              <w:spacing w:after="0"/>
              <w:rPr>
                <w:rFonts w:cs="Times New Roman"/>
                <w:sz w:val="20"/>
                <w:szCs w:val="20"/>
              </w:rPr>
            </w:pPr>
            <w:r w:rsidRPr="00D252B6">
              <w:rPr>
                <w:rFonts w:cs="Times New Roman"/>
                <w:sz w:val="20"/>
                <w:szCs w:val="20"/>
              </w:rPr>
              <w:t>Earth</w:t>
            </w:r>
          </w:p>
        </w:tc>
        <w:tc>
          <w:tcPr>
            <w:tcW w:w="3221" w:type="dxa"/>
            <w:hideMark/>
          </w:tcPr>
          <w:p w14:paraId="143728C9" w14:textId="77777777" w:rsidR="00FC75D3" w:rsidRPr="00D252B6" w:rsidRDefault="00FC75D3" w:rsidP="00D252B6">
            <w:pPr>
              <w:spacing w:after="0"/>
              <w:jc w:val="center"/>
              <w:rPr>
                <w:rFonts w:cs="Times New Roman"/>
                <w:sz w:val="20"/>
                <w:szCs w:val="20"/>
              </w:rPr>
            </w:pPr>
            <w:r w:rsidRPr="00D252B6">
              <w:rPr>
                <w:rFonts w:cs="Times New Roman"/>
                <w:sz w:val="20"/>
                <w:szCs w:val="20"/>
              </w:rPr>
              <w:t>15 %</w:t>
            </w:r>
          </w:p>
        </w:tc>
        <w:tc>
          <w:tcPr>
            <w:tcW w:w="3114" w:type="dxa"/>
            <w:hideMark/>
          </w:tcPr>
          <w:p w14:paraId="232461C4"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r>
      <w:tr w:rsidR="00D252B6" w:rsidRPr="00D252B6" w14:paraId="488A5A81" w14:textId="77777777" w:rsidTr="00D252B6">
        <w:trPr>
          <w:trHeight w:val="49"/>
          <w:jc w:val="center"/>
        </w:trPr>
        <w:tc>
          <w:tcPr>
            <w:tcW w:w="1756" w:type="dxa"/>
            <w:hideMark/>
          </w:tcPr>
          <w:p w14:paraId="0C9E7CFD" w14:textId="77777777" w:rsidR="00FC75D3" w:rsidRPr="00D252B6" w:rsidRDefault="00FC75D3" w:rsidP="00D252B6">
            <w:pPr>
              <w:spacing w:after="0"/>
              <w:rPr>
                <w:rFonts w:cs="Times New Roman"/>
                <w:sz w:val="20"/>
                <w:szCs w:val="20"/>
              </w:rPr>
            </w:pPr>
            <w:r w:rsidRPr="00D252B6">
              <w:rPr>
                <w:rFonts w:cs="Times New Roman"/>
                <w:sz w:val="20"/>
                <w:szCs w:val="20"/>
              </w:rPr>
              <w:t>Mars</w:t>
            </w:r>
          </w:p>
        </w:tc>
        <w:tc>
          <w:tcPr>
            <w:tcW w:w="3221" w:type="dxa"/>
            <w:hideMark/>
          </w:tcPr>
          <w:p w14:paraId="372D9BC0"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c>
          <w:tcPr>
            <w:tcW w:w="3114" w:type="dxa"/>
            <w:hideMark/>
          </w:tcPr>
          <w:p w14:paraId="6BBCE42C"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r>
      <w:tr w:rsidR="00D252B6" w:rsidRPr="00D252B6" w14:paraId="0FE976D3" w14:textId="77777777" w:rsidTr="00D252B6">
        <w:trPr>
          <w:trHeight w:val="49"/>
          <w:jc w:val="center"/>
        </w:trPr>
        <w:tc>
          <w:tcPr>
            <w:tcW w:w="1756" w:type="dxa"/>
            <w:hideMark/>
          </w:tcPr>
          <w:p w14:paraId="7EBEDDB4" w14:textId="77777777" w:rsidR="00FC75D3" w:rsidRPr="00D252B6" w:rsidRDefault="00FC75D3" w:rsidP="00D252B6">
            <w:pPr>
              <w:spacing w:after="0"/>
              <w:rPr>
                <w:rFonts w:cs="Times New Roman"/>
                <w:sz w:val="20"/>
                <w:szCs w:val="20"/>
              </w:rPr>
            </w:pPr>
            <w:r w:rsidRPr="00D252B6">
              <w:rPr>
                <w:rFonts w:cs="Times New Roman"/>
                <w:sz w:val="20"/>
                <w:szCs w:val="20"/>
              </w:rPr>
              <w:t>Jupiter</w:t>
            </w:r>
          </w:p>
        </w:tc>
        <w:tc>
          <w:tcPr>
            <w:tcW w:w="3221" w:type="dxa"/>
            <w:hideMark/>
          </w:tcPr>
          <w:p w14:paraId="7B4C303B" w14:textId="77777777" w:rsidR="00FC75D3" w:rsidRPr="00D252B6" w:rsidRDefault="00FC75D3" w:rsidP="00D252B6">
            <w:pPr>
              <w:spacing w:after="0"/>
              <w:jc w:val="center"/>
              <w:rPr>
                <w:rFonts w:cs="Times New Roman"/>
                <w:sz w:val="20"/>
                <w:szCs w:val="20"/>
              </w:rPr>
            </w:pPr>
            <w:r w:rsidRPr="00D252B6">
              <w:rPr>
                <w:rFonts w:cs="Times New Roman"/>
                <w:sz w:val="20"/>
                <w:szCs w:val="20"/>
              </w:rPr>
              <w:t>35 %</w:t>
            </w:r>
          </w:p>
        </w:tc>
        <w:tc>
          <w:tcPr>
            <w:tcW w:w="3114" w:type="dxa"/>
            <w:hideMark/>
          </w:tcPr>
          <w:p w14:paraId="34E352BA" w14:textId="77777777" w:rsidR="00FC75D3" w:rsidRPr="00D252B6" w:rsidRDefault="00FC75D3" w:rsidP="00D252B6">
            <w:pPr>
              <w:spacing w:after="0"/>
              <w:jc w:val="center"/>
              <w:rPr>
                <w:rFonts w:cs="Times New Roman"/>
                <w:sz w:val="20"/>
                <w:szCs w:val="20"/>
              </w:rPr>
            </w:pPr>
            <w:r w:rsidRPr="00D252B6">
              <w:rPr>
                <w:rFonts w:cs="Times New Roman"/>
                <w:sz w:val="20"/>
                <w:szCs w:val="20"/>
              </w:rPr>
              <w:t>35 %</w:t>
            </w:r>
          </w:p>
        </w:tc>
      </w:tr>
      <w:tr w:rsidR="00D252B6" w:rsidRPr="00D252B6" w14:paraId="31EA806E" w14:textId="77777777" w:rsidTr="00D252B6">
        <w:trPr>
          <w:trHeight w:val="49"/>
          <w:jc w:val="center"/>
        </w:trPr>
        <w:tc>
          <w:tcPr>
            <w:tcW w:w="1756" w:type="dxa"/>
            <w:hideMark/>
          </w:tcPr>
          <w:p w14:paraId="0A803A8C" w14:textId="77777777" w:rsidR="00FC75D3" w:rsidRPr="00D252B6" w:rsidRDefault="00FC75D3" w:rsidP="00D252B6">
            <w:pPr>
              <w:spacing w:after="0"/>
              <w:rPr>
                <w:rFonts w:cs="Times New Roman"/>
                <w:sz w:val="20"/>
                <w:szCs w:val="20"/>
              </w:rPr>
            </w:pPr>
            <w:r w:rsidRPr="00D252B6">
              <w:rPr>
                <w:rFonts w:cs="Times New Roman"/>
                <w:sz w:val="20"/>
                <w:szCs w:val="20"/>
              </w:rPr>
              <w:t>Saturn</w:t>
            </w:r>
          </w:p>
        </w:tc>
        <w:tc>
          <w:tcPr>
            <w:tcW w:w="3221" w:type="dxa"/>
            <w:hideMark/>
          </w:tcPr>
          <w:p w14:paraId="7452C1AE" w14:textId="77777777" w:rsidR="00FC75D3" w:rsidRPr="00D252B6" w:rsidRDefault="00FC75D3" w:rsidP="00D252B6">
            <w:pPr>
              <w:spacing w:after="0"/>
              <w:jc w:val="center"/>
              <w:rPr>
                <w:rFonts w:cs="Times New Roman"/>
                <w:sz w:val="20"/>
                <w:szCs w:val="20"/>
              </w:rPr>
            </w:pPr>
            <w:r w:rsidRPr="00D252B6">
              <w:rPr>
                <w:rFonts w:cs="Times New Roman"/>
                <w:sz w:val="20"/>
                <w:szCs w:val="20"/>
              </w:rPr>
              <w:t>2 %</w:t>
            </w:r>
          </w:p>
        </w:tc>
        <w:tc>
          <w:tcPr>
            <w:tcW w:w="3114" w:type="dxa"/>
            <w:hideMark/>
          </w:tcPr>
          <w:p w14:paraId="25DD3297" w14:textId="77777777" w:rsidR="00FC75D3" w:rsidRPr="00D252B6" w:rsidRDefault="00FC75D3" w:rsidP="00D252B6">
            <w:pPr>
              <w:spacing w:after="0"/>
              <w:jc w:val="center"/>
              <w:rPr>
                <w:rFonts w:cs="Times New Roman"/>
                <w:sz w:val="20"/>
                <w:szCs w:val="20"/>
              </w:rPr>
            </w:pPr>
            <w:r w:rsidRPr="00D252B6">
              <w:rPr>
                <w:rFonts w:cs="Times New Roman"/>
                <w:sz w:val="20"/>
                <w:szCs w:val="20"/>
              </w:rPr>
              <w:t>40 %</w:t>
            </w:r>
          </w:p>
        </w:tc>
      </w:tr>
      <w:tr w:rsidR="00D252B6" w:rsidRPr="00D252B6" w14:paraId="6051336C" w14:textId="77777777" w:rsidTr="00D252B6">
        <w:trPr>
          <w:trHeight w:val="49"/>
          <w:jc w:val="center"/>
        </w:trPr>
        <w:tc>
          <w:tcPr>
            <w:tcW w:w="1756" w:type="dxa"/>
            <w:hideMark/>
          </w:tcPr>
          <w:p w14:paraId="0C4DD0EF" w14:textId="77777777" w:rsidR="00FC75D3" w:rsidRPr="00D252B6" w:rsidRDefault="00FC75D3" w:rsidP="00D252B6">
            <w:pPr>
              <w:spacing w:after="0"/>
              <w:rPr>
                <w:rFonts w:cs="Times New Roman"/>
                <w:sz w:val="20"/>
                <w:szCs w:val="20"/>
              </w:rPr>
            </w:pPr>
            <w:r w:rsidRPr="00D252B6">
              <w:rPr>
                <w:rFonts w:cs="Times New Roman"/>
                <w:sz w:val="20"/>
                <w:szCs w:val="20"/>
              </w:rPr>
              <w:t>Uranus</w:t>
            </w:r>
          </w:p>
        </w:tc>
        <w:tc>
          <w:tcPr>
            <w:tcW w:w="3221" w:type="dxa"/>
            <w:hideMark/>
          </w:tcPr>
          <w:p w14:paraId="2055138E"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c>
          <w:tcPr>
            <w:tcW w:w="3114" w:type="dxa"/>
            <w:hideMark/>
          </w:tcPr>
          <w:p w14:paraId="7ADBE0EF" w14:textId="77777777" w:rsidR="00FC75D3" w:rsidRPr="00D252B6" w:rsidRDefault="00FC75D3" w:rsidP="00D252B6">
            <w:pPr>
              <w:spacing w:after="0"/>
              <w:jc w:val="center"/>
              <w:rPr>
                <w:rFonts w:cs="Times New Roman"/>
                <w:sz w:val="20"/>
                <w:szCs w:val="20"/>
              </w:rPr>
            </w:pPr>
            <w:r w:rsidRPr="00D252B6">
              <w:rPr>
                <w:rFonts w:cs="Times New Roman"/>
                <w:sz w:val="20"/>
                <w:szCs w:val="20"/>
              </w:rPr>
              <w:t>12.5 %</w:t>
            </w:r>
          </w:p>
        </w:tc>
      </w:tr>
      <w:tr w:rsidR="00D252B6" w:rsidRPr="00D252B6" w14:paraId="111E626D" w14:textId="77777777" w:rsidTr="00D252B6">
        <w:trPr>
          <w:trHeight w:val="49"/>
          <w:jc w:val="center"/>
        </w:trPr>
        <w:tc>
          <w:tcPr>
            <w:tcW w:w="1756" w:type="dxa"/>
            <w:hideMark/>
          </w:tcPr>
          <w:p w14:paraId="262EA727" w14:textId="77777777" w:rsidR="00FC75D3" w:rsidRPr="00D252B6" w:rsidRDefault="00FC75D3" w:rsidP="00D252B6">
            <w:pPr>
              <w:spacing w:after="0"/>
              <w:rPr>
                <w:rFonts w:cs="Times New Roman"/>
                <w:sz w:val="20"/>
                <w:szCs w:val="20"/>
              </w:rPr>
            </w:pPr>
            <w:r w:rsidRPr="00D252B6">
              <w:rPr>
                <w:rFonts w:cs="Times New Roman"/>
                <w:sz w:val="20"/>
                <w:szCs w:val="20"/>
              </w:rPr>
              <w:t>Neptune</w:t>
            </w:r>
          </w:p>
        </w:tc>
        <w:tc>
          <w:tcPr>
            <w:tcW w:w="3221" w:type="dxa"/>
            <w:hideMark/>
          </w:tcPr>
          <w:p w14:paraId="66CF52BD" w14:textId="77777777" w:rsidR="00FC75D3" w:rsidRPr="00D252B6" w:rsidRDefault="00FC75D3" w:rsidP="00D252B6">
            <w:pPr>
              <w:spacing w:after="0"/>
              <w:jc w:val="center"/>
              <w:rPr>
                <w:rFonts w:cs="Times New Roman"/>
                <w:sz w:val="20"/>
                <w:szCs w:val="20"/>
              </w:rPr>
            </w:pPr>
            <w:r w:rsidRPr="00D252B6">
              <w:rPr>
                <w:rFonts w:cs="Times New Roman"/>
                <w:sz w:val="20"/>
                <w:szCs w:val="20"/>
              </w:rPr>
              <w:t>—</w:t>
            </w:r>
          </w:p>
        </w:tc>
        <w:tc>
          <w:tcPr>
            <w:tcW w:w="3114" w:type="dxa"/>
            <w:hideMark/>
          </w:tcPr>
          <w:p w14:paraId="3AA6191E" w14:textId="77777777" w:rsidR="00FC75D3" w:rsidRPr="00D252B6" w:rsidRDefault="00FC75D3" w:rsidP="00D252B6">
            <w:pPr>
              <w:spacing w:after="0"/>
              <w:jc w:val="center"/>
              <w:rPr>
                <w:rFonts w:cs="Times New Roman"/>
                <w:sz w:val="20"/>
                <w:szCs w:val="20"/>
              </w:rPr>
            </w:pPr>
            <w:r w:rsidRPr="00D252B6">
              <w:rPr>
                <w:rFonts w:cs="Times New Roman"/>
                <w:sz w:val="20"/>
                <w:szCs w:val="20"/>
              </w:rPr>
              <w:t>12.5 %</w:t>
            </w:r>
          </w:p>
        </w:tc>
      </w:tr>
      <w:tr w:rsidR="00D252B6" w:rsidRPr="00D252B6" w14:paraId="3D93E848" w14:textId="77777777" w:rsidTr="00D252B6">
        <w:trPr>
          <w:trHeight w:val="49"/>
          <w:jc w:val="center"/>
        </w:trPr>
        <w:tc>
          <w:tcPr>
            <w:tcW w:w="1756" w:type="dxa"/>
            <w:hideMark/>
          </w:tcPr>
          <w:p w14:paraId="55B2B0DC" w14:textId="77777777" w:rsidR="00FC75D3" w:rsidRPr="00D252B6" w:rsidRDefault="00FC75D3" w:rsidP="00D252B6">
            <w:pPr>
              <w:spacing w:after="0"/>
              <w:rPr>
                <w:rFonts w:cs="Times New Roman"/>
                <w:sz w:val="20"/>
                <w:szCs w:val="20"/>
              </w:rPr>
            </w:pPr>
            <w:r w:rsidRPr="00D252B6">
              <w:rPr>
                <w:rFonts w:cs="Times New Roman"/>
                <w:sz w:val="20"/>
                <w:szCs w:val="20"/>
              </w:rPr>
              <w:t>Total</w:t>
            </w:r>
          </w:p>
        </w:tc>
        <w:tc>
          <w:tcPr>
            <w:tcW w:w="3221" w:type="dxa"/>
            <w:hideMark/>
          </w:tcPr>
          <w:p w14:paraId="4337C9C7" w14:textId="77777777" w:rsidR="00FC75D3" w:rsidRPr="00D252B6" w:rsidRDefault="00FC75D3" w:rsidP="00D252B6">
            <w:pPr>
              <w:spacing w:after="0"/>
              <w:jc w:val="center"/>
              <w:rPr>
                <w:rFonts w:cs="Times New Roman"/>
                <w:sz w:val="20"/>
                <w:szCs w:val="20"/>
              </w:rPr>
            </w:pPr>
            <w:r w:rsidRPr="00D252B6">
              <w:rPr>
                <w:rFonts w:cs="Times New Roman"/>
                <w:sz w:val="20"/>
                <w:szCs w:val="20"/>
              </w:rPr>
              <w:t>100 %</w:t>
            </w:r>
          </w:p>
        </w:tc>
        <w:tc>
          <w:tcPr>
            <w:tcW w:w="3114" w:type="dxa"/>
            <w:hideMark/>
          </w:tcPr>
          <w:p w14:paraId="4E44B9AC" w14:textId="77777777" w:rsidR="00FC75D3" w:rsidRPr="00D252B6" w:rsidRDefault="00FC75D3" w:rsidP="00D252B6">
            <w:pPr>
              <w:spacing w:after="0"/>
              <w:jc w:val="center"/>
              <w:rPr>
                <w:rFonts w:cs="Times New Roman"/>
                <w:sz w:val="20"/>
                <w:szCs w:val="20"/>
              </w:rPr>
            </w:pPr>
            <w:r w:rsidRPr="00D252B6">
              <w:rPr>
                <w:rFonts w:cs="Times New Roman"/>
                <w:sz w:val="20"/>
                <w:szCs w:val="20"/>
              </w:rPr>
              <w:t>100 %</w:t>
            </w:r>
          </w:p>
        </w:tc>
      </w:tr>
    </w:tbl>
    <w:p w14:paraId="551DAED8" w14:textId="3CA87DC5" w:rsidR="001A54B4" w:rsidRPr="00435913" w:rsidRDefault="001A54B4" w:rsidP="003A4230">
      <w:pPr>
        <w:pStyle w:val="TableNote"/>
        <w:rPr>
          <w:rStyle w:val="Emphasis"/>
          <w:i/>
          <w:iCs w:val="0"/>
        </w:rPr>
      </w:pPr>
      <w:r w:rsidRPr="00435913">
        <w:rPr>
          <w:rStyle w:val="FigureCaptionChar"/>
          <w:rFonts w:eastAsiaTheme="minorHAnsi" w:cstheme="minorBidi"/>
          <w:i/>
          <w:color w:val="auto"/>
          <w:sz w:val="18"/>
          <w:szCs w:val="24"/>
        </w:rPr>
        <w:t>Note: Weights used to calculate the center of mass for the inner (Mercury, Venus, Earth, Jupiter, Saturn) and outer (Jupiter, Saturn, Uranus, Neptune) planetary groups. The inner group center was calculated using standard tidal force proportionality (M/d³). The outer group center was determined through an iterative optimization process to maximize correlation</w:t>
      </w:r>
      <w:r w:rsidR="00D47217">
        <w:rPr>
          <w:rStyle w:val="FigureCaptionChar"/>
          <w:rFonts w:eastAsiaTheme="minorHAnsi" w:cstheme="minorBidi"/>
          <w:i/>
          <w:color w:val="auto"/>
          <w:sz w:val="18"/>
          <w:szCs w:val="24"/>
        </w:rPr>
        <w:t>s</w:t>
      </w:r>
      <w:r w:rsidRPr="00435913">
        <w:rPr>
          <w:rStyle w:val="FigureCaptionChar"/>
          <w:rFonts w:eastAsiaTheme="minorHAnsi" w:cstheme="minorBidi"/>
          <w:i/>
          <w:color w:val="auto"/>
          <w:sz w:val="18"/>
          <w:szCs w:val="24"/>
        </w:rPr>
        <w:t xml:space="preserve"> with long-term stock market price acceleration trends. The Sun is positioned at the vertex for angular measurements.</w:t>
      </w:r>
      <w:r w:rsidR="00435913">
        <w:rPr>
          <w:rStyle w:val="FigureCaptionChar"/>
          <w:rFonts w:eastAsiaTheme="minorHAnsi" w:cstheme="minorBidi"/>
          <w:i/>
          <w:szCs w:val="24"/>
        </w:rPr>
        <w:t xml:space="preserve"> </w:t>
      </w:r>
      <w:r w:rsidRPr="00435913">
        <w:rPr>
          <w:rStyle w:val="FigureCaptionChar"/>
          <w:rFonts w:eastAsiaTheme="minorHAnsi" w:cstheme="minorBidi"/>
          <w:i/>
          <w:color w:val="auto"/>
          <w:sz w:val="18"/>
          <w:szCs w:val="24"/>
        </w:rPr>
        <w:t>Source: CPM Investing</w:t>
      </w:r>
      <w:r w:rsidRPr="00435913">
        <w:rPr>
          <w:rStyle w:val="Emphasis"/>
          <w:i/>
          <w:iCs w:val="0"/>
        </w:rPr>
        <w:t xml:space="preserve"> LLC calculations based on planetary mass and orbital data from NASA JPL Horizons.</w:t>
      </w:r>
    </w:p>
    <w:p w14:paraId="6E42E21A" w14:textId="0A0D9117" w:rsidR="00FC75D3" w:rsidRDefault="00FC75D3" w:rsidP="003A4230">
      <w:r w:rsidRPr="00FC75D3">
        <w:t xml:space="preserve">The 90° configuration was initially identified through visual inspection of market data </w:t>
      </w:r>
      <w:r w:rsidR="00D47217">
        <w:t xml:space="preserve">coinciding with the period before and after the 1987 stock market crash. The importance of the 90-degree </w:t>
      </w:r>
      <w:r w:rsidR="001B7016">
        <w:t>configuration</w:t>
      </w:r>
      <w:r w:rsidR="00D47217">
        <w:t xml:space="preserve"> </w:t>
      </w:r>
      <w:r w:rsidRPr="00FC75D3">
        <w:t xml:space="preserve">astrophysical studies of solar dynamics </w:t>
      </w:r>
      <w:r w:rsidR="00D47217">
        <w:t xml:space="preserve">is described in </w:t>
      </w:r>
      <w:r w:rsidRPr="00FC75D3">
        <w:t xml:space="preserve">Appendix L. </w:t>
      </w:r>
      <w:r w:rsidR="00520E0F">
        <w:t>We posit that the two groups of planets exert electromagnetic and gravitational forces on the Sun.  When at 90 degrees, these forces induce a more laminar flow in the Sun’s convective zone. The outer planetary group, rather than exerting gravitational forces, acts to preserve the low frequency electromagnetic perturbations emanating from the Sun by its structure. This hypothesis is described in Appendix XX.</w:t>
      </w:r>
    </w:p>
    <w:p w14:paraId="732B78F0" w14:textId="4D3EAD24" w:rsidR="008447F2" w:rsidRDefault="00EB604D" w:rsidP="003A4230">
      <w:r>
        <w:lastRenderedPageBreak/>
        <w:t>While we</w:t>
      </w:r>
      <w:r w:rsidR="008447F2">
        <w:t xml:space="preserve"> believe that the weighting scheme described above </w:t>
      </w:r>
      <w:r w:rsidR="008945E1">
        <w:t xml:space="preserve">will create </w:t>
      </w:r>
      <w:r w:rsidR="00282DE2">
        <w:t xml:space="preserve">a reasonably accurate </w:t>
      </w:r>
      <w:r w:rsidR="008945E1">
        <w:t xml:space="preserve">forecast for the 2026 cluster, </w:t>
      </w:r>
      <w:r w:rsidR="00282DE2">
        <w:t xml:space="preserve">the </w:t>
      </w:r>
      <w:r w:rsidR="008945E1">
        <w:t xml:space="preserve">scheme </w:t>
      </w:r>
      <w:r w:rsidR="00282DE2">
        <w:t xml:space="preserve">should </w:t>
      </w:r>
      <w:r w:rsidR="008447F2">
        <w:t xml:space="preserve">be refined in the future based on further research. The current scheme imparts a major role to Jupiter. </w:t>
      </w:r>
      <w:r w:rsidR="00282DE2">
        <w:t xml:space="preserve">A </w:t>
      </w:r>
      <w:r w:rsidR="008945E1">
        <w:t>scheme</w:t>
      </w:r>
      <w:r w:rsidR="008447F2">
        <w:t xml:space="preserve"> that carves out </w:t>
      </w:r>
      <w:r w:rsidR="008945E1">
        <w:t>Jupiter</w:t>
      </w:r>
      <w:r w:rsidR="008447F2">
        <w:t xml:space="preserve"> from each group and then describes the </w:t>
      </w:r>
      <w:r w:rsidR="008945E1">
        <w:t>describes</w:t>
      </w:r>
      <w:r w:rsidR="008447F2">
        <w:t xml:space="preserve"> a three-</w:t>
      </w:r>
      <w:r w:rsidR="008945E1">
        <w:t xml:space="preserve">point dynamic involving the inner planets, Jupiter, and the outer planets may be </w:t>
      </w:r>
      <w:r w:rsidR="00752088">
        <w:t xml:space="preserve">more </w:t>
      </w:r>
      <w:r w:rsidR="008945E1">
        <w:t xml:space="preserve">explanatory. </w:t>
      </w:r>
      <w:r w:rsidR="00520E0F">
        <w:t xml:space="preserve">We believe that any inaccuracies of the current scheme would weaken </w:t>
      </w:r>
      <w:r>
        <w:t>the</w:t>
      </w:r>
      <w:r w:rsidR="00520E0F">
        <w:t xml:space="preserve"> statistical results rather than strengthen them.  Thus, the significance of the current findings support the validity of this scheme.  </w:t>
      </w:r>
    </w:p>
    <w:p w14:paraId="4F8B74FC" w14:textId="6D76F466" w:rsidR="008447F2" w:rsidRDefault="008945E1" w:rsidP="008447F2">
      <w:r>
        <w:t xml:space="preserve">Since the focus of this paper is on the effect planets have on the Sun and human behavior, the specific nature of the weighting scheme is not crucial.  Instead, the important condition for </w:t>
      </w:r>
      <w:r w:rsidR="00752088">
        <w:t xml:space="preserve">the </w:t>
      </w:r>
      <w:r>
        <w:t xml:space="preserve">analyses is that the scheme is constant over the 89-year period.  </w:t>
      </w:r>
      <w:r w:rsidR="008447F2">
        <w:t xml:space="preserve">For all tests, the null hypothesis is that planetary forces have no impact on the Sun or the Earth and its inhabitants.  </w:t>
      </w:r>
      <w:r>
        <w:t xml:space="preserve">Any statistically significant finding will be worthy of further consideration and possibly </w:t>
      </w:r>
      <w:r w:rsidR="00AA727F">
        <w:t xml:space="preserve">deeper </w:t>
      </w:r>
      <w:r>
        <w:t xml:space="preserve">research. </w:t>
      </w:r>
    </w:p>
    <w:p w14:paraId="7668B0B2" w14:textId="5F6C44FE" w:rsidR="00A31EA4" w:rsidRDefault="00FC75D3" w:rsidP="003A4230">
      <w:r w:rsidRPr="004F3F2B">
        <w:rPr>
          <w:rStyle w:val="Heading2Char"/>
        </w:rPr>
        <w:t>Prior Analyses and Visual Evidence</w:t>
      </w:r>
      <w:r w:rsidRPr="004F3F2B">
        <w:rPr>
          <w:rStyle w:val="Heading2Char"/>
        </w:rPr>
        <w:br/>
      </w:r>
      <w:r w:rsidR="00AA727F">
        <w:t xml:space="preserve">To shed light on the possible relationship between planetary geometry and solar activity, this paper </w:t>
      </w:r>
      <w:r w:rsidRPr="00FC75D3">
        <w:t>leverages the long-term sunspot record</w:t>
      </w:r>
      <w:r w:rsidR="00AA727F">
        <w:t xml:space="preserve">. </w:t>
      </w:r>
      <w:r w:rsidR="00D7795F">
        <w:t xml:space="preserve"> </w:t>
      </w:r>
      <w:r w:rsidR="00274C19">
        <w:t>Our</w:t>
      </w:r>
      <w:r w:rsidRPr="00FC75D3">
        <w:t xml:space="preserve"> </w:t>
      </w:r>
      <w:r w:rsidR="00752088">
        <w:t>primary</w:t>
      </w:r>
      <w:r w:rsidRPr="00FC75D3">
        <w:t xml:space="preserve"> hypothesis is that the 90° configuration introduces a more laminar flow within the Sun’s convective zone, </w:t>
      </w:r>
      <w:r w:rsidR="00274C19">
        <w:t xml:space="preserve">that results in less volatility low frequency electromagnetic perturbations emanating from the Sun.  While we cannot measure </w:t>
      </w:r>
      <w:r w:rsidR="007E2AE9">
        <w:t xml:space="preserve">the low frequency electromagnetic perturbations </w:t>
      </w:r>
      <w:r w:rsidR="00274C19">
        <w:t>directly</w:t>
      </w:r>
      <w:r w:rsidR="00A10B85">
        <w:t xml:space="preserve"> and data for the global electromagnetic standing waves is limited</w:t>
      </w:r>
      <w:r w:rsidR="00274C19">
        <w:t xml:space="preserve">, sunspot activity is </w:t>
      </w:r>
      <w:r w:rsidR="0090298B">
        <w:t xml:space="preserve">assumed to be </w:t>
      </w:r>
      <w:r w:rsidR="00274C19">
        <w:t xml:space="preserve">a suitable </w:t>
      </w:r>
      <w:r w:rsidRPr="00FC75D3">
        <w:t xml:space="preserve">proxy for </w:t>
      </w:r>
      <w:r w:rsidR="00A10B85">
        <w:t>determining if there is greater solar stability during the 90-degree configuration events over the 89-year period.</w:t>
      </w:r>
    </w:p>
    <w:p w14:paraId="028D81AD" w14:textId="2BA1A580" w:rsidR="00FC75D3" w:rsidRPr="00FC75D3" w:rsidRDefault="00FC75D3" w:rsidP="003A4230">
      <w:r w:rsidRPr="00FC75D3">
        <w:t>Visual evidence of the correlation between th</w:t>
      </w:r>
      <w:r w:rsidR="00A31EA4">
        <w:t>re</w:t>
      </w:r>
      <w:r w:rsidRPr="00FC75D3">
        <w:t>e</w:t>
      </w:r>
      <w:r w:rsidR="00A31EA4">
        <w:t xml:space="preserve"> 90-degree </w:t>
      </w:r>
      <w:r w:rsidRPr="00FC75D3">
        <w:t>configuration</w:t>
      </w:r>
      <w:r w:rsidR="00A31EA4">
        <w:t xml:space="preserve"> events, our sunspot tranquility metric, and </w:t>
      </w:r>
      <w:r w:rsidRPr="00FC75D3">
        <w:t>market p</w:t>
      </w:r>
      <w:r w:rsidR="00A31EA4">
        <w:t xml:space="preserve">erformance </w:t>
      </w:r>
      <w:r w:rsidR="007E2AE9">
        <w:t xml:space="preserve">from June 5, 2015 to December 31, 2019 </w:t>
      </w:r>
      <w:r w:rsidRPr="00FC75D3">
        <w:t>is provided in Figure 1.</w:t>
      </w:r>
    </w:p>
    <w:p w14:paraId="0CCB9F59" w14:textId="39A5E2EA" w:rsidR="005C0F90" w:rsidRPr="00FC75D3" w:rsidRDefault="00926B9E" w:rsidP="003A4230">
      <w:pPr>
        <w:pStyle w:val="Figure"/>
        <w:rPr>
          <w:rFonts w:asciiTheme="minorHAnsi" w:hAnsiTheme="minorHAnsi" w:cstheme="minorHAnsi"/>
          <w:kern w:val="0"/>
          <w:szCs w:val="24"/>
          <w14:ligatures w14:val="none"/>
        </w:rPr>
      </w:pPr>
      <w:r>
        <w:rPr>
          <w:rFonts w:asciiTheme="minorHAnsi" w:hAnsiTheme="minorHAnsi" w:cstheme="minorHAnsi"/>
          <w:kern w:val="0"/>
          <w:szCs w:val="24"/>
          <w14:ligatures w14:val="none"/>
        </w:rPr>
        <w:lastRenderedPageBreak/>
        <w:drawing>
          <wp:inline distT="0" distB="0" distL="0" distR="0" wp14:anchorId="4339B342" wp14:editId="29AC677E">
            <wp:extent cx="5029200" cy="3668311"/>
            <wp:effectExtent l="0" t="0" r="0" b="8890"/>
            <wp:docPr id="175366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668311"/>
                    </a:xfrm>
                    <a:prstGeom prst="rect">
                      <a:avLst/>
                    </a:prstGeom>
                    <a:noFill/>
                  </pic:spPr>
                </pic:pic>
              </a:graphicData>
            </a:graphic>
          </wp:inline>
        </w:drawing>
      </w:r>
    </w:p>
    <w:p w14:paraId="0AA4FB10" w14:textId="72BA94E1" w:rsidR="009E0B70" w:rsidRPr="003A4230" w:rsidRDefault="009E0B70" w:rsidP="003A4230">
      <w:pPr>
        <w:pStyle w:val="FigureCaption"/>
        <w:rPr>
          <w:rStyle w:val="Emphasis"/>
          <w:i/>
          <w:iCs w:val="0"/>
        </w:rPr>
      </w:pPr>
      <w:r w:rsidRPr="003A4230">
        <w:rPr>
          <w:rStyle w:val="Strong"/>
          <w:b w:val="0"/>
          <w:bCs w:val="0"/>
        </w:rPr>
        <w:t>Fig. 1.</w:t>
      </w:r>
      <w:r w:rsidRPr="003A4230">
        <w:t xml:space="preserve"> Co-occurrence of market, solar, and planetary phenomena (2015-2021). The </w:t>
      </w:r>
      <w:r w:rsidR="00A31EA4">
        <w:t>brown line s</w:t>
      </w:r>
      <w:r w:rsidRPr="003A4230">
        <w:t>hows the Dow Jones Industrial Average (DJIA). The</w:t>
      </w:r>
      <w:r w:rsidR="00A31EA4">
        <w:t xml:space="preserve"> orange line </w:t>
      </w:r>
      <w:r w:rsidRPr="003A4230">
        <w:t xml:space="preserve">shows the </w:t>
      </w:r>
      <w:r w:rsidR="00A31EA4">
        <w:t xml:space="preserve">solar tranquility metric (1 minus the normalized </w:t>
      </w:r>
      <w:r w:rsidRPr="00A31EA4">
        <w:rPr>
          <w:highlight w:val="yellow"/>
        </w:rPr>
        <w:t>daily</w:t>
      </w:r>
      <w:r w:rsidRPr="003A4230">
        <w:t xml:space="preserve"> total sunspot number</w:t>
      </w:r>
      <w:r w:rsidR="00A31EA4">
        <w:t>)</w:t>
      </w:r>
      <w:r w:rsidRPr="003A4230">
        <w:t>. Vertical gray bands indicate periods where the angular separation between the inner and outer planetary orbital centers was between 86° and 94°, as calculated from NASA JPL Horizons ephemeris data. </w:t>
      </w:r>
      <w:r w:rsidRPr="003A4230">
        <w:rPr>
          <w:rStyle w:val="Emphasis"/>
          <w:i/>
          <w:iCs w:val="0"/>
        </w:rPr>
        <w:t>Data sources: DJIA (</w:t>
      </w:r>
      <w:r w:rsidR="00A31EA4">
        <w:rPr>
          <w:rStyle w:val="Emphasis"/>
          <w:i/>
          <w:iCs w:val="0"/>
        </w:rPr>
        <w:t>MeasuringWorth</w:t>
      </w:r>
      <w:r w:rsidRPr="003A4230">
        <w:rPr>
          <w:rStyle w:val="Emphasis"/>
          <w:i/>
          <w:iCs w:val="0"/>
        </w:rPr>
        <w:t>); Sunspot Number (SILSO data/image, Royal Observatory of Belgium); Planetary Ephemerides (NASA JPL Horizons).</w:t>
      </w:r>
    </w:p>
    <w:p w14:paraId="2B26B217" w14:textId="25DE7780" w:rsidR="00A31EA4" w:rsidRPr="009E0B70" w:rsidRDefault="00A31EA4" w:rsidP="003A4230">
      <w:r>
        <w:t xml:space="preserve">Figure 2 below shows the 89-year history of these series.  </w:t>
      </w:r>
    </w:p>
    <w:p w14:paraId="5CC90539" w14:textId="29FEE909" w:rsidR="00B50506" w:rsidRPr="00FC75D3" w:rsidRDefault="00346453" w:rsidP="003A4230">
      <w:pPr>
        <w:spacing w:before="100" w:beforeAutospacing="1" w:after="100" w:afterAutospacing="1" w:line="240" w:lineRule="auto"/>
        <w:jc w:val="center"/>
        <w:rPr>
          <w:rStyle w:val="Emphasis"/>
          <w:rFonts w:asciiTheme="minorHAnsi" w:hAnsiTheme="minorHAnsi" w:cstheme="minorHAnsi"/>
        </w:rPr>
      </w:pPr>
      <w:r>
        <w:rPr>
          <w:rStyle w:val="Emphasis"/>
          <w:rFonts w:asciiTheme="minorHAnsi" w:hAnsiTheme="minorHAnsi" w:cstheme="minorHAnsi"/>
          <w:noProof/>
        </w:rPr>
        <w:lastRenderedPageBreak/>
        <w:drawing>
          <wp:inline distT="0" distB="0" distL="0" distR="0" wp14:anchorId="6E1F5295" wp14:editId="63D4BD66">
            <wp:extent cx="5029200" cy="3457119"/>
            <wp:effectExtent l="0" t="0" r="0" b="0"/>
            <wp:docPr id="433319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457119"/>
                    </a:xfrm>
                    <a:prstGeom prst="rect">
                      <a:avLst/>
                    </a:prstGeom>
                    <a:noFill/>
                  </pic:spPr>
                </pic:pic>
              </a:graphicData>
            </a:graphic>
          </wp:inline>
        </w:drawing>
      </w:r>
    </w:p>
    <w:p w14:paraId="07AF97D4" w14:textId="159F1BB9" w:rsidR="009E0B70" w:rsidRPr="00435913" w:rsidRDefault="009E0B70" w:rsidP="003A4230">
      <w:pPr>
        <w:pStyle w:val="FigureCaption"/>
        <w:rPr>
          <w:rStyle w:val="Emphasis"/>
          <w:i/>
          <w:iCs w:val="0"/>
        </w:rPr>
      </w:pPr>
      <w:r w:rsidRPr="00435913">
        <w:rPr>
          <w:rStyle w:val="Strong"/>
          <w:b w:val="0"/>
          <w:bCs w:val="0"/>
        </w:rPr>
        <w:t>Fig. 2.</w:t>
      </w:r>
      <w:r w:rsidRPr="00435913">
        <w:t> Long-term context of 90° configuration clusters and U.S. stock market performance (193</w:t>
      </w:r>
      <w:r w:rsidR="00A31EA4">
        <w:t>5</w:t>
      </w:r>
      <w:r w:rsidRPr="00435913">
        <w:t xml:space="preserve">-2024). </w:t>
      </w:r>
      <w:r w:rsidR="00A31EA4">
        <w:t xml:space="preserve">tranquility metric (1 minus the normalized </w:t>
      </w:r>
      <w:r w:rsidR="00A31EA4" w:rsidRPr="00A31EA4">
        <w:rPr>
          <w:highlight w:val="yellow"/>
        </w:rPr>
        <w:t>daily</w:t>
      </w:r>
      <w:r w:rsidR="00A31EA4" w:rsidRPr="003A4230">
        <w:t xml:space="preserve"> total sunspot number</w:t>
      </w:r>
      <w:r w:rsidR="00A31EA4">
        <w:t>)</w:t>
      </w:r>
      <w:r w:rsidR="00A31EA4" w:rsidRPr="003A4230">
        <w:t>. Vertical gray bands indicate periods where the angular separation between the inner and outer planetary orbital centers was between 86° and 94°, as calculated from NASA JPL Horizons ephemeris data. </w:t>
      </w:r>
      <w:r w:rsidR="00A31EA4" w:rsidRPr="003A4230">
        <w:rPr>
          <w:rStyle w:val="Emphasis"/>
          <w:i/>
          <w:iCs w:val="0"/>
        </w:rPr>
        <w:t>Data sources: DJIA (</w:t>
      </w:r>
      <w:r w:rsidR="00A31EA4">
        <w:rPr>
          <w:rStyle w:val="Emphasis"/>
          <w:i/>
          <w:iCs w:val="0"/>
        </w:rPr>
        <w:t>MeasuringWorth</w:t>
      </w:r>
      <w:r w:rsidR="00A31EA4" w:rsidRPr="003A4230">
        <w:rPr>
          <w:rStyle w:val="Emphasis"/>
          <w:i/>
          <w:iCs w:val="0"/>
        </w:rPr>
        <w:t>); Sunspot Number (SILSO data/image, Royal Observatory of Belgium); Planetary Ephemerides (NASA JPL Horizons).</w:t>
      </w:r>
    </w:p>
    <w:p w14:paraId="7047E509" w14:textId="5BECD88A" w:rsidR="00FC75D3" w:rsidRDefault="00FC75D3" w:rsidP="003A4230">
      <w:r w:rsidRPr="00FC75D3">
        <w:t>T</w:t>
      </w:r>
      <w:r w:rsidRPr="003A4230">
        <w:t xml:space="preserve">he </w:t>
      </w:r>
      <w:r w:rsidR="00A31EA4">
        <w:t>solar tranquility</w:t>
      </w:r>
      <w:r w:rsidRPr="003A4230">
        <w:t xml:space="preserve"> series exhibits a well-documented ~11-year cycle driven by the Sun’s internal dynamo. The 90° configurations are not phase-locked to this cycle, occurring at </w:t>
      </w:r>
      <w:r w:rsidR="0090298B">
        <w:t>its</w:t>
      </w:r>
      <w:r w:rsidRPr="003A4230">
        <w:t xml:space="preserve"> peaks, troughs, and mid-phases, which suggests their influence is superimposed on the primary </w:t>
      </w:r>
      <w:r w:rsidR="00D7795F">
        <w:t xml:space="preserve">11-year </w:t>
      </w:r>
      <w:r w:rsidRPr="003A4230">
        <w:t>solar rhythm.</w:t>
      </w:r>
      <w:r w:rsidR="009D5022">
        <w:t xml:space="preserve"> The important point, however, is that our </w:t>
      </w:r>
      <w:r w:rsidR="0090298B">
        <w:t xml:space="preserve">primary </w:t>
      </w:r>
      <w:r w:rsidR="009D5022">
        <w:t xml:space="preserve">hypothesis does not involve sunspots directly </w:t>
      </w:r>
      <w:r w:rsidR="0090298B">
        <w:t xml:space="preserve">over all periods </w:t>
      </w:r>
      <w:r w:rsidR="009D5022">
        <w:t xml:space="preserve">because our testing indicated that </w:t>
      </w:r>
      <w:r w:rsidR="0090298B">
        <w:t xml:space="preserve">sunspots and sunspot activity </w:t>
      </w:r>
      <w:r w:rsidR="009D5022">
        <w:t xml:space="preserve">are not related extensively to investor sentiment. </w:t>
      </w:r>
    </w:p>
    <w:p w14:paraId="157B862F" w14:textId="316E52E2" w:rsidR="009D5022" w:rsidRPr="009D5022" w:rsidRDefault="009D5022" w:rsidP="009D5022">
      <w:pPr>
        <w:rPr>
          <w:rStyle w:val="Strong"/>
          <w:rFonts w:eastAsiaTheme="majorEastAsia" w:cs="Times New Roman"/>
          <w:b w:val="0"/>
          <w:bCs w:val="0"/>
          <w:color w:val="0F1115"/>
        </w:rPr>
      </w:pPr>
      <w:r w:rsidRPr="009D5022">
        <w:rPr>
          <w:rStyle w:val="Strong"/>
          <w:rFonts w:eastAsiaTheme="majorEastAsia" w:cs="Times New Roman"/>
          <w:b w:val="0"/>
          <w:bCs w:val="0"/>
          <w:color w:val="0F1115"/>
        </w:rPr>
        <w:t xml:space="preserve">We present </w:t>
      </w:r>
      <w:r w:rsidR="00187714">
        <w:rPr>
          <w:rStyle w:val="Strong"/>
          <w:rFonts w:eastAsiaTheme="majorEastAsia" w:cs="Times New Roman"/>
          <w:b w:val="0"/>
          <w:bCs w:val="0"/>
          <w:color w:val="0F1115"/>
        </w:rPr>
        <w:t>the results of three</w:t>
      </w:r>
      <w:r w:rsidRPr="009D5022">
        <w:rPr>
          <w:rStyle w:val="Strong"/>
          <w:rFonts w:eastAsiaTheme="majorEastAsia" w:cs="Times New Roman"/>
          <w:b w:val="0"/>
          <w:bCs w:val="0"/>
          <w:color w:val="0F1115"/>
        </w:rPr>
        <w:t xml:space="preserve"> studies of solar tranquility and the </w:t>
      </w:r>
      <w:r w:rsidR="007B4D0A">
        <w:rPr>
          <w:rStyle w:val="Strong"/>
          <w:rFonts w:eastAsiaTheme="majorEastAsia" w:cs="Times New Roman"/>
          <w:b w:val="0"/>
          <w:bCs w:val="0"/>
          <w:color w:val="0F1115"/>
        </w:rPr>
        <w:t xml:space="preserve">26 </w:t>
      </w:r>
      <w:r w:rsidRPr="009D5022">
        <w:rPr>
          <w:rStyle w:val="Strong"/>
          <w:rFonts w:eastAsiaTheme="majorEastAsia" w:cs="Times New Roman"/>
          <w:b w:val="0"/>
          <w:bCs w:val="0"/>
          <w:color w:val="0F1115"/>
        </w:rPr>
        <w:t xml:space="preserve">90-degree configuration events.  </w:t>
      </w:r>
    </w:p>
    <w:p w14:paraId="4B560C95" w14:textId="3DC2CB3B" w:rsidR="007154FC" w:rsidRPr="00D64221" w:rsidRDefault="00D64221" w:rsidP="00D64221">
      <w:pPr>
        <w:pStyle w:val="Heading3"/>
        <w:rPr>
          <w:rStyle w:val="Strong"/>
          <w:b/>
          <w:bCs w:val="0"/>
        </w:rPr>
      </w:pPr>
      <w:r w:rsidRPr="00D64221">
        <w:rPr>
          <w:rStyle w:val="Strong"/>
          <w:b/>
          <w:bCs w:val="0"/>
        </w:rPr>
        <w:t>Study A.</w:t>
      </w:r>
      <w:r w:rsidR="00887412" w:rsidRPr="00D64221">
        <w:rPr>
          <w:rStyle w:val="Strong"/>
          <w:b/>
          <w:bCs w:val="0"/>
        </w:rPr>
        <w:t xml:space="preserve"> </w:t>
      </w:r>
      <w:r w:rsidR="007154FC" w:rsidRPr="00D64221">
        <w:rPr>
          <w:rStyle w:val="Strong"/>
          <w:b/>
          <w:bCs w:val="0"/>
        </w:rPr>
        <w:t xml:space="preserve">Significantly </w:t>
      </w:r>
      <w:r w:rsidR="007017C8" w:rsidRPr="00D64221">
        <w:rPr>
          <w:rStyle w:val="Strong"/>
          <w:b/>
          <w:bCs w:val="0"/>
        </w:rPr>
        <w:t>More Stable</w:t>
      </w:r>
      <w:r w:rsidR="007154FC" w:rsidRPr="00D64221">
        <w:rPr>
          <w:rStyle w:val="Strong"/>
          <w:b/>
          <w:bCs w:val="0"/>
        </w:rPr>
        <w:t xml:space="preserve"> </w:t>
      </w:r>
      <w:r w:rsidR="00187714">
        <w:rPr>
          <w:rStyle w:val="Strong"/>
          <w:b/>
          <w:bCs w:val="0"/>
        </w:rPr>
        <w:t xml:space="preserve">Solar </w:t>
      </w:r>
      <w:r w:rsidR="007154FC" w:rsidRPr="00D64221">
        <w:rPr>
          <w:rStyle w:val="Strong"/>
          <w:b/>
          <w:bCs w:val="0"/>
        </w:rPr>
        <w:t xml:space="preserve">Tranquility During an Event Compared to </w:t>
      </w:r>
      <w:r w:rsidR="00752088" w:rsidRPr="00D64221">
        <w:rPr>
          <w:rStyle w:val="Strong"/>
          <w:b/>
          <w:bCs w:val="0"/>
        </w:rPr>
        <w:t xml:space="preserve">the </w:t>
      </w:r>
      <w:r w:rsidR="007154FC" w:rsidRPr="00D64221">
        <w:rPr>
          <w:rStyle w:val="Strong"/>
          <w:b/>
          <w:bCs w:val="0"/>
        </w:rPr>
        <w:t>Prior 12 Weeks</w:t>
      </w:r>
      <w:r w:rsidR="00887412" w:rsidRPr="00D64221">
        <w:rPr>
          <w:rStyle w:val="Strong"/>
          <w:b/>
          <w:bCs w:val="0"/>
        </w:rPr>
        <w:t xml:space="preserve"> (Tab</w:t>
      </w:r>
      <w:r w:rsidR="00EB604D" w:rsidRPr="00D64221">
        <w:rPr>
          <w:rStyle w:val="Strong"/>
          <w:b/>
          <w:bCs w:val="0"/>
        </w:rPr>
        <w:t xml:space="preserve"> b and c)</w:t>
      </w:r>
    </w:p>
    <w:p w14:paraId="16D2733F" w14:textId="0BDACDF7" w:rsidR="00A31EA4" w:rsidRDefault="00EA102B" w:rsidP="00EA102B">
      <w:pPr>
        <w:pStyle w:val="ds-markdown-paragraph"/>
        <w:spacing w:before="240" w:beforeAutospacing="0" w:after="240" w:afterAutospacing="0"/>
      </w:pPr>
      <w:r w:rsidRPr="0009518E">
        <w:t xml:space="preserve">This </w:t>
      </w:r>
      <w:r w:rsidR="00403FF1">
        <w:t xml:space="preserve">test </w:t>
      </w:r>
      <w:r w:rsidRPr="0009518E">
        <w:t>focuses on the variability of the tranquility measure</w:t>
      </w:r>
      <w:r>
        <w:t xml:space="preserve">. </w:t>
      </w:r>
      <w:r w:rsidR="00A31EA4">
        <w:t xml:space="preserve">Figure 3 shows </w:t>
      </w:r>
      <w:r w:rsidR="0097747E">
        <w:t>t</w:t>
      </w:r>
      <w:r w:rsidR="00A31EA4">
        <w:t>h</w:t>
      </w:r>
      <w:r w:rsidR="00752088">
        <w:t xml:space="preserve">ree events in the </w:t>
      </w:r>
      <w:r w:rsidR="00A31EA4">
        <w:t>2017 cluster</w:t>
      </w:r>
      <w:r w:rsidR="00752088">
        <w:t>, and the pre-event, during</w:t>
      </w:r>
      <w:r w:rsidR="009D5022">
        <w:t>-event</w:t>
      </w:r>
      <w:r w:rsidR="00752088">
        <w:t>, and post-event periods</w:t>
      </w:r>
      <w:r w:rsidR="009D5022">
        <w:t xml:space="preserve"> related to the three events</w:t>
      </w:r>
      <w:r w:rsidR="00A31EA4">
        <w:t xml:space="preserve">.  </w:t>
      </w:r>
    </w:p>
    <w:p w14:paraId="556A0062" w14:textId="5DF564E0" w:rsidR="00A31EA4" w:rsidRDefault="0097747E" w:rsidP="00A31EA4">
      <w:pPr>
        <w:pStyle w:val="ds-markdown-paragraph"/>
        <w:spacing w:before="240" w:beforeAutospacing="0" w:after="240" w:afterAutospacing="0"/>
        <w:jc w:val="center"/>
      </w:pPr>
      <w:r>
        <w:rPr>
          <w:noProof/>
        </w:rPr>
        <w:lastRenderedPageBreak/>
        <w:drawing>
          <wp:inline distT="0" distB="0" distL="0" distR="0" wp14:anchorId="239697B6" wp14:editId="4FD71928">
            <wp:extent cx="5029200" cy="3686505"/>
            <wp:effectExtent l="0" t="0" r="0" b="9525"/>
            <wp:docPr id="164412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686505"/>
                    </a:xfrm>
                    <a:prstGeom prst="rect">
                      <a:avLst/>
                    </a:prstGeom>
                    <a:noFill/>
                  </pic:spPr>
                </pic:pic>
              </a:graphicData>
            </a:graphic>
          </wp:inline>
        </w:drawing>
      </w:r>
    </w:p>
    <w:p w14:paraId="38696DFE" w14:textId="4AFB9B6D" w:rsidR="00874202" w:rsidRDefault="00874202" w:rsidP="00752088">
      <w:pPr>
        <w:rPr>
          <w:rStyle w:val="Strong"/>
          <w:rFonts w:eastAsiaTheme="majorEastAsia"/>
          <w:b w:val="0"/>
          <w:bCs w:val="0"/>
          <w:color w:val="0F1115"/>
        </w:rPr>
      </w:pPr>
      <w:r>
        <w:rPr>
          <w:rStyle w:val="Strong"/>
          <w:rFonts w:eastAsiaTheme="majorEastAsia"/>
          <w:b w:val="0"/>
          <w:bCs w:val="0"/>
          <w:color w:val="0F1115"/>
        </w:rPr>
        <w:t xml:space="preserve">We evaluate the variability of solar tranquility during the three periods by creating two ratios. </w:t>
      </w:r>
    </w:p>
    <w:p w14:paraId="0FBE9F96" w14:textId="63130B96" w:rsidR="00874202" w:rsidRDefault="00874202" w:rsidP="0006200D">
      <w:pPr>
        <w:pStyle w:val="ListParagraph"/>
        <w:numPr>
          <w:ilvl w:val="0"/>
          <w:numId w:val="23"/>
        </w:numPr>
        <w:rPr>
          <w:rStyle w:val="Strong"/>
          <w:rFonts w:eastAsiaTheme="majorEastAsia"/>
          <w:b w:val="0"/>
          <w:bCs w:val="0"/>
          <w:color w:val="0F1115"/>
        </w:rPr>
      </w:pPr>
      <w:r>
        <w:rPr>
          <w:rStyle w:val="Strong"/>
          <w:rFonts w:eastAsiaTheme="majorEastAsia"/>
          <w:b w:val="0"/>
          <w:bCs w:val="0"/>
          <w:color w:val="0F1115"/>
        </w:rPr>
        <w:t>Comparison of the pre-event period to the during period: Var(during)/Var(pre)</w:t>
      </w:r>
    </w:p>
    <w:p w14:paraId="48509DD0" w14:textId="55A97D4A" w:rsidR="00874202" w:rsidRPr="00874202" w:rsidRDefault="00874202" w:rsidP="0006200D">
      <w:pPr>
        <w:pStyle w:val="ListParagraph"/>
        <w:numPr>
          <w:ilvl w:val="0"/>
          <w:numId w:val="23"/>
        </w:numPr>
        <w:rPr>
          <w:rStyle w:val="Strong"/>
          <w:rFonts w:eastAsiaTheme="majorEastAsia"/>
          <w:b w:val="0"/>
          <w:bCs w:val="0"/>
          <w:color w:val="0F1115"/>
        </w:rPr>
      </w:pPr>
      <w:r>
        <w:rPr>
          <w:rStyle w:val="Strong"/>
          <w:rFonts w:eastAsiaTheme="majorEastAsia"/>
          <w:b w:val="0"/>
          <w:bCs w:val="0"/>
          <w:color w:val="0F1115"/>
        </w:rPr>
        <w:t>Comparison of the post-event period to the during period: Var(during)/Var(post)</w:t>
      </w:r>
    </w:p>
    <w:p w14:paraId="3B069B0B" w14:textId="4DE742DF" w:rsidR="002C36F1" w:rsidRDefault="00752088" w:rsidP="00752088">
      <w:pPr>
        <w:rPr>
          <w:rStyle w:val="Strong"/>
          <w:rFonts w:eastAsiaTheme="majorEastAsia"/>
          <w:b w:val="0"/>
          <w:bCs w:val="0"/>
          <w:color w:val="0F1115"/>
        </w:rPr>
      </w:pPr>
      <w:r>
        <w:rPr>
          <w:rStyle w:val="Strong"/>
          <w:rFonts w:eastAsiaTheme="majorEastAsia"/>
          <w:b w:val="0"/>
          <w:bCs w:val="0"/>
          <w:color w:val="0F1115"/>
        </w:rPr>
        <w:t>If the 90-degre configurations have no impact on solar tranquility, we would expect ratio</w:t>
      </w:r>
      <w:r w:rsidR="009D4B76">
        <w:rPr>
          <w:rStyle w:val="Strong"/>
          <w:rFonts w:eastAsiaTheme="majorEastAsia"/>
          <w:b w:val="0"/>
          <w:bCs w:val="0"/>
          <w:color w:val="0F1115"/>
        </w:rPr>
        <w:t>s</w:t>
      </w:r>
      <w:r>
        <w:rPr>
          <w:rStyle w:val="Strong"/>
          <w:rFonts w:eastAsiaTheme="majorEastAsia"/>
          <w:b w:val="0"/>
          <w:bCs w:val="0"/>
          <w:color w:val="0F1115"/>
        </w:rPr>
        <w:t xml:space="preserve"> of 1.00</w:t>
      </w:r>
      <w:r w:rsidR="009D4B76">
        <w:rPr>
          <w:rStyle w:val="Strong"/>
          <w:rFonts w:eastAsiaTheme="majorEastAsia"/>
          <w:b w:val="0"/>
          <w:bCs w:val="0"/>
          <w:color w:val="0F1115"/>
        </w:rPr>
        <w:t xml:space="preserve"> on average across the entire evaluation period</w:t>
      </w:r>
      <w:r>
        <w:rPr>
          <w:rStyle w:val="Strong"/>
          <w:rFonts w:eastAsiaTheme="majorEastAsia"/>
          <w:b w:val="0"/>
          <w:bCs w:val="0"/>
          <w:color w:val="0F1115"/>
        </w:rPr>
        <w:t xml:space="preserve">. </w:t>
      </w:r>
      <w:r w:rsidR="002C36F1">
        <w:rPr>
          <w:rStyle w:val="Strong"/>
          <w:rFonts w:eastAsiaTheme="majorEastAsia"/>
          <w:b w:val="0"/>
          <w:bCs w:val="0"/>
          <w:color w:val="0F1115"/>
        </w:rPr>
        <w:t xml:space="preserve"> Results: </w:t>
      </w:r>
    </w:p>
    <w:p w14:paraId="59E36236" w14:textId="28D067C2" w:rsidR="0097747E" w:rsidRPr="0006200D" w:rsidRDefault="00317906" w:rsidP="0006200D">
      <w:pPr>
        <w:pStyle w:val="ListParagraph"/>
        <w:numPr>
          <w:ilvl w:val="0"/>
          <w:numId w:val="24"/>
        </w:numPr>
        <w:rPr>
          <w:rStyle w:val="Strong"/>
          <w:rFonts w:eastAsiaTheme="majorEastAsia"/>
          <w:b w:val="0"/>
          <w:bCs w:val="0"/>
          <w:color w:val="0F1115"/>
        </w:rPr>
      </w:pPr>
      <w:r w:rsidRPr="0006200D">
        <w:rPr>
          <w:rStyle w:val="Strong"/>
          <w:rFonts w:eastAsiaTheme="majorEastAsia"/>
          <w:b w:val="0"/>
          <w:bCs w:val="0"/>
          <w:color w:val="0F1115"/>
        </w:rPr>
        <w:t xml:space="preserve">Across </w:t>
      </w:r>
      <w:r w:rsidR="007B4D0A" w:rsidRPr="0006200D">
        <w:rPr>
          <w:rStyle w:val="Strong"/>
          <w:rFonts w:eastAsiaTheme="majorEastAsia"/>
          <w:b w:val="0"/>
          <w:bCs w:val="0"/>
          <w:color w:val="0F1115"/>
        </w:rPr>
        <w:t>26</w:t>
      </w:r>
      <w:r w:rsidRPr="0006200D">
        <w:rPr>
          <w:rStyle w:val="Strong"/>
          <w:rFonts w:eastAsiaTheme="majorEastAsia"/>
          <w:b w:val="0"/>
          <w:bCs w:val="0"/>
          <w:color w:val="0F1115"/>
        </w:rPr>
        <w:t xml:space="preserve"> 90° configuration</w:t>
      </w:r>
      <w:r w:rsidR="007B4D0A" w:rsidRPr="0006200D">
        <w:rPr>
          <w:rStyle w:val="Strong"/>
          <w:rFonts w:eastAsiaTheme="majorEastAsia"/>
          <w:b w:val="0"/>
          <w:bCs w:val="0"/>
          <w:color w:val="0F1115"/>
        </w:rPr>
        <w:t xml:space="preserve"> events</w:t>
      </w:r>
      <w:r w:rsidRPr="0006200D">
        <w:rPr>
          <w:rStyle w:val="Strong"/>
          <w:rFonts w:eastAsiaTheme="majorEastAsia"/>
          <w:b w:val="0"/>
          <w:bCs w:val="0"/>
          <w:color w:val="0F1115"/>
        </w:rPr>
        <w:t>, the median variance ratio Var(during)/Var(pre) was 0.56</w:t>
      </w:r>
      <w:r w:rsidR="009D4B76" w:rsidRPr="0006200D">
        <w:rPr>
          <w:rStyle w:val="Strong"/>
          <w:rFonts w:eastAsiaTheme="majorEastAsia"/>
          <w:b w:val="0"/>
          <w:bCs w:val="0"/>
          <w:color w:val="0F1115"/>
        </w:rPr>
        <w:t xml:space="preserve">. The ratio is lower than the expected value of 1.0.  </w:t>
      </w:r>
      <w:r w:rsidR="0006200D" w:rsidRPr="0006200D">
        <w:rPr>
          <w:rStyle w:val="Strong"/>
          <w:rFonts w:eastAsiaTheme="majorEastAsia"/>
          <w:b w:val="0"/>
          <w:bCs w:val="0"/>
          <w:color w:val="0F1115"/>
        </w:rPr>
        <w:t>Twenty-</w:t>
      </w:r>
      <w:r w:rsidRPr="0006200D">
        <w:rPr>
          <w:rStyle w:val="Strong"/>
          <w:rFonts w:eastAsiaTheme="majorEastAsia"/>
          <w:b w:val="0"/>
          <w:bCs w:val="0"/>
          <w:color w:val="0F1115"/>
        </w:rPr>
        <w:t xml:space="preserve">two of 26 events (85%) exhibited lower variance during </w:t>
      </w:r>
      <w:r w:rsidR="00E56972" w:rsidRPr="0006200D">
        <w:rPr>
          <w:rStyle w:val="Strong"/>
          <w:rFonts w:eastAsiaTheme="majorEastAsia"/>
          <w:b w:val="0"/>
          <w:bCs w:val="0"/>
          <w:color w:val="0F1115"/>
        </w:rPr>
        <w:t xml:space="preserve">the 90-degree event </w:t>
      </w:r>
      <w:r w:rsidRPr="0006200D">
        <w:rPr>
          <w:rStyle w:val="Strong"/>
          <w:rFonts w:eastAsiaTheme="majorEastAsia"/>
          <w:b w:val="0"/>
          <w:bCs w:val="0"/>
          <w:color w:val="0F1115"/>
        </w:rPr>
        <w:t xml:space="preserve">than in the twelve weeks </w:t>
      </w:r>
      <w:r w:rsidR="00E56972" w:rsidRPr="0006200D">
        <w:rPr>
          <w:rStyle w:val="Strong"/>
          <w:rFonts w:eastAsiaTheme="majorEastAsia"/>
          <w:b w:val="0"/>
          <w:bCs w:val="0"/>
          <w:color w:val="0F1115"/>
        </w:rPr>
        <w:t xml:space="preserve">preceding the event </w:t>
      </w:r>
      <w:r w:rsidRPr="0006200D">
        <w:rPr>
          <w:rStyle w:val="Strong"/>
          <w:rFonts w:eastAsiaTheme="majorEastAsia"/>
          <w:b w:val="0"/>
          <w:bCs w:val="0"/>
          <w:color w:val="0F1115"/>
        </w:rPr>
        <w:t>(one-sided binomial p = 0.0003)</w:t>
      </w:r>
      <w:r w:rsidR="0097747E" w:rsidRPr="0006200D">
        <w:rPr>
          <w:rStyle w:val="Strong"/>
          <w:rFonts w:eastAsiaTheme="majorEastAsia"/>
          <w:b w:val="0"/>
          <w:bCs w:val="0"/>
          <w:color w:val="0F1115"/>
        </w:rPr>
        <w:t xml:space="preserve">. </w:t>
      </w:r>
      <w:r w:rsidR="00E56972" w:rsidRPr="0006200D">
        <w:rPr>
          <w:rStyle w:val="Strong"/>
          <w:rFonts w:eastAsiaTheme="majorEastAsia"/>
          <w:b w:val="0"/>
          <w:bCs w:val="0"/>
          <w:color w:val="0F1115"/>
        </w:rPr>
        <w:t xml:space="preserve">This proportion is highly significant.  </w:t>
      </w:r>
    </w:p>
    <w:p w14:paraId="3A818BF5" w14:textId="235C3946" w:rsidR="006C0D3D" w:rsidRPr="0006200D" w:rsidRDefault="0006200D" w:rsidP="0006200D">
      <w:pPr>
        <w:pStyle w:val="ListParagraph"/>
        <w:numPr>
          <w:ilvl w:val="0"/>
          <w:numId w:val="24"/>
        </w:numPr>
        <w:rPr>
          <w:rStyle w:val="Strong"/>
          <w:rFonts w:eastAsiaTheme="majorEastAsia"/>
          <w:b w:val="0"/>
          <w:bCs w:val="0"/>
          <w:color w:val="0F1115"/>
        </w:rPr>
      </w:pPr>
      <w:r w:rsidRPr="0006200D">
        <w:rPr>
          <w:rStyle w:val="Strong"/>
          <w:rFonts w:eastAsiaTheme="majorEastAsia"/>
          <w:b w:val="0"/>
          <w:bCs w:val="0"/>
          <w:color w:val="0F1115"/>
        </w:rPr>
        <w:t>Across 26 90° configuration events</w:t>
      </w:r>
      <w:r w:rsidR="009D4B76" w:rsidRPr="0006200D">
        <w:rPr>
          <w:rStyle w:val="Strong"/>
          <w:rFonts w:eastAsiaTheme="majorEastAsia"/>
          <w:b w:val="0"/>
          <w:bCs w:val="0"/>
          <w:color w:val="0F1115"/>
        </w:rPr>
        <w:t xml:space="preserve">, </w:t>
      </w:r>
      <w:r>
        <w:rPr>
          <w:rStyle w:val="Strong"/>
          <w:rFonts w:eastAsiaTheme="majorEastAsia"/>
          <w:b w:val="0"/>
          <w:bCs w:val="0"/>
          <w:color w:val="0F1115"/>
        </w:rPr>
        <w:t xml:space="preserve">the median variance ratio </w:t>
      </w:r>
      <w:r w:rsidR="009D4B76" w:rsidRPr="0006200D">
        <w:rPr>
          <w:rStyle w:val="Strong"/>
          <w:rFonts w:eastAsiaTheme="majorEastAsia"/>
          <w:b w:val="0"/>
          <w:bCs w:val="0"/>
          <w:color w:val="0F1115"/>
        </w:rPr>
        <w:t xml:space="preserve">Var(during)/Var(post) was 0.71. </w:t>
      </w:r>
      <w:r w:rsidR="0097747E" w:rsidRPr="0006200D">
        <w:rPr>
          <w:rStyle w:val="Strong"/>
          <w:rFonts w:eastAsiaTheme="majorEastAsia"/>
          <w:b w:val="0"/>
          <w:bCs w:val="0"/>
          <w:color w:val="0F1115"/>
        </w:rPr>
        <w:t>S</w:t>
      </w:r>
      <w:r w:rsidR="00317906" w:rsidRPr="0006200D">
        <w:rPr>
          <w:rStyle w:val="Strong"/>
          <w:rFonts w:eastAsiaTheme="majorEastAsia"/>
          <w:b w:val="0"/>
          <w:bCs w:val="0"/>
          <w:color w:val="0F1115"/>
        </w:rPr>
        <w:t xml:space="preserve">eventeen </w:t>
      </w:r>
      <w:r w:rsidR="0097747E" w:rsidRPr="0006200D">
        <w:rPr>
          <w:rStyle w:val="Strong"/>
          <w:rFonts w:eastAsiaTheme="majorEastAsia"/>
          <w:b w:val="0"/>
          <w:bCs w:val="0"/>
          <w:color w:val="0F1115"/>
        </w:rPr>
        <w:t xml:space="preserve">of 26 events </w:t>
      </w:r>
      <w:r w:rsidR="00317906" w:rsidRPr="0006200D">
        <w:rPr>
          <w:rStyle w:val="Strong"/>
          <w:rFonts w:eastAsiaTheme="majorEastAsia"/>
          <w:b w:val="0"/>
          <w:bCs w:val="0"/>
          <w:color w:val="0F1115"/>
        </w:rPr>
        <w:t xml:space="preserve">(65%) showed lower variance </w:t>
      </w:r>
      <w:r w:rsidR="00E56972" w:rsidRPr="0006200D">
        <w:rPr>
          <w:rStyle w:val="Strong"/>
          <w:rFonts w:eastAsiaTheme="majorEastAsia"/>
          <w:b w:val="0"/>
          <w:bCs w:val="0"/>
          <w:color w:val="0F1115"/>
        </w:rPr>
        <w:t xml:space="preserve">during the 90-degree event than in the twelve weeks following the event </w:t>
      </w:r>
      <w:r w:rsidR="00317906" w:rsidRPr="0006200D">
        <w:rPr>
          <w:rStyle w:val="Strong"/>
          <w:rFonts w:eastAsiaTheme="majorEastAsia"/>
          <w:b w:val="0"/>
          <w:bCs w:val="0"/>
          <w:color w:val="0F1115"/>
        </w:rPr>
        <w:t>(p = 0.08</w:t>
      </w:r>
      <w:r w:rsidR="001A336B" w:rsidRPr="0006200D">
        <w:rPr>
          <w:rStyle w:val="Strong"/>
          <w:rFonts w:eastAsiaTheme="majorEastAsia"/>
          <w:b w:val="0"/>
          <w:bCs w:val="0"/>
          <w:color w:val="0F1115"/>
        </w:rPr>
        <w:t>4</w:t>
      </w:r>
      <w:r w:rsidR="00317906" w:rsidRPr="0006200D">
        <w:rPr>
          <w:rStyle w:val="Strong"/>
          <w:rFonts w:eastAsiaTheme="majorEastAsia"/>
          <w:b w:val="0"/>
          <w:bCs w:val="0"/>
          <w:color w:val="0F1115"/>
        </w:rPr>
        <w:t xml:space="preserve">). </w:t>
      </w:r>
      <w:r w:rsidR="0097747E" w:rsidRPr="0006200D">
        <w:rPr>
          <w:rStyle w:val="Strong"/>
          <w:rFonts w:eastAsiaTheme="majorEastAsia"/>
          <w:b w:val="0"/>
          <w:bCs w:val="0"/>
          <w:color w:val="0F1115"/>
        </w:rPr>
        <w:t xml:space="preserve">This proportion does not meet the 0.05 threshold for statistical significance.  </w:t>
      </w:r>
    </w:p>
    <w:tbl>
      <w:tblPr>
        <w:tblStyle w:val="TableGrid"/>
        <w:tblW w:w="0" w:type="auto"/>
        <w:jc w:val="center"/>
        <w:tblLook w:val="04A0" w:firstRow="1" w:lastRow="0" w:firstColumn="1" w:lastColumn="0" w:noHBand="0" w:noVBand="1"/>
      </w:tblPr>
      <w:tblGrid>
        <w:gridCol w:w="3505"/>
        <w:gridCol w:w="2700"/>
        <w:gridCol w:w="2700"/>
      </w:tblGrid>
      <w:tr w:rsidR="00E55DFB" w:rsidRPr="000E0E80" w14:paraId="3F78550B" w14:textId="3955ED57" w:rsidTr="002A55A1">
        <w:trPr>
          <w:jc w:val="center"/>
        </w:trPr>
        <w:tc>
          <w:tcPr>
            <w:tcW w:w="3505" w:type="dxa"/>
          </w:tcPr>
          <w:p w14:paraId="102E0021" w14:textId="653D3D83" w:rsidR="00E55DFB" w:rsidRPr="000E0E80" w:rsidRDefault="00E55DFB" w:rsidP="007B4D0A">
            <w:pPr>
              <w:spacing w:after="0" w:line="240" w:lineRule="auto"/>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 xml:space="preserve">Stability of </w:t>
            </w:r>
            <w:r w:rsidR="00187714">
              <w:rPr>
                <w:rStyle w:val="Strong"/>
                <w:rFonts w:asciiTheme="minorHAnsi" w:eastAsiaTheme="majorEastAsia" w:hAnsiTheme="minorHAnsi" w:cstheme="minorHAnsi"/>
                <w:color w:val="0F1115"/>
              </w:rPr>
              <w:t>S</w:t>
            </w:r>
            <w:r w:rsidR="00187714" w:rsidRPr="00187714">
              <w:rPr>
                <w:rStyle w:val="Strong"/>
                <w:rFonts w:asciiTheme="minorHAnsi" w:eastAsiaTheme="majorEastAsia" w:hAnsiTheme="minorHAnsi" w:cstheme="minorHAnsi"/>
                <w:color w:val="0F1115"/>
              </w:rPr>
              <w:t xml:space="preserve">olar </w:t>
            </w:r>
            <w:r w:rsidRPr="000E0E80">
              <w:rPr>
                <w:rStyle w:val="Strong"/>
                <w:rFonts w:asciiTheme="minorHAnsi" w:eastAsiaTheme="majorEastAsia" w:hAnsiTheme="minorHAnsi" w:cstheme="minorHAnsi"/>
                <w:color w:val="0F1115"/>
              </w:rPr>
              <w:t>Tranquility</w:t>
            </w:r>
          </w:p>
        </w:tc>
        <w:tc>
          <w:tcPr>
            <w:tcW w:w="2700" w:type="dxa"/>
          </w:tcPr>
          <w:p w14:paraId="4FC7B38D" w14:textId="5163327F"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26 Events</w:t>
            </w:r>
          </w:p>
        </w:tc>
        <w:tc>
          <w:tcPr>
            <w:tcW w:w="2700" w:type="dxa"/>
          </w:tcPr>
          <w:p w14:paraId="307EF388" w14:textId="4F52DA21"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r>
              <w:rPr>
                <w:rStyle w:val="Strong"/>
                <w:rFonts w:asciiTheme="minorHAnsi" w:eastAsiaTheme="majorEastAsia" w:hAnsiTheme="minorHAnsi" w:cstheme="minorHAnsi"/>
                <w:color w:val="0F1115"/>
              </w:rPr>
              <w:t>p-value</w:t>
            </w:r>
          </w:p>
        </w:tc>
      </w:tr>
      <w:tr w:rsidR="00E55DFB" w:rsidRPr="000E0E80" w14:paraId="3A1E1B3F" w14:textId="1151627B" w:rsidTr="002A55A1">
        <w:trPr>
          <w:jc w:val="center"/>
        </w:trPr>
        <w:tc>
          <w:tcPr>
            <w:tcW w:w="3505" w:type="dxa"/>
          </w:tcPr>
          <w:p w14:paraId="4F64A4D8" w14:textId="287EA03D" w:rsidR="00E55DFB" w:rsidRPr="000E0E80" w:rsidRDefault="00E55DFB" w:rsidP="007B4D0A">
            <w:pPr>
              <w:spacing w:after="0" w:line="240" w:lineRule="auto"/>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During vs Prior to Event</w:t>
            </w:r>
          </w:p>
        </w:tc>
        <w:tc>
          <w:tcPr>
            <w:tcW w:w="2700" w:type="dxa"/>
          </w:tcPr>
          <w:p w14:paraId="6314C437" w14:textId="7777777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p>
        </w:tc>
        <w:tc>
          <w:tcPr>
            <w:tcW w:w="2700" w:type="dxa"/>
          </w:tcPr>
          <w:p w14:paraId="7A3BB364" w14:textId="7777777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p>
        </w:tc>
      </w:tr>
      <w:tr w:rsidR="00E55DFB" w:rsidRPr="000E0E80" w14:paraId="61CDFE41" w14:textId="5F5DF1B2" w:rsidTr="002A55A1">
        <w:trPr>
          <w:jc w:val="center"/>
        </w:trPr>
        <w:tc>
          <w:tcPr>
            <w:tcW w:w="3505" w:type="dxa"/>
          </w:tcPr>
          <w:p w14:paraId="06636F3A" w14:textId="1B553B0F" w:rsidR="00E55DFB" w:rsidRPr="000E0E80" w:rsidRDefault="00E55DFB" w:rsidP="007B4D0A">
            <w:pPr>
              <w:spacing w:after="0" w:line="240" w:lineRule="auto"/>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 xml:space="preserve">   Var(during</w:t>
            </w:r>
            <w:r>
              <w:rPr>
                <w:rStyle w:val="Strong"/>
                <w:rFonts w:asciiTheme="minorHAnsi" w:eastAsiaTheme="majorEastAsia" w:hAnsiTheme="minorHAnsi" w:cstheme="minorHAnsi"/>
                <w:b w:val="0"/>
                <w:bCs w:val="0"/>
                <w:color w:val="0F1115"/>
              </w:rPr>
              <w:t>)</w:t>
            </w:r>
            <w:r w:rsidRPr="000E0E80">
              <w:rPr>
                <w:rStyle w:val="Strong"/>
                <w:rFonts w:asciiTheme="minorHAnsi" w:eastAsiaTheme="majorEastAsia" w:hAnsiTheme="minorHAnsi" w:cstheme="minorHAnsi"/>
                <w:b w:val="0"/>
                <w:bCs w:val="0"/>
                <w:color w:val="0F1115"/>
              </w:rPr>
              <w:t xml:space="preserve"> / Var(pre)</w:t>
            </w:r>
          </w:p>
        </w:tc>
        <w:tc>
          <w:tcPr>
            <w:tcW w:w="2700" w:type="dxa"/>
          </w:tcPr>
          <w:p w14:paraId="2FAEAA96" w14:textId="5FD6159D"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0.56</w:t>
            </w:r>
          </w:p>
        </w:tc>
        <w:tc>
          <w:tcPr>
            <w:tcW w:w="2700" w:type="dxa"/>
          </w:tcPr>
          <w:p w14:paraId="320E28EF" w14:textId="77777777"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p>
        </w:tc>
      </w:tr>
      <w:tr w:rsidR="00E55DFB" w:rsidRPr="000E0E80" w14:paraId="294FDFD1" w14:textId="6445288C" w:rsidTr="002A55A1">
        <w:trPr>
          <w:jc w:val="center"/>
        </w:trPr>
        <w:tc>
          <w:tcPr>
            <w:tcW w:w="3505" w:type="dxa"/>
          </w:tcPr>
          <w:p w14:paraId="369FF13C" w14:textId="6FC55C5E" w:rsidR="00E55DFB" w:rsidRPr="000E0E80" w:rsidRDefault="00E55DFB" w:rsidP="007B4D0A">
            <w:pPr>
              <w:spacing w:after="0" w:line="240" w:lineRule="auto"/>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 xml:space="preserve">   Events with lower Var during </w:t>
            </w:r>
          </w:p>
        </w:tc>
        <w:tc>
          <w:tcPr>
            <w:tcW w:w="2700" w:type="dxa"/>
          </w:tcPr>
          <w:p w14:paraId="30F65AAC" w14:textId="78C63FB5"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22 / 26 = 85%</w:t>
            </w:r>
          </w:p>
        </w:tc>
        <w:tc>
          <w:tcPr>
            <w:tcW w:w="2700" w:type="dxa"/>
          </w:tcPr>
          <w:p w14:paraId="4C3166E3" w14:textId="53AC9393"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0.0003</w:t>
            </w:r>
          </w:p>
        </w:tc>
      </w:tr>
      <w:tr w:rsidR="00E55DFB" w:rsidRPr="000E0E80" w14:paraId="183A42A4" w14:textId="6FA37EAB" w:rsidTr="002A55A1">
        <w:trPr>
          <w:jc w:val="center"/>
        </w:trPr>
        <w:tc>
          <w:tcPr>
            <w:tcW w:w="3505" w:type="dxa"/>
          </w:tcPr>
          <w:p w14:paraId="042492E7" w14:textId="3B3F3388" w:rsidR="00E55DFB" w:rsidRPr="000E0E80" w:rsidRDefault="00E55DFB" w:rsidP="007B4D0A">
            <w:pPr>
              <w:spacing w:after="0" w:line="240" w:lineRule="auto"/>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During vs After Event</w:t>
            </w:r>
          </w:p>
        </w:tc>
        <w:tc>
          <w:tcPr>
            <w:tcW w:w="2700" w:type="dxa"/>
          </w:tcPr>
          <w:p w14:paraId="0A24521C" w14:textId="7777777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p>
        </w:tc>
        <w:tc>
          <w:tcPr>
            <w:tcW w:w="2700" w:type="dxa"/>
          </w:tcPr>
          <w:p w14:paraId="6E3F6C04" w14:textId="7777777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p>
        </w:tc>
      </w:tr>
      <w:tr w:rsidR="00E55DFB" w:rsidRPr="000E0E80" w14:paraId="6F1BA2DD" w14:textId="121FC613" w:rsidTr="002A55A1">
        <w:trPr>
          <w:jc w:val="center"/>
        </w:trPr>
        <w:tc>
          <w:tcPr>
            <w:tcW w:w="3505" w:type="dxa"/>
          </w:tcPr>
          <w:p w14:paraId="2EFAB47E" w14:textId="30FCD74F" w:rsidR="00E55DFB" w:rsidRPr="000E0E80" w:rsidRDefault="00E55DFB" w:rsidP="007B4D0A">
            <w:pPr>
              <w:spacing w:after="0" w:line="240" w:lineRule="auto"/>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 xml:space="preserve">   Var(during / Var(post)</w:t>
            </w:r>
          </w:p>
        </w:tc>
        <w:tc>
          <w:tcPr>
            <w:tcW w:w="2700" w:type="dxa"/>
          </w:tcPr>
          <w:p w14:paraId="62EB1A24" w14:textId="5F8CBF5B"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71%</w:t>
            </w:r>
          </w:p>
        </w:tc>
        <w:tc>
          <w:tcPr>
            <w:tcW w:w="2700" w:type="dxa"/>
          </w:tcPr>
          <w:p w14:paraId="67FE7AAD" w14:textId="77777777"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p>
        </w:tc>
      </w:tr>
      <w:tr w:rsidR="00E55DFB" w:rsidRPr="000E0E80" w14:paraId="59609106" w14:textId="28B52C65" w:rsidTr="002A55A1">
        <w:trPr>
          <w:jc w:val="center"/>
        </w:trPr>
        <w:tc>
          <w:tcPr>
            <w:tcW w:w="3505" w:type="dxa"/>
          </w:tcPr>
          <w:p w14:paraId="4E42F404" w14:textId="42C5D6C3" w:rsidR="00E55DFB" w:rsidRPr="000E0E80" w:rsidRDefault="00E55DFB" w:rsidP="007B4D0A">
            <w:pPr>
              <w:spacing w:after="0" w:line="240" w:lineRule="auto"/>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 xml:space="preserve">   Events with lower Var during </w:t>
            </w:r>
          </w:p>
        </w:tc>
        <w:tc>
          <w:tcPr>
            <w:tcW w:w="2700" w:type="dxa"/>
          </w:tcPr>
          <w:p w14:paraId="7998266D" w14:textId="681A70F7"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17 / 26 = 65%</w:t>
            </w:r>
          </w:p>
        </w:tc>
        <w:tc>
          <w:tcPr>
            <w:tcW w:w="2700" w:type="dxa"/>
          </w:tcPr>
          <w:p w14:paraId="4974E799" w14:textId="6E1639B5" w:rsidR="00E55DFB" w:rsidRPr="000E0E80" w:rsidRDefault="00E55DFB" w:rsidP="007B4D0A">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0.0843</w:t>
            </w:r>
          </w:p>
        </w:tc>
      </w:tr>
    </w:tbl>
    <w:p w14:paraId="17374B55" w14:textId="7E54AA2B" w:rsidR="00317906" w:rsidRPr="00DD56C7" w:rsidRDefault="00544A31" w:rsidP="00887412">
      <w:pPr>
        <w:rPr>
          <w:rStyle w:val="Strong"/>
          <w:rFonts w:eastAsiaTheme="majorEastAsia"/>
          <w:b w:val="0"/>
          <w:bCs w:val="0"/>
          <w:color w:val="0F1115"/>
        </w:rPr>
      </w:pPr>
      <w:r>
        <w:rPr>
          <w:rStyle w:val="Strong"/>
          <w:rFonts w:eastAsiaTheme="majorEastAsia"/>
          <w:b w:val="0"/>
          <w:bCs w:val="0"/>
          <w:color w:val="0F1115"/>
        </w:rPr>
        <w:lastRenderedPageBreak/>
        <w:t xml:space="preserve">The lack of statistically significant effect after the 90-degree </w:t>
      </w:r>
      <w:r w:rsidR="00D51728">
        <w:rPr>
          <w:rStyle w:val="Strong"/>
          <w:rFonts w:eastAsiaTheme="majorEastAsia"/>
          <w:b w:val="0"/>
          <w:bCs w:val="0"/>
          <w:color w:val="0F1115"/>
        </w:rPr>
        <w:t>e</w:t>
      </w:r>
      <w:r>
        <w:rPr>
          <w:rStyle w:val="Strong"/>
          <w:rFonts w:eastAsiaTheme="majorEastAsia"/>
          <w:b w:val="0"/>
          <w:bCs w:val="0"/>
          <w:color w:val="0F1115"/>
        </w:rPr>
        <w:t xml:space="preserve">vent may be related to a </w:t>
      </w:r>
      <w:r w:rsidR="00187714">
        <w:rPr>
          <w:rStyle w:val="Strong"/>
          <w:rFonts w:eastAsiaTheme="majorEastAsia"/>
          <w:b w:val="0"/>
          <w:bCs w:val="0"/>
          <w:color w:val="0F1115"/>
        </w:rPr>
        <w:t>systematic</w:t>
      </w:r>
      <w:r w:rsidR="00D51728">
        <w:rPr>
          <w:rStyle w:val="Strong"/>
          <w:rFonts w:eastAsiaTheme="majorEastAsia"/>
          <w:b w:val="0"/>
          <w:bCs w:val="0"/>
          <w:color w:val="0F1115"/>
        </w:rPr>
        <w:t xml:space="preserve"> drop</w:t>
      </w:r>
      <w:r>
        <w:rPr>
          <w:rStyle w:val="Strong"/>
          <w:rFonts w:eastAsiaTheme="majorEastAsia"/>
          <w:b w:val="0"/>
          <w:bCs w:val="0"/>
          <w:color w:val="0F1115"/>
        </w:rPr>
        <w:t xml:space="preserve"> in solar tranquility after the end of the 90-degree events</w:t>
      </w:r>
      <w:r w:rsidR="002C36F1">
        <w:rPr>
          <w:rStyle w:val="Strong"/>
          <w:rFonts w:eastAsiaTheme="majorEastAsia"/>
          <w:b w:val="0"/>
          <w:bCs w:val="0"/>
          <w:color w:val="0F1115"/>
        </w:rPr>
        <w:t xml:space="preserve">. Drops in solar tranquility are </w:t>
      </w:r>
      <w:r>
        <w:rPr>
          <w:rStyle w:val="Strong"/>
          <w:rFonts w:eastAsiaTheme="majorEastAsia"/>
          <w:b w:val="0"/>
          <w:bCs w:val="0"/>
          <w:color w:val="0F1115"/>
        </w:rPr>
        <w:t xml:space="preserve">indicated by the three arrows in Figure X above. We examine this pattern </w:t>
      </w:r>
      <w:r w:rsidR="003A7013">
        <w:rPr>
          <w:rStyle w:val="Strong"/>
          <w:rFonts w:eastAsiaTheme="majorEastAsia"/>
          <w:b w:val="0"/>
          <w:bCs w:val="0"/>
          <w:color w:val="0F1115"/>
        </w:rPr>
        <w:t xml:space="preserve">across all 26 events </w:t>
      </w:r>
      <w:r>
        <w:rPr>
          <w:rStyle w:val="Strong"/>
          <w:rFonts w:eastAsiaTheme="majorEastAsia"/>
          <w:b w:val="0"/>
          <w:bCs w:val="0"/>
          <w:color w:val="0F1115"/>
        </w:rPr>
        <w:t xml:space="preserve">in </w:t>
      </w:r>
      <w:r w:rsidR="002C36F1">
        <w:rPr>
          <w:rStyle w:val="Strong"/>
          <w:rFonts w:eastAsiaTheme="majorEastAsia"/>
          <w:b w:val="0"/>
          <w:bCs w:val="0"/>
          <w:color w:val="0F1115"/>
        </w:rPr>
        <w:t>Study B</w:t>
      </w:r>
      <w:r>
        <w:rPr>
          <w:rStyle w:val="Strong"/>
          <w:rFonts w:eastAsiaTheme="majorEastAsia"/>
          <w:b w:val="0"/>
          <w:bCs w:val="0"/>
          <w:color w:val="0F1115"/>
        </w:rPr>
        <w:t>.</w:t>
      </w:r>
    </w:p>
    <w:p w14:paraId="16E6089E" w14:textId="116B506C" w:rsidR="00674DEB" w:rsidRPr="004F3F2B" w:rsidRDefault="00D64221" w:rsidP="00D64221">
      <w:pPr>
        <w:pStyle w:val="Heading3"/>
        <w:rPr>
          <w:rStyle w:val="Strong"/>
          <w:b/>
          <w:bCs w:val="0"/>
        </w:rPr>
      </w:pPr>
      <w:r>
        <w:rPr>
          <w:rStyle w:val="Strong"/>
          <w:b/>
          <w:bCs w:val="0"/>
        </w:rPr>
        <w:t xml:space="preserve">Study </w:t>
      </w:r>
      <w:r w:rsidR="0006200D">
        <w:rPr>
          <w:rStyle w:val="Strong"/>
          <w:b/>
          <w:bCs w:val="0"/>
        </w:rPr>
        <w:t>B</w:t>
      </w:r>
      <w:r>
        <w:rPr>
          <w:rStyle w:val="Strong"/>
          <w:b/>
          <w:bCs w:val="0"/>
        </w:rPr>
        <w:t xml:space="preserve">. </w:t>
      </w:r>
      <w:r w:rsidR="00EA102B" w:rsidRPr="004F3F2B">
        <w:rPr>
          <w:rStyle w:val="Strong"/>
          <w:b/>
          <w:bCs w:val="0"/>
        </w:rPr>
        <w:t xml:space="preserve">Reduced </w:t>
      </w:r>
      <w:r w:rsidR="00FC75D3" w:rsidRPr="004F3F2B">
        <w:rPr>
          <w:rStyle w:val="Strong"/>
          <w:b/>
          <w:bCs w:val="0"/>
        </w:rPr>
        <w:t xml:space="preserve">Sunspot </w:t>
      </w:r>
      <w:r w:rsidR="007C1024" w:rsidRPr="004F3F2B">
        <w:rPr>
          <w:rStyle w:val="Strong"/>
          <w:b/>
          <w:bCs w:val="0"/>
        </w:rPr>
        <w:t xml:space="preserve">Tranquility 4 weeks </w:t>
      </w:r>
      <w:r w:rsidR="00FC75D3" w:rsidRPr="004F3F2B">
        <w:rPr>
          <w:rStyle w:val="Strong"/>
          <w:b/>
          <w:bCs w:val="0"/>
        </w:rPr>
        <w:t>Following 90° Configurations</w:t>
      </w:r>
      <w:r w:rsidR="00887412" w:rsidRPr="004F3F2B">
        <w:rPr>
          <w:rStyle w:val="Strong"/>
          <w:b/>
          <w:bCs w:val="0"/>
        </w:rPr>
        <w:t xml:space="preserve"> (Tab</w:t>
      </w:r>
      <w:r w:rsidR="00EB604D">
        <w:rPr>
          <w:rStyle w:val="Strong"/>
          <w:b/>
          <w:bCs w:val="0"/>
        </w:rPr>
        <w:t xml:space="preserve"> d</w:t>
      </w:r>
      <w:r w:rsidR="00887412" w:rsidRPr="004F3F2B">
        <w:rPr>
          <w:rStyle w:val="Strong"/>
          <w:b/>
          <w:bCs w:val="0"/>
        </w:rPr>
        <w:t>)</w:t>
      </w:r>
    </w:p>
    <w:p w14:paraId="27C1260F" w14:textId="631A910E" w:rsidR="006C1F91" w:rsidRDefault="00FC75D3" w:rsidP="00887412">
      <w:r w:rsidRPr="00FC75D3">
        <w:t xml:space="preserve">The analysis of </w:t>
      </w:r>
      <w:r w:rsidR="0061400A">
        <w:t xml:space="preserve">solar tranquility </w:t>
      </w:r>
      <w:r w:rsidRPr="00FC75D3">
        <w:t xml:space="preserve">revealed a non-random pattern following the end of 90° configurations. At the four-week horizon, the </w:t>
      </w:r>
      <w:r w:rsidR="006C1F91">
        <w:t>solar tranquility series</w:t>
      </w:r>
      <w:r w:rsidRPr="00FC75D3">
        <w:t xml:space="preserve"> </w:t>
      </w:r>
      <w:r w:rsidR="006C1F91">
        <w:t xml:space="preserve">moved lower </w:t>
      </w:r>
      <w:r w:rsidRPr="00FC75D3">
        <w:t>(reflecting an increase in solar activity) in 77% of the post-event periods (20 out of 26 events). The probability of this occurring by chance, under the binomial distribution, is less than 1% (p &lt; 0.01), allowing us to reject the null hypothesis of no effect.</w:t>
      </w:r>
      <w:r w:rsidR="006C1F91">
        <w:t xml:space="preserve"> </w:t>
      </w:r>
      <w:r w:rsidRPr="00FC75D3">
        <w:t xml:space="preserve">This four-week horizon showed the most pronounced effect across the 1- to 12-week horizons tested. </w:t>
      </w:r>
    </w:p>
    <w:p w14:paraId="7375B10A" w14:textId="09FC1BBF" w:rsidR="00FC75D3" w:rsidRPr="00FC75D3" w:rsidRDefault="00FC75D3" w:rsidP="00887412">
      <w:r w:rsidRPr="00FC75D3">
        <w:t>For context, in a random sample of 4,692 four-week periods across the entire dataset, 49.6% showed an increase and 50.4% a decrease, confirming the baseline randomness and highlighting the significance of the post-configuration signal.</w:t>
      </w:r>
    </w:p>
    <w:p w14:paraId="3161697A" w14:textId="5CDD133A" w:rsidR="00935AA2" w:rsidRPr="00FC75D3" w:rsidRDefault="00B32263" w:rsidP="003A4230">
      <w:pPr>
        <w:jc w:val="center"/>
        <w:rPr>
          <w:rFonts w:asciiTheme="minorHAnsi" w:eastAsia="Times New Roman" w:hAnsiTheme="minorHAnsi" w:cstheme="minorHAnsi"/>
          <w:color w:val="000000" w:themeColor="text1"/>
          <w:kern w:val="0"/>
          <w14:ligatures w14:val="none"/>
        </w:rPr>
      </w:pPr>
      <w:bookmarkStart w:id="5" w:name="_Hlk212577957"/>
      <w:bookmarkStart w:id="6" w:name="_Toc203156963"/>
      <w:bookmarkStart w:id="7" w:name="_Toc203156995"/>
      <w:bookmarkStart w:id="8" w:name="_Toc203241349"/>
      <w:bookmarkStart w:id="9" w:name="_Toc203241465"/>
      <w:bookmarkStart w:id="10" w:name="_Toc203241533"/>
      <w:bookmarkStart w:id="11" w:name="_Toc203764487"/>
      <w:bookmarkStart w:id="12" w:name="_Toc203809250"/>
      <w:bookmarkStart w:id="13" w:name="_Toc203906671"/>
      <w:bookmarkStart w:id="14" w:name="_Toc204200320"/>
      <w:bookmarkStart w:id="15" w:name="_Toc204504910"/>
      <w:bookmarkStart w:id="16" w:name="_Toc206093659"/>
      <w:bookmarkStart w:id="17" w:name="_Toc207788189"/>
      <w:bookmarkStart w:id="18" w:name="_Toc207989412"/>
      <w:bookmarkStart w:id="19" w:name="_Toc207989441"/>
      <w:bookmarkStart w:id="20" w:name="_Toc208034511"/>
      <w:bookmarkStart w:id="21" w:name="_Toc208034635"/>
      <w:bookmarkStart w:id="22" w:name="_Toc208035060"/>
      <w:bookmarkStart w:id="23" w:name="_Toc208035174"/>
      <w:bookmarkStart w:id="24" w:name="_Toc208085391"/>
      <w:bookmarkStart w:id="25" w:name="_Toc208218760"/>
      <w:bookmarkStart w:id="26" w:name="_Toc208399272"/>
      <w:bookmarkStart w:id="27" w:name="_Toc208662233"/>
      <w:bookmarkStart w:id="28" w:name="_Toc208831006"/>
      <w:bookmarkStart w:id="29" w:name="_Toc208955193"/>
      <w:bookmarkStart w:id="30" w:name="_Toc211256134"/>
      <w:bookmarkStart w:id="31" w:name="_Toc211323337"/>
      <w:bookmarkStart w:id="32" w:name="_Toc211323416"/>
      <w:bookmarkStart w:id="33" w:name="_Toc211854332"/>
      <w:bookmarkStart w:id="34" w:name="_Toc211854411"/>
      <w:bookmarkStart w:id="35" w:name="_Hlk207883655"/>
      <w:bookmarkEnd w:id="0"/>
      <w:bookmarkEnd w:id="1"/>
      <w:r w:rsidRPr="00FC75D3">
        <w:rPr>
          <w:rFonts w:asciiTheme="minorHAnsi" w:eastAsia="Times New Roman" w:hAnsiTheme="minorHAnsi" w:cstheme="minorHAnsi"/>
          <w:noProof/>
          <w:color w:val="000000" w:themeColor="text1"/>
          <w:kern w:val="0"/>
          <w14:ligatures w14:val="none"/>
        </w:rPr>
        <w:drawing>
          <wp:inline distT="0" distB="0" distL="0" distR="0" wp14:anchorId="7DD76A3E" wp14:editId="0B96AE44">
            <wp:extent cx="5029200" cy="3572047"/>
            <wp:effectExtent l="0" t="0" r="0" b="9525"/>
            <wp:docPr id="1063879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572047"/>
                    </a:xfrm>
                    <a:prstGeom prst="rect">
                      <a:avLst/>
                    </a:prstGeom>
                    <a:noFill/>
                  </pic:spPr>
                </pic:pic>
              </a:graphicData>
            </a:graphic>
          </wp:inline>
        </w:drawing>
      </w:r>
    </w:p>
    <w:bookmarkEnd w:id="5"/>
    <w:p w14:paraId="439D773F" w14:textId="0FB85AA4" w:rsidR="009E0B70" w:rsidRPr="009E0B70" w:rsidRDefault="009E0B70" w:rsidP="003A4230">
      <w:pPr>
        <w:pStyle w:val="FigureCaption"/>
        <w:rPr>
          <w:rStyle w:val="Emphasis"/>
          <w:i/>
          <w:iCs w:val="0"/>
        </w:rPr>
      </w:pPr>
      <w:r w:rsidRPr="009E0B70">
        <w:rPr>
          <w:rStyle w:val="Strong"/>
          <w:b w:val="0"/>
          <w:bCs w:val="0"/>
        </w:rPr>
        <w:t>Fig. 3.</w:t>
      </w:r>
      <w:r w:rsidRPr="009E0B70">
        <w:t xml:space="preserve"> Change in solar </w:t>
      </w:r>
      <w:r w:rsidR="006C1F91">
        <w:t xml:space="preserve">tranquility </w:t>
      </w:r>
      <w:r w:rsidRPr="009E0B70">
        <w:t>following 90° configuration events</w:t>
      </w:r>
      <w:r w:rsidR="006C1F91">
        <w:t xml:space="preserve"> </w:t>
      </w:r>
      <w:r w:rsidRPr="009E0B70">
        <w:t xml:space="preserve">over horizons of 1 to 12 weeks following the end of each of the 26 individual 90° configuration events (1935-2023). The blue band represents ±1 standard error. The pronounced </w:t>
      </w:r>
      <w:r w:rsidR="006C1F91">
        <w:t xml:space="preserve">decline in solar tranquility </w:t>
      </w:r>
      <w:r w:rsidRPr="009E0B70">
        <w:t>(indicating an increase in solar activity) at the four-week horizon is statistically significant (p &lt; 0.01, binomial test). </w:t>
      </w:r>
      <w:r w:rsidRPr="009E0B70">
        <w:rPr>
          <w:rStyle w:val="Emphasis"/>
          <w:i/>
          <w:iCs w:val="0"/>
        </w:rPr>
        <w:t>Data sources: Sunspot Number (SILSO); Planetary Configurations (NASA JPL Horizons).</w:t>
      </w:r>
    </w:p>
    <w:p w14:paraId="1D15203A" w14:textId="77777777" w:rsidR="00ED48A4" w:rsidRDefault="00ED48A4" w:rsidP="009364A0">
      <w:pPr>
        <w:pStyle w:val="TableTitle"/>
      </w:pPr>
    </w:p>
    <w:p w14:paraId="350FBBAA" w14:textId="15D2A37E" w:rsidR="00FC75D3" w:rsidRPr="009364A0" w:rsidRDefault="003A4230" w:rsidP="009364A0">
      <w:pPr>
        <w:pStyle w:val="TableTitle"/>
      </w:pPr>
      <w:r w:rsidRPr="009364A0">
        <w:t>Table 3</w:t>
      </w:r>
      <w:r w:rsidR="001A54B4" w:rsidRPr="009364A0">
        <w:t>: Statistical Significance of Sunspot Series Changes Following 90° Configuration</w:t>
      </w:r>
    </w:p>
    <w:tbl>
      <w:tblPr>
        <w:tblW w:w="8159" w:type="dxa"/>
        <w:jc w:val="center"/>
        <w:tblLook w:val="04A0" w:firstRow="1" w:lastRow="0" w:firstColumn="1" w:lastColumn="0" w:noHBand="0" w:noVBand="1"/>
      </w:tblPr>
      <w:tblGrid>
        <w:gridCol w:w="3857"/>
        <w:gridCol w:w="2055"/>
        <w:gridCol w:w="1297"/>
        <w:gridCol w:w="950"/>
      </w:tblGrid>
      <w:tr w:rsidR="00ED48A4" w:rsidRPr="00ED48A4" w14:paraId="52F07E44" w14:textId="77777777" w:rsidTr="00ED48A4">
        <w:trPr>
          <w:trHeight w:val="435"/>
          <w:jc w:val="center"/>
        </w:trPr>
        <w:tc>
          <w:tcPr>
            <w:tcW w:w="0" w:type="auto"/>
            <w:hideMark/>
          </w:tcPr>
          <w:p w14:paraId="379F4632" w14:textId="77777777" w:rsidR="00FC75D3" w:rsidRPr="00FC75D3" w:rsidRDefault="00FC75D3" w:rsidP="003A4230">
            <w:pPr>
              <w:spacing w:after="0" w:line="375" w:lineRule="atLeast"/>
              <w:rPr>
                <w:rFonts w:eastAsia="Times New Roman" w:cs="Times New Roman"/>
                <w:b/>
                <w:bCs/>
                <w:kern w:val="0"/>
                <w:sz w:val="20"/>
                <w:szCs w:val="20"/>
                <w14:ligatures w14:val="none"/>
              </w:rPr>
            </w:pPr>
            <w:r w:rsidRPr="00FC75D3">
              <w:rPr>
                <w:rFonts w:eastAsia="Times New Roman" w:cs="Times New Roman"/>
                <w:b/>
                <w:bCs/>
                <w:kern w:val="0"/>
                <w:sz w:val="20"/>
                <w:szCs w:val="20"/>
                <w14:ligatures w14:val="none"/>
              </w:rPr>
              <w:lastRenderedPageBreak/>
              <w:t>Condition</w:t>
            </w:r>
          </w:p>
        </w:tc>
        <w:tc>
          <w:tcPr>
            <w:tcW w:w="0" w:type="auto"/>
            <w:hideMark/>
          </w:tcPr>
          <w:p w14:paraId="7454B30B" w14:textId="77777777" w:rsidR="00FC75D3" w:rsidRPr="00FC75D3" w:rsidRDefault="00FC75D3" w:rsidP="003A4230">
            <w:pPr>
              <w:spacing w:after="0" w:line="375" w:lineRule="atLeast"/>
              <w:jc w:val="center"/>
              <w:rPr>
                <w:rFonts w:eastAsia="Times New Roman" w:cs="Times New Roman"/>
                <w:b/>
                <w:bCs/>
                <w:kern w:val="0"/>
                <w:sz w:val="20"/>
                <w:szCs w:val="20"/>
                <w14:ligatures w14:val="none"/>
              </w:rPr>
            </w:pPr>
            <w:r w:rsidRPr="00FC75D3">
              <w:rPr>
                <w:rFonts w:eastAsia="Times New Roman" w:cs="Times New Roman"/>
                <w:b/>
                <w:bCs/>
                <w:kern w:val="0"/>
                <w:sz w:val="20"/>
                <w:szCs w:val="20"/>
                <w14:ligatures w14:val="none"/>
              </w:rPr>
              <w:t>Number of Periods</w:t>
            </w:r>
          </w:p>
        </w:tc>
        <w:tc>
          <w:tcPr>
            <w:tcW w:w="0" w:type="auto"/>
            <w:hideMark/>
          </w:tcPr>
          <w:p w14:paraId="7065A6C0" w14:textId="77777777" w:rsidR="00FC75D3" w:rsidRPr="00FC75D3" w:rsidRDefault="00FC75D3" w:rsidP="003A4230">
            <w:pPr>
              <w:spacing w:after="0" w:line="375" w:lineRule="atLeast"/>
              <w:jc w:val="center"/>
              <w:rPr>
                <w:rFonts w:eastAsia="Times New Roman" w:cs="Times New Roman"/>
                <w:b/>
                <w:bCs/>
                <w:kern w:val="0"/>
                <w:sz w:val="20"/>
                <w:szCs w:val="20"/>
                <w14:ligatures w14:val="none"/>
              </w:rPr>
            </w:pPr>
            <w:r w:rsidRPr="00FC75D3">
              <w:rPr>
                <w:rFonts w:eastAsia="Times New Roman" w:cs="Times New Roman"/>
                <w:b/>
                <w:bCs/>
                <w:kern w:val="0"/>
                <w:sz w:val="20"/>
                <w:szCs w:val="20"/>
                <w14:ligatures w14:val="none"/>
              </w:rPr>
              <w:t>Percentage</w:t>
            </w:r>
          </w:p>
        </w:tc>
        <w:tc>
          <w:tcPr>
            <w:tcW w:w="0" w:type="auto"/>
            <w:hideMark/>
          </w:tcPr>
          <w:p w14:paraId="06BB1A66" w14:textId="77777777" w:rsidR="00FC75D3" w:rsidRPr="00FC75D3" w:rsidRDefault="00FC75D3" w:rsidP="003A4230">
            <w:pPr>
              <w:spacing w:after="0" w:line="375" w:lineRule="atLeast"/>
              <w:jc w:val="center"/>
              <w:rPr>
                <w:rFonts w:eastAsia="Times New Roman" w:cs="Times New Roman"/>
                <w:b/>
                <w:bCs/>
                <w:kern w:val="0"/>
                <w:sz w:val="20"/>
                <w:szCs w:val="20"/>
                <w14:ligatures w14:val="none"/>
              </w:rPr>
            </w:pPr>
            <w:r w:rsidRPr="00FC75D3">
              <w:rPr>
                <w:rFonts w:eastAsia="Times New Roman" w:cs="Times New Roman"/>
                <w:b/>
                <w:bCs/>
                <w:kern w:val="0"/>
                <w:sz w:val="20"/>
                <w:szCs w:val="20"/>
                <w14:ligatures w14:val="none"/>
              </w:rPr>
              <w:t>p-value</w:t>
            </w:r>
          </w:p>
        </w:tc>
      </w:tr>
      <w:tr w:rsidR="00ED48A4" w:rsidRPr="00ED48A4" w14:paraId="31B7754E" w14:textId="77777777" w:rsidTr="00ED48A4">
        <w:trPr>
          <w:trHeight w:val="435"/>
          <w:jc w:val="center"/>
        </w:trPr>
        <w:tc>
          <w:tcPr>
            <w:tcW w:w="0" w:type="auto"/>
            <w:hideMark/>
          </w:tcPr>
          <w:p w14:paraId="6F28CDEB" w14:textId="77777777" w:rsidR="00FC75D3" w:rsidRPr="00FC75D3" w:rsidRDefault="00FC75D3" w:rsidP="003A4230">
            <w:pPr>
              <w:spacing w:after="0" w:line="375" w:lineRule="atLeast"/>
              <w:rPr>
                <w:rFonts w:eastAsia="Times New Roman" w:cs="Times New Roman"/>
                <w:kern w:val="0"/>
                <w:sz w:val="20"/>
                <w:szCs w:val="20"/>
                <w14:ligatures w14:val="none"/>
              </w:rPr>
            </w:pPr>
            <w:r w:rsidRPr="00FC75D3">
              <w:rPr>
                <w:rFonts w:eastAsia="Times New Roman" w:cs="Times New Roman"/>
                <w:kern w:val="0"/>
                <w:sz w:val="20"/>
                <w:szCs w:val="20"/>
                <w14:ligatures w14:val="none"/>
              </w:rPr>
              <w:t>Post-90° Config. (Decrease)</w:t>
            </w:r>
          </w:p>
        </w:tc>
        <w:tc>
          <w:tcPr>
            <w:tcW w:w="0" w:type="auto"/>
            <w:hideMark/>
          </w:tcPr>
          <w:p w14:paraId="0B709AB3"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20 / 26</w:t>
            </w:r>
          </w:p>
        </w:tc>
        <w:tc>
          <w:tcPr>
            <w:tcW w:w="0" w:type="auto"/>
            <w:hideMark/>
          </w:tcPr>
          <w:p w14:paraId="79EB6EE9"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77%</w:t>
            </w:r>
          </w:p>
        </w:tc>
        <w:tc>
          <w:tcPr>
            <w:tcW w:w="0" w:type="auto"/>
            <w:hideMark/>
          </w:tcPr>
          <w:p w14:paraId="580ACF16"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&lt; 0.01</w:t>
            </w:r>
          </w:p>
        </w:tc>
      </w:tr>
      <w:tr w:rsidR="00ED48A4" w:rsidRPr="00ED48A4" w14:paraId="76E6EEA4" w14:textId="77777777" w:rsidTr="00ED48A4">
        <w:trPr>
          <w:trHeight w:val="435"/>
          <w:jc w:val="center"/>
        </w:trPr>
        <w:tc>
          <w:tcPr>
            <w:tcW w:w="0" w:type="auto"/>
            <w:hideMark/>
          </w:tcPr>
          <w:p w14:paraId="661C03E8" w14:textId="77777777" w:rsidR="00FC75D3" w:rsidRPr="00FC75D3" w:rsidRDefault="00FC75D3" w:rsidP="003A4230">
            <w:pPr>
              <w:spacing w:after="0" w:line="375" w:lineRule="atLeast"/>
              <w:rPr>
                <w:rFonts w:eastAsia="Times New Roman" w:cs="Times New Roman"/>
                <w:kern w:val="0"/>
                <w:sz w:val="20"/>
                <w:szCs w:val="20"/>
                <w14:ligatures w14:val="none"/>
              </w:rPr>
            </w:pPr>
            <w:r w:rsidRPr="00FC75D3">
              <w:rPr>
                <w:rFonts w:eastAsia="Times New Roman" w:cs="Times New Roman"/>
                <w:kern w:val="0"/>
                <w:sz w:val="20"/>
                <w:szCs w:val="20"/>
                <w14:ligatures w14:val="none"/>
              </w:rPr>
              <w:t>All Random 4-Week Periods (Decrease)</w:t>
            </w:r>
          </w:p>
        </w:tc>
        <w:tc>
          <w:tcPr>
            <w:tcW w:w="0" w:type="auto"/>
            <w:hideMark/>
          </w:tcPr>
          <w:p w14:paraId="5BCEBB90"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2365 / 4692</w:t>
            </w:r>
          </w:p>
        </w:tc>
        <w:tc>
          <w:tcPr>
            <w:tcW w:w="0" w:type="auto"/>
            <w:hideMark/>
          </w:tcPr>
          <w:p w14:paraId="24FE6CD0"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50.4%</w:t>
            </w:r>
          </w:p>
        </w:tc>
        <w:tc>
          <w:tcPr>
            <w:tcW w:w="0" w:type="auto"/>
            <w:hideMark/>
          </w:tcPr>
          <w:p w14:paraId="4FA137CF" w14:textId="77777777" w:rsidR="00FC75D3" w:rsidRPr="00FC75D3" w:rsidRDefault="00FC75D3" w:rsidP="003A4230">
            <w:pPr>
              <w:spacing w:after="0" w:line="375" w:lineRule="atLeast"/>
              <w:jc w:val="center"/>
              <w:rPr>
                <w:rFonts w:eastAsia="Times New Roman" w:cs="Times New Roman"/>
                <w:kern w:val="0"/>
                <w:sz w:val="20"/>
                <w:szCs w:val="20"/>
                <w14:ligatures w14:val="none"/>
              </w:rPr>
            </w:pPr>
            <w:r w:rsidRPr="00FC75D3">
              <w:rPr>
                <w:rFonts w:eastAsia="Times New Roman" w:cs="Times New Roman"/>
                <w:kern w:val="0"/>
                <w:sz w:val="20"/>
                <w:szCs w:val="20"/>
                <w14:ligatures w14:val="none"/>
              </w:rPr>
              <w:t>-</w:t>
            </w:r>
          </w:p>
        </w:tc>
      </w:tr>
    </w:tbl>
    <w:p w14:paraId="7FB29D0D" w14:textId="0BC071A4" w:rsidR="006C0D3D" w:rsidRDefault="001A54B4" w:rsidP="00ED48A4">
      <w:pPr>
        <w:pStyle w:val="TableNote"/>
        <w:rPr>
          <w:rStyle w:val="Emphasis"/>
          <w:i/>
          <w:iCs w:val="0"/>
        </w:rPr>
      </w:pPr>
      <w:r w:rsidRPr="00435913">
        <w:t>Note: Comparison of sunspot series directionality at the four-week horizon following 90° configuration events versus all possible four-week periods in the dataset (1935-2023). A "decrease" in the inverted series represents an increase in solar activity. The p-value is derived from a binomial test against the null hypothesis of a 50% probability of decrease.</w:t>
      </w:r>
      <w:r w:rsidR="00435913" w:rsidRPr="00435913">
        <w:t xml:space="preserve"> </w:t>
      </w:r>
      <w:r w:rsidRPr="00435913">
        <w:rPr>
          <w:rStyle w:val="Emphasis"/>
          <w:i/>
          <w:iCs w:val="0"/>
        </w:rPr>
        <w:t>Source: CPM Investing LLC calculations using sunspot data from SILSO (Royal Observatory of Belgium) and planetary configuration data from NASA JPL Horizons.</w:t>
      </w:r>
    </w:p>
    <w:p w14:paraId="4F9B16A4" w14:textId="77777777" w:rsidR="001A54B4" w:rsidRPr="00435913" w:rsidRDefault="001A54B4" w:rsidP="00ED48A4">
      <w:pPr>
        <w:pStyle w:val="TableNote"/>
      </w:pPr>
    </w:p>
    <w:tbl>
      <w:tblPr>
        <w:tblStyle w:val="TableGrid"/>
        <w:tblW w:w="0" w:type="auto"/>
        <w:jc w:val="center"/>
        <w:tblLook w:val="04A0" w:firstRow="1" w:lastRow="0" w:firstColumn="1" w:lastColumn="0" w:noHBand="0" w:noVBand="1"/>
      </w:tblPr>
      <w:tblGrid>
        <w:gridCol w:w="3505"/>
        <w:gridCol w:w="2700"/>
        <w:gridCol w:w="2700"/>
      </w:tblGrid>
      <w:tr w:rsidR="00E55DFB" w:rsidRPr="000E0E80" w14:paraId="4162557B" w14:textId="40933CA9" w:rsidTr="009842BB">
        <w:trPr>
          <w:jc w:val="center"/>
        </w:trPr>
        <w:tc>
          <w:tcPr>
            <w:tcW w:w="3505" w:type="dxa"/>
          </w:tcPr>
          <w:p w14:paraId="18DC6B7D" w14:textId="3C3515EF" w:rsidR="00E55DFB" w:rsidRPr="000E0E80" w:rsidRDefault="00E55DFB" w:rsidP="007B4D0A">
            <w:pPr>
              <w:spacing w:after="0" w:line="240" w:lineRule="auto"/>
              <w:rPr>
                <w:rStyle w:val="Strong"/>
                <w:rFonts w:asciiTheme="minorHAnsi" w:eastAsiaTheme="majorEastAsia" w:hAnsiTheme="minorHAnsi" w:cstheme="minorHAnsi"/>
                <w:color w:val="0F1115"/>
              </w:rPr>
            </w:pPr>
            <w:r>
              <w:rPr>
                <w:rStyle w:val="Strong"/>
                <w:rFonts w:asciiTheme="minorHAnsi" w:eastAsiaTheme="majorEastAsia" w:hAnsiTheme="minorHAnsi" w:cstheme="minorHAnsi"/>
                <w:color w:val="0F1115"/>
              </w:rPr>
              <w:t>Post Event Loss at 4 weeks</w:t>
            </w:r>
          </w:p>
        </w:tc>
        <w:tc>
          <w:tcPr>
            <w:tcW w:w="2700" w:type="dxa"/>
          </w:tcPr>
          <w:p w14:paraId="5B146BC8" w14:textId="7777777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All 26 Events</w:t>
            </w:r>
          </w:p>
        </w:tc>
        <w:tc>
          <w:tcPr>
            <w:tcW w:w="2700" w:type="dxa"/>
          </w:tcPr>
          <w:p w14:paraId="6B8AF376" w14:textId="7DEF6327" w:rsidR="00E55DFB" w:rsidRPr="000E0E80" w:rsidRDefault="00E55DFB" w:rsidP="007B4D0A">
            <w:pPr>
              <w:spacing w:after="0" w:line="240" w:lineRule="auto"/>
              <w:jc w:val="center"/>
              <w:rPr>
                <w:rStyle w:val="Strong"/>
                <w:rFonts w:asciiTheme="minorHAnsi" w:eastAsiaTheme="majorEastAsia" w:hAnsiTheme="minorHAnsi" w:cstheme="minorHAnsi"/>
                <w:color w:val="0F1115"/>
              </w:rPr>
            </w:pPr>
            <w:r>
              <w:rPr>
                <w:rStyle w:val="Strong"/>
                <w:rFonts w:asciiTheme="minorHAnsi" w:eastAsiaTheme="majorEastAsia" w:hAnsiTheme="minorHAnsi" w:cstheme="minorHAnsi"/>
                <w:color w:val="0F1115"/>
              </w:rPr>
              <w:t>p-value</w:t>
            </w:r>
          </w:p>
        </w:tc>
      </w:tr>
      <w:tr w:rsidR="00E55DFB" w:rsidRPr="000E0E80" w14:paraId="750A2C0F" w14:textId="4CAAEE6D" w:rsidTr="002C36F1">
        <w:trPr>
          <w:jc w:val="center"/>
        </w:trPr>
        <w:tc>
          <w:tcPr>
            <w:tcW w:w="3505" w:type="dxa"/>
          </w:tcPr>
          <w:p w14:paraId="70932D5C" w14:textId="3CC33A68" w:rsidR="00E55DFB" w:rsidRPr="000E0E80" w:rsidRDefault="00E55DFB" w:rsidP="002C36F1">
            <w:pPr>
              <w:spacing w:after="0" w:line="240" w:lineRule="auto"/>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 xml:space="preserve">Events with </w:t>
            </w:r>
            <w:r w:rsidR="002C36F1">
              <w:rPr>
                <w:rStyle w:val="Strong"/>
                <w:rFonts w:asciiTheme="minorHAnsi" w:eastAsiaTheme="majorEastAsia" w:hAnsiTheme="minorHAnsi" w:cstheme="minorHAnsi"/>
                <w:b w:val="0"/>
                <w:bCs w:val="0"/>
                <w:color w:val="0F1115"/>
              </w:rPr>
              <w:t>decline in solar tranquility at week 4 after an event</w:t>
            </w:r>
            <w:r w:rsidRPr="000E0E80">
              <w:rPr>
                <w:rStyle w:val="Strong"/>
                <w:rFonts w:asciiTheme="minorHAnsi" w:eastAsiaTheme="majorEastAsia" w:hAnsiTheme="minorHAnsi" w:cstheme="minorHAnsi"/>
                <w:b w:val="0"/>
                <w:bCs w:val="0"/>
                <w:color w:val="0F1115"/>
              </w:rPr>
              <w:t xml:space="preserve"> </w:t>
            </w:r>
          </w:p>
        </w:tc>
        <w:tc>
          <w:tcPr>
            <w:tcW w:w="2700" w:type="dxa"/>
            <w:vAlign w:val="center"/>
          </w:tcPr>
          <w:p w14:paraId="59402851" w14:textId="25890E00" w:rsidR="00E55DFB" w:rsidRPr="000E0E80" w:rsidRDefault="00E55DFB" w:rsidP="002C36F1">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2</w:t>
            </w:r>
            <w:r>
              <w:rPr>
                <w:rStyle w:val="Strong"/>
                <w:rFonts w:asciiTheme="minorHAnsi" w:eastAsiaTheme="majorEastAsia" w:hAnsiTheme="minorHAnsi" w:cstheme="minorHAnsi"/>
                <w:b w:val="0"/>
                <w:bCs w:val="0"/>
                <w:color w:val="0F1115"/>
              </w:rPr>
              <w:t>0</w:t>
            </w:r>
            <w:r w:rsidRPr="000E0E80">
              <w:rPr>
                <w:rStyle w:val="Strong"/>
                <w:rFonts w:asciiTheme="minorHAnsi" w:eastAsiaTheme="majorEastAsia" w:hAnsiTheme="minorHAnsi" w:cstheme="minorHAnsi"/>
                <w:b w:val="0"/>
                <w:bCs w:val="0"/>
                <w:color w:val="0F1115"/>
              </w:rPr>
              <w:t xml:space="preserve"> / 26 = </w:t>
            </w:r>
            <w:r>
              <w:rPr>
                <w:rStyle w:val="Strong"/>
                <w:rFonts w:asciiTheme="minorHAnsi" w:eastAsiaTheme="majorEastAsia" w:hAnsiTheme="minorHAnsi" w:cstheme="minorHAnsi"/>
                <w:b w:val="0"/>
                <w:bCs w:val="0"/>
                <w:color w:val="0F1115"/>
              </w:rPr>
              <w:t>77</w:t>
            </w:r>
            <w:r w:rsidRPr="000E0E80">
              <w:rPr>
                <w:rStyle w:val="Strong"/>
                <w:rFonts w:asciiTheme="minorHAnsi" w:eastAsiaTheme="majorEastAsia" w:hAnsiTheme="minorHAnsi" w:cstheme="minorHAnsi"/>
                <w:b w:val="0"/>
                <w:bCs w:val="0"/>
                <w:color w:val="0F1115"/>
              </w:rPr>
              <w:t>%</w:t>
            </w:r>
          </w:p>
        </w:tc>
        <w:tc>
          <w:tcPr>
            <w:tcW w:w="2700" w:type="dxa"/>
            <w:vAlign w:val="center"/>
          </w:tcPr>
          <w:p w14:paraId="5489AF7A" w14:textId="60C20CE3" w:rsidR="00E55DFB" w:rsidRPr="000E0E80" w:rsidRDefault="00E55DFB" w:rsidP="002C36F1">
            <w:pPr>
              <w:spacing w:after="0" w:line="240" w:lineRule="auto"/>
              <w:jc w:val="center"/>
              <w:rPr>
                <w:rStyle w:val="Strong"/>
                <w:rFonts w:asciiTheme="minorHAnsi" w:eastAsiaTheme="majorEastAsia" w:hAnsiTheme="minorHAnsi" w:cstheme="minorHAnsi"/>
                <w:b w:val="0"/>
                <w:bCs w:val="0"/>
                <w:color w:val="0F1115"/>
              </w:rPr>
            </w:pPr>
            <w:r w:rsidRPr="000E0E80">
              <w:rPr>
                <w:rStyle w:val="Strong"/>
                <w:rFonts w:asciiTheme="minorHAnsi" w:eastAsiaTheme="majorEastAsia" w:hAnsiTheme="minorHAnsi" w:cstheme="minorHAnsi"/>
                <w:b w:val="0"/>
                <w:bCs w:val="0"/>
                <w:color w:val="0F1115"/>
              </w:rPr>
              <w:t>0.00</w:t>
            </w:r>
            <w:r>
              <w:rPr>
                <w:rStyle w:val="Strong"/>
                <w:rFonts w:asciiTheme="minorHAnsi" w:eastAsiaTheme="majorEastAsia" w:hAnsiTheme="minorHAnsi" w:cstheme="minorHAnsi"/>
                <w:b w:val="0"/>
                <w:bCs w:val="0"/>
                <w:color w:val="0F1115"/>
              </w:rPr>
              <w:t>47</w:t>
            </w:r>
          </w:p>
        </w:tc>
      </w:tr>
    </w:tbl>
    <w:p w14:paraId="60A0EE22" w14:textId="77777777" w:rsidR="000E0E80" w:rsidRDefault="000E0E80" w:rsidP="006C1F91"/>
    <w:p w14:paraId="1B1D3FB0" w14:textId="1424A6E1" w:rsidR="006C1F91" w:rsidRDefault="0006200D" w:rsidP="006C1F91">
      <w:r>
        <w:t xml:space="preserve">Study C </w:t>
      </w:r>
      <w:r w:rsidR="00F4763A">
        <w:t xml:space="preserve">evaluates </w:t>
      </w:r>
      <w:r w:rsidR="007B4D0A">
        <w:t xml:space="preserve">the </w:t>
      </w:r>
      <w:r>
        <w:t xml:space="preserve">relationship between </w:t>
      </w:r>
      <w:r w:rsidR="00CA50E1">
        <w:t xml:space="preserve">a measure of </w:t>
      </w:r>
      <w:r>
        <w:t xml:space="preserve">concentration of outer planets and the magnitude of the decline in solar tranquility </w:t>
      </w:r>
      <w:r w:rsidR="00CA50E1">
        <w:t xml:space="preserve">four weeks after the end of the configuration event. The measure of planetary concentration is the distance between the Sun and the </w:t>
      </w:r>
      <w:r w:rsidR="002C36F1">
        <w:t>calculated</w:t>
      </w:r>
      <w:r w:rsidR="00CA50E1">
        <w:t xml:space="preserve"> center of the outer planetary group. Given the elliptical orbits of the planets, the greater this distance, the more</w:t>
      </w:r>
      <w:r w:rsidR="00187714">
        <w:t xml:space="preserve"> spatially</w:t>
      </w:r>
      <w:r w:rsidR="00CA50E1">
        <w:t xml:space="preserve"> concentrated the member</w:t>
      </w:r>
      <w:r w:rsidR="00187714">
        <w:t>s</w:t>
      </w:r>
      <w:r w:rsidR="00CA50E1">
        <w:t xml:space="preserve"> of the outer planetary group.  </w:t>
      </w:r>
      <w:r w:rsidR="00187714">
        <w:t>Thus, the Sun-</w:t>
      </w:r>
      <w:proofErr w:type="spellStart"/>
      <w:r w:rsidR="00187714">
        <w:t>OuterCenter</w:t>
      </w:r>
      <w:proofErr w:type="spellEnd"/>
      <w:r w:rsidR="00187714">
        <w:t xml:space="preserve"> distance is a proxy for the concentration of the members of the outer group.  The distance is normalized to range from 0.0 to 1.0, with the higher values indicating greater distance. </w:t>
      </w:r>
      <w:r w:rsidR="00CA50E1">
        <w:t xml:space="preserve">This metric has been identified in prior studies as </w:t>
      </w:r>
      <w:r w:rsidR="00187714">
        <w:t xml:space="preserve">a </w:t>
      </w:r>
      <w:r w:rsidR="00CA50E1">
        <w:t xml:space="preserve">factor </w:t>
      </w:r>
      <w:r w:rsidR="00187714">
        <w:t xml:space="preserve">contributing to the </w:t>
      </w:r>
      <w:r w:rsidR="00CA50E1">
        <w:t xml:space="preserve">intensity of the change in investor sentiment. </w:t>
      </w:r>
    </w:p>
    <w:p w14:paraId="35A42D57" w14:textId="4E42E049" w:rsidR="00CE6C75" w:rsidRPr="004F3F2B" w:rsidRDefault="00D64221" w:rsidP="00D64221">
      <w:pPr>
        <w:pStyle w:val="Heading3"/>
      </w:pPr>
      <w:r>
        <w:t xml:space="preserve">Study </w:t>
      </w:r>
      <w:r w:rsidR="00187714">
        <w:t>C</w:t>
      </w:r>
      <w:r>
        <w:t>.</w:t>
      </w:r>
      <w:r w:rsidR="00887412" w:rsidRPr="004F3F2B">
        <w:t xml:space="preserve"> </w:t>
      </w:r>
      <w:r w:rsidR="00674DEB" w:rsidRPr="004F3F2B">
        <w:t xml:space="preserve">The </w:t>
      </w:r>
      <w:r w:rsidR="0090691B">
        <w:t>Greater the Distance Between the Sun and the Outer Group Center</w:t>
      </w:r>
      <w:r w:rsidR="00674DEB" w:rsidRPr="004F3F2B">
        <w:t xml:space="preserve"> the Greater the Subsequent Decline</w:t>
      </w:r>
      <w:r w:rsidR="00887412" w:rsidRPr="004F3F2B">
        <w:t xml:space="preserve"> </w:t>
      </w:r>
      <w:r w:rsidR="0090691B">
        <w:t xml:space="preserve">in Solar Tranquility at Week +4 </w:t>
      </w:r>
      <w:r w:rsidR="00887412" w:rsidRPr="004F3F2B">
        <w:t>(Tab</w:t>
      </w:r>
      <w:r w:rsidR="00EB604D">
        <w:t xml:space="preserve"> e</w:t>
      </w:r>
      <w:r w:rsidR="00887412" w:rsidRPr="004F3F2B">
        <w:t>)</w:t>
      </w:r>
    </w:p>
    <w:p w14:paraId="456DA98A" w14:textId="21EC7416" w:rsidR="00187714" w:rsidRDefault="00187714" w:rsidP="0090691B">
      <w:r>
        <w:t>The purpose of this study is to e</w:t>
      </w:r>
      <w:r w:rsidR="00C217F5">
        <w:t>valuate whether the post-event decline in solar tranquility is affected by the distance between the Sun and the center of the outer-planet group</w:t>
      </w:r>
      <w:r w:rsidR="00E55DFB">
        <w:t xml:space="preserve">. </w:t>
      </w:r>
      <w:r>
        <w:t>The variables considered are:</w:t>
      </w:r>
    </w:p>
    <w:p w14:paraId="11D6CFF7" w14:textId="6F199448" w:rsidR="00187714" w:rsidRDefault="00187714" w:rsidP="00187714">
      <w:pPr>
        <w:pStyle w:val="ListParagraph"/>
        <w:numPr>
          <w:ilvl w:val="0"/>
          <w:numId w:val="25"/>
        </w:numPr>
      </w:pPr>
      <w:r>
        <w:t>The Sun-</w:t>
      </w:r>
      <w:proofErr w:type="spellStart"/>
      <w:r>
        <w:t>OuterCenter</w:t>
      </w:r>
      <w:proofErr w:type="spellEnd"/>
      <w:r>
        <w:t xml:space="preserve"> </w:t>
      </w:r>
      <w:r w:rsidR="002C36F1">
        <w:t xml:space="preserve">distance </w:t>
      </w:r>
      <w:r>
        <w:t>described above</w:t>
      </w:r>
    </w:p>
    <w:p w14:paraId="262A0B1B" w14:textId="77777777" w:rsidR="00B30951" w:rsidRDefault="00187714" w:rsidP="00724522">
      <w:pPr>
        <w:pStyle w:val="ListParagraph"/>
        <w:numPr>
          <w:ilvl w:val="0"/>
          <w:numId w:val="25"/>
        </w:numPr>
      </w:pPr>
      <w:r>
        <w:t xml:space="preserve">The change in </w:t>
      </w:r>
      <w:r w:rsidR="00B30951">
        <w:t xml:space="preserve">the level of </w:t>
      </w:r>
      <w:r>
        <w:t xml:space="preserve">solar tranquility </w:t>
      </w:r>
      <w:r w:rsidR="00B30951">
        <w:t xml:space="preserve">four weeks after the end of the 90-degree configuration compared to the level at the end of the event. </w:t>
      </w:r>
      <w:r w:rsidR="00C217F5">
        <w:t xml:space="preserve">Negative values indicate that tranquility was lower at </w:t>
      </w:r>
      <w:r w:rsidR="00E55DFB">
        <w:t>w</w:t>
      </w:r>
      <w:r w:rsidR="00C217F5">
        <w:t xml:space="preserve">eek 4 than at the event’s end. </w:t>
      </w:r>
    </w:p>
    <w:p w14:paraId="1EA245D0" w14:textId="54B34FF4" w:rsidR="00C217F5" w:rsidRDefault="00C217F5" w:rsidP="00B30951">
      <w:r>
        <w:t>Across the twenty-six configurations in the 1935–2023 record, this four-week decrease was strongly associated with the Sun–Outer</w:t>
      </w:r>
      <w:r w:rsidR="00E55DFB">
        <w:t xml:space="preserve"> </w:t>
      </w:r>
      <w:r>
        <w:t>Center distance. Events that concluded when the outer-planet group’s center was farther from the Sun</w:t>
      </w:r>
      <w:r w:rsidR="00E55DFB">
        <w:t xml:space="preserve"> </w:t>
      </w:r>
      <w:r>
        <w:t>showed systematically larger declines in tranquility. The relationship was moderate to strong in magnitude and statistically significant (Spearman ρ ≈ –0.57, p ≈ 0.002; standardized regression coefficient β ≈ –0.51, p ≈ 0.009). This result indicates that the Sun–Outer</w:t>
      </w:r>
      <w:r w:rsidR="00E55DFB">
        <w:t xml:space="preserve"> </w:t>
      </w:r>
      <w:r>
        <w:t xml:space="preserve">Center distance at the moment the configuration ends helps </w:t>
      </w:r>
      <w:r>
        <w:lastRenderedPageBreak/>
        <w:t>determine the magnitude of the Sun’s short-term relaxation response</w:t>
      </w:r>
      <w:r w:rsidR="002C36F1">
        <w:t xml:space="preserve"> after the 90-degree configuration event</w:t>
      </w:r>
      <w:r>
        <w:t xml:space="preserve">, with greater </w:t>
      </w:r>
      <w:r w:rsidR="002C36F1">
        <w:t xml:space="preserve">distance </w:t>
      </w:r>
      <w:r>
        <w:t>associated with a larger four-week reduction in tranquility.</w:t>
      </w:r>
    </w:p>
    <w:p w14:paraId="16E96A3C" w14:textId="27379426" w:rsidR="0090691B" w:rsidRDefault="0090691B" w:rsidP="0090691B">
      <w:r>
        <w:t>The relationship between</w:t>
      </w:r>
      <w:r w:rsidR="00E55DFB">
        <w:t xml:space="preserve"> </w:t>
      </w:r>
      <w:r>
        <w:t>Sun</w:t>
      </w:r>
      <w:r w:rsidR="00E55DFB">
        <w:t>-</w:t>
      </w:r>
      <w:proofErr w:type="spellStart"/>
      <w:r w:rsidR="00E55DFB">
        <w:t>OuterCenter</w:t>
      </w:r>
      <w:proofErr w:type="spellEnd"/>
      <w:r w:rsidR="00E55DFB">
        <w:t xml:space="preserve"> </w:t>
      </w:r>
      <w:r>
        <w:t xml:space="preserve">distance and the </w:t>
      </w:r>
      <w:r w:rsidR="00E55DFB">
        <w:t>d</w:t>
      </w:r>
      <w:r>
        <w:t xml:space="preserve">ecrease at 4 </w:t>
      </w:r>
      <w:r w:rsidR="00E55DFB">
        <w:t>w</w:t>
      </w:r>
      <w:r>
        <w:t xml:space="preserve">eeks </w:t>
      </w:r>
      <w:r w:rsidR="00E55DFB">
        <w:t>a</w:t>
      </w:r>
      <w:r>
        <w:t xml:space="preserve">fter the </w:t>
      </w:r>
      <w:r w:rsidR="00E55DFB">
        <w:t>e</w:t>
      </w:r>
      <w:r>
        <w:t>vent was significant under both rank-based and linear measures (Spearman ρ = –0.57, p = 0.002; Pearson r = –0.52, p = 0.007), indicating a robust monotonic association between greater geometric separation and larger four-week reductions in tranquility.</w:t>
      </w:r>
    </w:p>
    <w:tbl>
      <w:tblPr>
        <w:tblStyle w:val="TableGrid"/>
        <w:tblW w:w="0" w:type="auto"/>
        <w:jc w:val="center"/>
        <w:tblLook w:val="04A0" w:firstRow="1" w:lastRow="0" w:firstColumn="1" w:lastColumn="0" w:noHBand="0" w:noVBand="1"/>
      </w:tblPr>
      <w:tblGrid>
        <w:gridCol w:w="3505"/>
        <w:gridCol w:w="2700"/>
        <w:gridCol w:w="2700"/>
      </w:tblGrid>
      <w:tr w:rsidR="00E55DFB" w:rsidRPr="000E0E80" w14:paraId="7580371E" w14:textId="44704969" w:rsidTr="003832D5">
        <w:trPr>
          <w:jc w:val="center"/>
        </w:trPr>
        <w:tc>
          <w:tcPr>
            <w:tcW w:w="3505" w:type="dxa"/>
          </w:tcPr>
          <w:p w14:paraId="2CED714E" w14:textId="77777777" w:rsidR="00E55DFB" w:rsidRPr="000E0E80" w:rsidRDefault="00E55DFB" w:rsidP="0057134C">
            <w:pPr>
              <w:spacing w:after="0" w:line="240" w:lineRule="auto"/>
              <w:rPr>
                <w:rStyle w:val="Strong"/>
                <w:rFonts w:asciiTheme="minorHAnsi" w:eastAsiaTheme="majorEastAsia" w:hAnsiTheme="minorHAnsi" w:cstheme="minorHAnsi"/>
                <w:color w:val="0F1115"/>
              </w:rPr>
            </w:pPr>
            <w:r>
              <w:rPr>
                <w:rStyle w:val="Strong"/>
                <w:rFonts w:asciiTheme="minorHAnsi" w:eastAsiaTheme="majorEastAsia" w:hAnsiTheme="minorHAnsi" w:cstheme="minorHAnsi"/>
                <w:color w:val="0F1115"/>
              </w:rPr>
              <w:t>Duration-4w Post Loss</w:t>
            </w:r>
          </w:p>
        </w:tc>
        <w:tc>
          <w:tcPr>
            <w:tcW w:w="2700" w:type="dxa"/>
          </w:tcPr>
          <w:p w14:paraId="2C207DA0" w14:textId="77777777" w:rsidR="00E55DFB" w:rsidRPr="000E0E80" w:rsidRDefault="00E55DFB" w:rsidP="0057134C">
            <w:pPr>
              <w:spacing w:after="0" w:line="240" w:lineRule="auto"/>
              <w:jc w:val="center"/>
              <w:rPr>
                <w:rStyle w:val="Strong"/>
                <w:rFonts w:asciiTheme="minorHAnsi" w:eastAsiaTheme="majorEastAsia" w:hAnsiTheme="minorHAnsi" w:cstheme="minorHAnsi"/>
                <w:color w:val="0F1115"/>
              </w:rPr>
            </w:pPr>
            <w:r w:rsidRPr="000E0E80">
              <w:rPr>
                <w:rStyle w:val="Strong"/>
                <w:rFonts w:asciiTheme="minorHAnsi" w:eastAsiaTheme="majorEastAsia" w:hAnsiTheme="minorHAnsi" w:cstheme="minorHAnsi"/>
                <w:color w:val="0F1115"/>
              </w:rPr>
              <w:t>All 26 Events</w:t>
            </w:r>
          </w:p>
        </w:tc>
        <w:tc>
          <w:tcPr>
            <w:tcW w:w="2700" w:type="dxa"/>
          </w:tcPr>
          <w:p w14:paraId="22BD11EB" w14:textId="6F7D209A" w:rsidR="00E55DFB" w:rsidRPr="000E0E80" w:rsidRDefault="00E55DFB" w:rsidP="0057134C">
            <w:pPr>
              <w:spacing w:after="0" w:line="240" w:lineRule="auto"/>
              <w:jc w:val="center"/>
              <w:rPr>
                <w:rStyle w:val="Strong"/>
                <w:rFonts w:asciiTheme="minorHAnsi" w:eastAsiaTheme="majorEastAsia" w:hAnsiTheme="minorHAnsi" w:cstheme="minorHAnsi"/>
                <w:color w:val="0F1115"/>
              </w:rPr>
            </w:pPr>
            <w:r>
              <w:rPr>
                <w:rStyle w:val="Strong"/>
                <w:rFonts w:asciiTheme="minorHAnsi" w:eastAsiaTheme="majorEastAsia" w:hAnsiTheme="minorHAnsi" w:cstheme="minorHAnsi"/>
                <w:color w:val="0F1115"/>
              </w:rPr>
              <w:t>p-value</w:t>
            </w:r>
          </w:p>
        </w:tc>
      </w:tr>
      <w:tr w:rsidR="00E55DFB" w:rsidRPr="000E0E80" w14:paraId="23A3F49C" w14:textId="4A6536DE" w:rsidTr="003832D5">
        <w:trPr>
          <w:jc w:val="center"/>
        </w:trPr>
        <w:tc>
          <w:tcPr>
            <w:tcW w:w="3505" w:type="dxa"/>
          </w:tcPr>
          <w:p w14:paraId="52CF6B7D" w14:textId="77777777" w:rsidR="00E55DFB" w:rsidRPr="0090691B" w:rsidRDefault="00E55DFB" w:rsidP="0057134C">
            <w:pPr>
              <w:spacing w:after="0" w:line="240" w:lineRule="auto"/>
              <w:rPr>
                <w:rStyle w:val="Strong"/>
                <w:rFonts w:asciiTheme="minorHAnsi" w:eastAsiaTheme="majorEastAsia" w:hAnsiTheme="minorHAnsi" w:cstheme="minorHAnsi"/>
                <w:color w:val="0F1115"/>
              </w:rPr>
            </w:pPr>
            <w:r w:rsidRPr="0090691B">
              <w:rPr>
                <w:rStyle w:val="Strong"/>
                <w:rFonts w:asciiTheme="minorHAnsi" w:eastAsiaTheme="majorEastAsia" w:hAnsiTheme="minorHAnsi" w:cstheme="minorHAnsi"/>
                <w:color w:val="0F1115"/>
              </w:rPr>
              <w:t xml:space="preserve">   </w:t>
            </w:r>
            <w:r w:rsidRPr="0090691B">
              <w:t>Spearman ρ</w:t>
            </w:r>
          </w:p>
        </w:tc>
        <w:tc>
          <w:tcPr>
            <w:tcW w:w="2700" w:type="dxa"/>
          </w:tcPr>
          <w:p w14:paraId="7A5B8255" w14:textId="77777777" w:rsidR="00E55DFB" w:rsidRPr="000E0E80" w:rsidRDefault="00E55DFB" w:rsidP="0057134C">
            <w:pPr>
              <w:spacing w:after="0" w:line="240" w:lineRule="auto"/>
              <w:jc w:val="center"/>
              <w:rPr>
                <w:rStyle w:val="Strong"/>
                <w:rFonts w:asciiTheme="minorHAnsi" w:eastAsiaTheme="majorEastAsia" w:hAnsiTheme="minorHAnsi" w:cstheme="minorHAnsi"/>
                <w:b w:val="0"/>
                <w:bCs w:val="0"/>
                <w:color w:val="0F1115"/>
              </w:rPr>
            </w:pPr>
            <w:r>
              <w:rPr>
                <w:rStyle w:val="Strong"/>
                <w:rFonts w:asciiTheme="minorHAnsi" w:eastAsiaTheme="majorEastAsia" w:hAnsiTheme="minorHAnsi" w:cstheme="minorHAnsi"/>
                <w:b w:val="0"/>
                <w:bCs w:val="0"/>
                <w:color w:val="0F1115"/>
              </w:rPr>
              <w:t>-0.57</w:t>
            </w:r>
          </w:p>
        </w:tc>
        <w:tc>
          <w:tcPr>
            <w:tcW w:w="2700" w:type="dxa"/>
          </w:tcPr>
          <w:p w14:paraId="27F6BBF7" w14:textId="14D8C6E0" w:rsidR="00E55DFB" w:rsidRDefault="00E55DFB" w:rsidP="0057134C">
            <w:pPr>
              <w:spacing w:after="0" w:line="240" w:lineRule="auto"/>
              <w:jc w:val="center"/>
              <w:rPr>
                <w:rStyle w:val="Strong"/>
                <w:rFonts w:asciiTheme="minorHAnsi" w:eastAsiaTheme="majorEastAsia" w:hAnsiTheme="minorHAnsi" w:cstheme="minorHAnsi"/>
                <w:b w:val="0"/>
                <w:bCs w:val="0"/>
                <w:color w:val="0F1115"/>
              </w:rPr>
            </w:pPr>
            <w:r>
              <w:rPr>
                <w:rStyle w:val="Strong"/>
                <w:rFonts w:asciiTheme="minorHAnsi" w:eastAsiaTheme="majorEastAsia" w:hAnsiTheme="minorHAnsi" w:cstheme="minorHAnsi"/>
                <w:b w:val="0"/>
                <w:bCs w:val="0"/>
                <w:color w:val="0F1115"/>
              </w:rPr>
              <w:t>0.002</w:t>
            </w:r>
          </w:p>
        </w:tc>
      </w:tr>
      <w:tr w:rsidR="00E55DFB" w:rsidRPr="000E0E80" w14:paraId="336EF41A" w14:textId="3F95B9FD" w:rsidTr="003832D5">
        <w:trPr>
          <w:jc w:val="center"/>
        </w:trPr>
        <w:tc>
          <w:tcPr>
            <w:tcW w:w="3505" w:type="dxa"/>
          </w:tcPr>
          <w:p w14:paraId="63EBD6B7" w14:textId="6EDC696E" w:rsidR="00E55DFB" w:rsidRPr="0090691B" w:rsidRDefault="00E55DFB" w:rsidP="0057134C">
            <w:pPr>
              <w:spacing w:after="0" w:line="240" w:lineRule="auto"/>
              <w:rPr>
                <w:rStyle w:val="Strong"/>
                <w:rFonts w:asciiTheme="minorHAnsi" w:eastAsiaTheme="majorEastAsia" w:hAnsiTheme="minorHAnsi" w:cstheme="minorHAnsi"/>
                <w:b w:val="0"/>
                <w:bCs w:val="0"/>
                <w:color w:val="0F1115"/>
              </w:rPr>
            </w:pPr>
            <w:r>
              <w:rPr>
                <w:rStyle w:val="Strong"/>
                <w:rFonts w:eastAsiaTheme="majorEastAsia" w:cstheme="minorHAnsi"/>
                <w:b w:val="0"/>
                <w:bCs w:val="0"/>
                <w:color w:val="0F1115"/>
              </w:rPr>
              <w:t xml:space="preserve">   Pearson r</w:t>
            </w:r>
          </w:p>
        </w:tc>
        <w:tc>
          <w:tcPr>
            <w:tcW w:w="2700" w:type="dxa"/>
          </w:tcPr>
          <w:p w14:paraId="699926B6" w14:textId="0B601293" w:rsidR="00E55DFB" w:rsidRDefault="00E55DFB" w:rsidP="0057134C">
            <w:pPr>
              <w:spacing w:after="0" w:line="240" w:lineRule="auto"/>
              <w:jc w:val="center"/>
              <w:rPr>
                <w:rStyle w:val="Strong"/>
                <w:rFonts w:asciiTheme="minorHAnsi" w:eastAsiaTheme="majorEastAsia" w:hAnsiTheme="minorHAnsi" w:cstheme="minorHAnsi"/>
                <w:b w:val="0"/>
                <w:bCs w:val="0"/>
                <w:color w:val="0F1115"/>
              </w:rPr>
            </w:pPr>
            <w:r>
              <w:rPr>
                <w:rStyle w:val="Strong"/>
                <w:rFonts w:asciiTheme="minorHAnsi" w:eastAsiaTheme="majorEastAsia" w:hAnsiTheme="minorHAnsi" w:cstheme="minorHAnsi"/>
                <w:b w:val="0"/>
                <w:bCs w:val="0"/>
                <w:color w:val="0F1115"/>
              </w:rPr>
              <w:t>-0.52</w:t>
            </w:r>
          </w:p>
        </w:tc>
        <w:tc>
          <w:tcPr>
            <w:tcW w:w="2700" w:type="dxa"/>
          </w:tcPr>
          <w:p w14:paraId="6E0CEEC8" w14:textId="0478FC0C" w:rsidR="00E55DFB" w:rsidRDefault="00E55DFB" w:rsidP="0057134C">
            <w:pPr>
              <w:spacing w:after="0" w:line="240" w:lineRule="auto"/>
              <w:jc w:val="center"/>
              <w:rPr>
                <w:rStyle w:val="Strong"/>
                <w:rFonts w:asciiTheme="minorHAnsi" w:eastAsiaTheme="majorEastAsia" w:hAnsiTheme="minorHAnsi" w:cstheme="minorHAnsi"/>
                <w:b w:val="0"/>
                <w:bCs w:val="0"/>
                <w:color w:val="0F1115"/>
              </w:rPr>
            </w:pPr>
            <w:r>
              <w:rPr>
                <w:rStyle w:val="Strong"/>
                <w:rFonts w:asciiTheme="minorHAnsi" w:eastAsiaTheme="majorEastAsia" w:hAnsiTheme="minorHAnsi" w:cstheme="minorHAnsi"/>
                <w:b w:val="0"/>
                <w:bCs w:val="0"/>
                <w:color w:val="0F1115"/>
              </w:rPr>
              <w:t>0.007</w:t>
            </w:r>
          </w:p>
        </w:tc>
      </w:tr>
    </w:tbl>
    <w:p w14:paraId="309589E3" w14:textId="07115060" w:rsidR="00CD3E5F" w:rsidRDefault="00CD3E5F" w:rsidP="007C1024"/>
    <w:bookmarkEnd w:id="2"/>
    <w:bookmarkEnd w:id="3"/>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14:paraId="2DBFA962" w14:textId="77777777" w:rsidR="00F05AA4" w:rsidRDefault="00F05AA4">
      <w:pPr>
        <w:spacing w:after="160" w:line="278" w:lineRule="auto"/>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194D6E6F" w14:textId="194CAE19" w:rsidR="00D24AC9" w:rsidRPr="00D24AC9" w:rsidRDefault="001F5FA7" w:rsidP="00D24AC9">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lastRenderedPageBreak/>
        <w:t>Discussion</w:t>
      </w:r>
      <w:r w:rsidR="003B11FD">
        <w:rPr>
          <w:rFonts w:eastAsia="Times New Roman" w:cs="Times New Roman"/>
          <w:b/>
          <w:bCs/>
          <w:kern w:val="0"/>
          <w:sz w:val="36"/>
          <w:szCs w:val="36"/>
          <w14:ligatures w14:val="none"/>
        </w:rPr>
        <w:t xml:space="preserve"> (early draft)</w:t>
      </w:r>
    </w:p>
    <w:p w14:paraId="4A926A38" w14:textId="77777777" w:rsidR="00D24AC9" w:rsidRPr="00D24AC9" w:rsidRDefault="00D24AC9" w:rsidP="00D24AC9">
      <w:pPr>
        <w:spacing w:before="100" w:beforeAutospacing="1" w:after="100" w:afterAutospacing="1" w:line="240" w:lineRule="auto"/>
        <w:outlineLvl w:val="2"/>
        <w:rPr>
          <w:rFonts w:eastAsia="Times New Roman" w:cs="Times New Roman"/>
          <w:b/>
          <w:bCs/>
          <w:kern w:val="0"/>
          <w:sz w:val="27"/>
          <w:szCs w:val="27"/>
          <w14:ligatures w14:val="none"/>
        </w:rPr>
      </w:pPr>
      <w:r w:rsidRPr="00D24AC9">
        <w:rPr>
          <w:rFonts w:eastAsia="Times New Roman" w:cs="Times New Roman"/>
          <w:b/>
          <w:bCs/>
          <w:kern w:val="0"/>
          <w:sz w:val="27"/>
          <w:szCs w:val="27"/>
          <w14:ligatures w14:val="none"/>
        </w:rPr>
        <w:t>Within-Event Stability (±12 Weeks)</w:t>
      </w:r>
    </w:p>
    <w:p w14:paraId="6E01D4A3" w14:textId="7DF93562" w:rsidR="00D24AC9" w:rsidRPr="00D24AC9" w:rsidRDefault="00D24AC9" w:rsidP="00D24AC9">
      <w:pPr>
        <w:spacing w:before="100" w:beforeAutospacing="1" w:after="100" w:afterAutospacing="1" w:line="240" w:lineRule="auto"/>
        <w:rPr>
          <w:rFonts w:eastAsia="Times New Roman" w:cs="Times New Roman"/>
          <w:kern w:val="0"/>
          <w14:ligatures w14:val="none"/>
        </w:rPr>
      </w:pPr>
      <w:r w:rsidRPr="00D24AC9">
        <w:rPr>
          <w:rFonts w:eastAsia="Times New Roman" w:cs="Times New Roman"/>
          <w:kern w:val="0"/>
          <w14:ligatures w14:val="none"/>
        </w:rPr>
        <w:t xml:space="preserve">Across twenty-six 90° planetary configurations, the median variance ratio Var(during)/Var(pre) was </w:t>
      </w:r>
      <w:r w:rsidRPr="003B11FD">
        <w:rPr>
          <w:rFonts w:eastAsia="Times New Roman" w:cs="Times New Roman"/>
          <w:kern w:val="0"/>
          <w14:ligatures w14:val="none"/>
        </w:rPr>
        <w:t>0.56</w:t>
      </w:r>
      <w:r w:rsidRPr="00D24AC9">
        <w:rPr>
          <w:rFonts w:eastAsia="Times New Roman" w:cs="Times New Roman"/>
          <w:kern w:val="0"/>
          <w14:ligatures w14:val="none"/>
        </w:rPr>
        <w:t xml:space="preserve">, and Var(during)/Var(post) was </w:t>
      </w:r>
      <w:r w:rsidRPr="003B11FD">
        <w:rPr>
          <w:rFonts w:eastAsia="Times New Roman" w:cs="Times New Roman"/>
          <w:kern w:val="0"/>
          <w14:ligatures w14:val="none"/>
        </w:rPr>
        <w:t>0.71</w:t>
      </w:r>
      <w:r w:rsidRPr="00D24AC9">
        <w:rPr>
          <w:rFonts w:eastAsia="Times New Roman" w:cs="Times New Roman"/>
          <w:kern w:val="0"/>
          <w14:ligatures w14:val="none"/>
        </w:rPr>
        <w:t xml:space="preserve">. Twenty-two of 26 configurations (85%) exhibited lower variance during configurations than in the preceding twelve weeks (one-sided binomial p = </w:t>
      </w:r>
      <w:r w:rsidRPr="003B11FD">
        <w:rPr>
          <w:rFonts w:eastAsia="Times New Roman" w:cs="Times New Roman"/>
          <w:kern w:val="0"/>
          <w14:ligatures w14:val="none"/>
        </w:rPr>
        <w:t>0.0003</w:t>
      </w:r>
      <w:r w:rsidRPr="00D24AC9">
        <w:rPr>
          <w:rFonts w:eastAsia="Times New Roman" w:cs="Times New Roman"/>
          <w:kern w:val="0"/>
          <w14:ligatures w14:val="none"/>
        </w:rPr>
        <w:t xml:space="preserve">), while seventeen (65%) showed lower variance relative to the following twelve weeks (p </w:t>
      </w:r>
      <w:r w:rsidRPr="003B11FD">
        <w:rPr>
          <w:rFonts w:eastAsia="Times New Roman" w:cs="Times New Roman"/>
          <w:kern w:val="0"/>
          <w14:ligatures w14:val="none"/>
        </w:rPr>
        <w:t>= 0.08).</w:t>
      </w:r>
      <w:r w:rsidRPr="00D24AC9">
        <w:rPr>
          <w:rFonts w:eastAsia="Times New Roman" w:cs="Times New Roman"/>
          <w:kern w:val="0"/>
          <w14:ligatures w14:val="none"/>
        </w:rPr>
        <w:t xml:space="preserve"> The median within-event Spearman trend correlation was </w:t>
      </w:r>
      <w:r w:rsidRPr="003B11FD">
        <w:rPr>
          <w:rFonts w:eastAsia="Times New Roman" w:cs="Times New Roman"/>
          <w:kern w:val="0"/>
          <w14:ligatures w14:val="none"/>
        </w:rPr>
        <w:t>0.65</w:t>
      </w:r>
      <w:r w:rsidRPr="00D24AC9">
        <w:rPr>
          <w:rFonts w:eastAsia="Times New Roman" w:cs="Times New Roman"/>
          <w:kern w:val="0"/>
          <w14:ligatures w14:val="none"/>
        </w:rPr>
        <w:t xml:space="preserve">, indicating a consistent monotonic decline in true solar activity across configuration intervals when the inverted scale is considered. These results demonstrate that the stabilization effect persists across multiple solar rotations and provide strong statistical support for transient </w:t>
      </w:r>
      <w:r w:rsidRPr="003B11FD">
        <w:rPr>
          <w:rFonts w:eastAsia="Times New Roman" w:cs="Times New Roman"/>
          <w:kern w:val="0"/>
          <w14:ligatures w14:val="none"/>
        </w:rPr>
        <w:t>laminar flow</w:t>
      </w:r>
      <w:r w:rsidRPr="00D24AC9">
        <w:rPr>
          <w:rFonts w:eastAsia="Times New Roman" w:cs="Times New Roman"/>
          <w:kern w:val="0"/>
          <w14:ligatures w14:val="none"/>
        </w:rPr>
        <w:t xml:space="preserve"> within the Sun’s convective zone during 90° configurations.</w:t>
      </w:r>
    </w:p>
    <w:p w14:paraId="294133B2" w14:textId="77777777" w:rsidR="00D24AC9" w:rsidRPr="00D24AC9" w:rsidRDefault="00D24AC9" w:rsidP="00D24AC9">
      <w:pPr>
        <w:spacing w:before="100" w:beforeAutospacing="1" w:after="100" w:afterAutospacing="1" w:line="240" w:lineRule="auto"/>
        <w:outlineLvl w:val="2"/>
        <w:rPr>
          <w:rFonts w:eastAsia="Times New Roman" w:cs="Times New Roman"/>
          <w:b/>
          <w:bCs/>
          <w:kern w:val="0"/>
          <w:sz w:val="27"/>
          <w:szCs w:val="27"/>
          <w14:ligatures w14:val="none"/>
        </w:rPr>
      </w:pPr>
      <w:r w:rsidRPr="00D24AC9">
        <w:rPr>
          <w:rFonts w:eastAsia="Times New Roman" w:cs="Times New Roman"/>
          <w:b/>
          <w:bCs/>
          <w:kern w:val="0"/>
          <w:sz w:val="27"/>
          <w:szCs w:val="27"/>
          <w14:ligatures w14:val="none"/>
        </w:rPr>
        <w:t>Transition to Market Response Analysis</w:t>
      </w:r>
    </w:p>
    <w:p w14:paraId="45690E41" w14:textId="77777777" w:rsidR="00D24AC9" w:rsidRPr="00D24AC9" w:rsidRDefault="00D24AC9" w:rsidP="00D24AC9">
      <w:pPr>
        <w:spacing w:before="100" w:beforeAutospacing="1" w:after="100" w:afterAutospacing="1" w:line="240" w:lineRule="auto"/>
        <w:rPr>
          <w:rFonts w:eastAsia="Times New Roman" w:cs="Times New Roman"/>
          <w:kern w:val="0"/>
          <w14:ligatures w14:val="none"/>
        </w:rPr>
      </w:pPr>
      <w:r w:rsidRPr="00D24AC9">
        <w:rPr>
          <w:rFonts w:eastAsia="Times New Roman" w:cs="Times New Roman"/>
          <w:kern w:val="0"/>
          <w14:ligatures w14:val="none"/>
        </w:rPr>
        <w:t>If 90° configurations correspond to periods of enhanced laminar flow within the Sun’s convective zone, the resulting reduction in solar variability should propagate outward through the heliosphere and influence the electromagnetic environment near Earth. The preceding analyses confirm that such stabilization occurs repeatedly and with statistical significance, implying that the Sun’s convective dynamics—and thus its low-frequency energy output—are synchronized with specific planetary geometries. Within the broader framework, this laminarization phase should enhance ionospheric stability and the coherence of global electromagnetic standing waves. Because those standing waves interact with human neurophysiology, the stabilization of solar output could plausibly influence collective mood and decision-making.</w:t>
      </w:r>
    </w:p>
    <w:p w14:paraId="6A549E3D" w14:textId="62482834" w:rsidR="00D24AC9" w:rsidRPr="00D24AC9" w:rsidRDefault="00D24AC9" w:rsidP="00D24AC9">
      <w:pPr>
        <w:spacing w:before="100" w:beforeAutospacing="1" w:after="100" w:afterAutospacing="1" w:line="240" w:lineRule="auto"/>
        <w:rPr>
          <w:rFonts w:eastAsia="Times New Roman" w:cs="Times New Roman"/>
          <w:kern w:val="0"/>
          <w14:ligatures w14:val="none"/>
        </w:rPr>
      </w:pPr>
      <w:r w:rsidRPr="00D24AC9">
        <w:rPr>
          <w:rFonts w:eastAsia="Times New Roman" w:cs="Times New Roman"/>
          <w:kern w:val="0"/>
          <w14:ligatures w14:val="none"/>
        </w:rPr>
        <w:t xml:space="preserve">If this interpretation is correct, aggregate investor sentiment should follow a predictable temporal pattern around each configuration cluster. Specifically, optimism and risk-taking should increase before and during clusters as solar conditions stabilize, leading to strong positive market returns and local price peaks within the cluster. As the configuration sequence ends and turbulence re-emerges, sentiment should reverse, producing sustained negative returns after the cluster. </w:t>
      </w:r>
    </w:p>
    <w:p w14:paraId="4B478711" w14:textId="77777777" w:rsidR="00D24AC9" w:rsidRPr="00D24AC9" w:rsidRDefault="00000000" w:rsidP="00D24AC9">
      <w:pPr>
        <w:spacing w:after="0" w:line="240" w:lineRule="auto"/>
        <w:rPr>
          <w:rFonts w:eastAsia="Times New Roman" w:cs="Times New Roman"/>
          <w:kern w:val="0"/>
          <w14:ligatures w14:val="none"/>
        </w:rPr>
      </w:pPr>
      <w:r>
        <w:rPr>
          <w:rFonts w:eastAsia="Times New Roman" w:cs="Times New Roman"/>
          <w:kern w:val="0"/>
          <w14:ligatures w14:val="none"/>
        </w:rPr>
        <w:pict w14:anchorId="320F5116">
          <v:rect id="_x0000_i1026" style="width:0;height:1.5pt" o:hralign="center" o:hrstd="t" o:hr="t" fillcolor="#a0a0a0" stroked="f"/>
        </w:pict>
      </w:r>
    </w:p>
    <w:p w14:paraId="079C619C" w14:textId="053B4037" w:rsidR="003A7013" w:rsidRDefault="003A7013">
      <w:pPr>
        <w:spacing w:after="160" w:line="278" w:lineRule="auto"/>
      </w:pPr>
    </w:p>
    <w:p w14:paraId="0F7EBD57" w14:textId="77777777" w:rsidR="00D24AC9" w:rsidRDefault="00D24AC9">
      <w:pPr>
        <w:spacing w:after="160" w:line="278" w:lineRule="auto"/>
      </w:pPr>
    </w:p>
    <w:p w14:paraId="7146877B" w14:textId="77777777" w:rsidR="003B11FD" w:rsidRDefault="003B11FD">
      <w:pPr>
        <w:spacing w:after="160" w:line="278" w:lineRule="auto"/>
        <w:rPr>
          <w:rFonts w:eastAsiaTheme="majorEastAsia" w:cstheme="majorBidi"/>
          <w:b/>
          <w:color w:val="000000" w:themeColor="text1"/>
          <w:sz w:val="28"/>
          <w:szCs w:val="32"/>
        </w:rPr>
      </w:pPr>
      <w:r>
        <w:br w:type="page"/>
      </w:r>
    </w:p>
    <w:p w14:paraId="0C716A33" w14:textId="71CC6F2C" w:rsidR="004F3F2B" w:rsidRDefault="004F3F2B" w:rsidP="004F3F2B">
      <w:pPr>
        <w:pStyle w:val="Heading1"/>
      </w:pPr>
      <w:r>
        <w:lastRenderedPageBreak/>
        <w:t>Appendices</w:t>
      </w:r>
    </w:p>
    <w:p w14:paraId="709E3637" w14:textId="77777777" w:rsidR="004F3F2B" w:rsidRPr="006A4529" w:rsidRDefault="004F3F2B" w:rsidP="004F3F2B">
      <w:pPr>
        <w:pStyle w:val="Heading2"/>
      </w:pPr>
      <w:bookmarkStart w:id="36" w:name="_Toc207989453"/>
      <w:bookmarkStart w:id="37" w:name="_Toc211322313"/>
      <w:bookmarkStart w:id="38" w:name="_Toc211854486"/>
      <w:r w:rsidRPr="006A4529">
        <w:t>Appendix G –Solar Energy Metrics, Sources and Our Adjustments</w:t>
      </w:r>
      <w:bookmarkEnd w:id="36"/>
      <w:bookmarkEnd w:id="37"/>
      <w:bookmarkEnd w:id="38"/>
    </w:p>
    <w:p w14:paraId="0092CDF3" w14:textId="77777777" w:rsidR="004F3F2B" w:rsidRPr="006A4529" w:rsidRDefault="004F3F2B" w:rsidP="004F3F2B">
      <w:pPr>
        <w:pStyle w:val="NormalWeb"/>
      </w:pPr>
      <w:r w:rsidRPr="006A4529">
        <w:rPr>
          <w:color w:val="000000" w:themeColor="text1"/>
        </w:rPr>
        <w:t>This appendix describes the sources, transformation steps, and analytical roles of key solar energy metrics used in this study.</w:t>
      </w:r>
      <w:bookmarkStart w:id="39" w:name="_Toc207989419"/>
      <w:bookmarkStart w:id="40" w:name="_Toc208034518"/>
      <w:bookmarkStart w:id="41" w:name="_Toc208034642"/>
      <w:bookmarkStart w:id="42" w:name="_Hlk206939332"/>
    </w:p>
    <w:p w14:paraId="1AF3A165" w14:textId="77777777" w:rsidR="004F3F2B" w:rsidRDefault="004F3F2B" w:rsidP="004F3F2B">
      <w:pPr>
        <w:pStyle w:val="Heading3"/>
      </w:pPr>
      <w:bookmarkStart w:id="43" w:name="_Toc211323346"/>
      <w:bookmarkStart w:id="44" w:name="_Toc211323425"/>
      <w:bookmarkStart w:id="45" w:name="_Toc211854341"/>
      <w:bookmarkStart w:id="46" w:name="_Toc211854420"/>
      <w:r w:rsidRPr="006A4529">
        <w:t>Sunspot Number (Inverted Scale)</w:t>
      </w:r>
      <w:bookmarkEnd w:id="39"/>
      <w:bookmarkEnd w:id="40"/>
      <w:bookmarkEnd w:id="41"/>
      <w:bookmarkEnd w:id="43"/>
      <w:bookmarkEnd w:id="44"/>
      <w:bookmarkEnd w:id="45"/>
      <w:bookmarkEnd w:id="46"/>
    </w:p>
    <w:p w14:paraId="0F83696D" w14:textId="77777777" w:rsidR="004F3F2B" w:rsidRPr="006A4529" w:rsidRDefault="004F3F2B" w:rsidP="004F3F2B">
      <w:pPr>
        <w:pStyle w:val="NormalWeb"/>
        <w:spacing w:after="0"/>
        <w:rPr>
          <w:color w:val="000000" w:themeColor="text1"/>
        </w:rPr>
      </w:pPr>
      <w:r w:rsidRPr="006B041F">
        <w:rPr>
          <w:color w:val="000000" w:themeColor="text1"/>
        </w:rPr>
        <w:t>The international sunspot number (SSN) is a standardized count of sunspot groups and individual spots on the solar surface. Higher values correspond to stronger solar magnetic activity and increased solar emissions. For this analysis, the SSN is inverted and normalized to align with market sentiment models, since periods of lower solar activity tend to coincide with higher investor confidence. Data are obtained from the Solar Influences Data Analysis Center (SILSO) and distributed by the GFZ German Research Centre for Geosciences. The GFZ sunspot number is the same as the International Sunspot Number (Rz), republished alongside long-term geomagnetic indices such as the aa and Ap indices (both of which measure variations in the Earth's magnetic field; the aa index extends back to 1868 and serves as a long-term proxy for solar wind activity), providing a uniform dataset widely used in solar–terrestrial research.</w:t>
      </w:r>
    </w:p>
    <w:p w14:paraId="3F702F63" w14:textId="77777777" w:rsidR="004F3F2B" w:rsidRPr="006A4529" w:rsidRDefault="004F3F2B" w:rsidP="004F3F2B">
      <w:pPr>
        <w:pStyle w:val="Heading3"/>
      </w:pPr>
      <w:bookmarkStart w:id="47" w:name="_Toc207989423"/>
      <w:bookmarkStart w:id="48" w:name="_Toc208034522"/>
      <w:bookmarkStart w:id="49" w:name="_Toc208034646"/>
      <w:bookmarkStart w:id="50" w:name="_Toc208035068"/>
      <w:bookmarkStart w:id="51" w:name="_Toc211323350"/>
      <w:bookmarkStart w:id="52" w:name="_Toc211323429"/>
      <w:bookmarkStart w:id="53" w:name="_Toc211854345"/>
      <w:bookmarkStart w:id="54" w:name="_Toc211854424"/>
      <w:r w:rsidRPr="006A4529">
        <w:t>Orientation</w:t>
      </w:r>
      <w:bookmarkEnd w:id="47"/>
      <w:bookmarkEnd w:id="48"/>
      <w:bookmarkEnd w:id="49"/>
      <w:bookmarkEnd w:id="50"/>
      <w:bookmarkEnd w:id="51"/>
      <w:bookmarkEnd w:id="52"/>
      <w:bookmarkEnd w:id="53"/>
      <w:bookmarkEnd w:id="54"/>
    </w:p>
    <w:p w14:paraId="4DD6AE4F" w14:textId="77777777" w:rsidR="004F3F2B" w:rsidRPr="006A4529" w:rsidRDefault="004F3F2B" w:rsidP="004F3F2B">
      <w:pPr>
        <w:pStyle w:val="NormalWeb"/>
        <w:rPr>
          <w:color w:val="000000" w:themeColor="text1"/>
        </w:rPr>
      </w:pPr>
      <w:r w:rsidRPr="006A4529">
        <w:rPr>
          <w:color w:val="000000" w:themeColor="text1"/>
        </w:rPr>
        <w:t>Each of these solar metrics captures a distinct aspect of solar-terrestrial interaction. Inversion and normalization are used to align them with sentiment data. Except for the techniques mentioned above, we did not apply time lags to artificially enhance correlation with market sentiment. </w:t>
      </w:r>
    </w:p>
    <w:bookmarkEnd w:id="42"/>
    <w:p w14:paraId="3FE9FDD7" w14:textId="77777777" w:rsidR="004F3F2B" w:rsidRDefault="004F3F2B" w:rsidP="004F3F2B">
      <w:pPr>
        <w:spacing w:after="160" w:line="278" w:lineRule="auto"/>
        <w:rPr>
          <w:rFonts w:eastAsiaTheme="majorEastAsia" w:cstheme="majorBidi"/>
          <w:b/>
          <w:color w:val="000000" w:themeColor="text1"/>
          <w:sz w:val="28"/>
          <w:szCs w:val="32"/>
        </w:rPr>
      </w:pPr>
      <w:r>
        <w:br w:type="page"/>
      </w:r>
    </w:p>
    <w:p w14:paraId="04BFD233" w14:textId="77777777" w:rsidR="004F3F2B" w:rsidRPr="006A4529" w:rsidRDefault="004F3F2B" w:rsidP="004F3F2B">
      <w:pPr>
        <w:pStyle w:val="Heading2"/>
      </w:pPr>
      <w:bookmarkStart w:id="55" w:name="_Toc211854491"/>
      <w:r w:rsidRPr="006A4529">
        <w:lastRenderedPageBreak/>
        <w:t>Appendix L – The Role of Right-Angle Geometry in Astrophysics</w:t>
      </w:r>
      <w:bookmarkEnd w:id="55"/>
      <w:r w:rsidRPr="006A4529">
        <w:t xml:space="preserve"> </w:t>
      </w:r>
    </w:p>
    <w:p w14:paraId="4DEF9E42" w14:textId="77777777" w:rsidR="004F3F2B" w:rsidRPr="006A4529" w:rsidRDefault="004F3F2B" w:rsidP="004F3F2B">
      <w:r w:rsidRPr="006A4529">
        <w:t>The observation that Anxiety-Free Periods occur when the centers of inner and outer planetary orbits are separated by 90 degrees with the Sun at the vertex suggests that right-angle geometries may play a role in solar dynamics. While this specific application has not been previously proposed, astrophysical literature contains multiple contexts in which 90-degree angular relationships produce distinctive physical effects.</w:t>
      </w:r>
    </w:p>
    <w:p w14:paraId="7C97187F" w14:textId="77777777" w:rsidR="004F3F2B" w:rsidRPr="006A4529" w:rsidRDefault="004F3F2B" w:rsidP="004F3F2B">
      <w:pPr>
        <w:pStyle w:val="Heading3"/>
      </w:pPr>
      <w:bookmarkStart w:id="56" w:name="_Toc211323366"/>
      <w:bookmarkStart w:id="57" w:name="_Toc211323445"/>
      <w:bookmarkStart w:id="58" w:name="_Toc211854361"/>
      <w:bookmarkStart w:id="59" w:name="_Toc211854440"/>
      <w:r w:rsidRPr="006A4529">
        <w:t>Polarization of Light at 90 Degrees: Rayleigh Scattering</w:t>
      </w:r>
      <w:bookmarkEnd w:id="56"/>
      <w:bookmarkEnd w:id="57"/>
      <w:bookmarkEnd w:id="58"/>
      <w:bookmarkEnd w:id="59"/>
    </w:p>
    <w:p w14:paraId="4B93CE20" w14:textId="77777777" w:rsidR="004F3F2B" w:rsidRPr="006A4529" w:rsidRDefault="004F3F2B" w:rsidP="004F3F2B">
      <w:r w:rsidRPr="006A4529">
        <w:t>Rayleigh scattering occurs when light interacts with particles that are much smaller than its wavelength, such as molecules in Earth’s atmosphere. This scattering is stronger for shorter wavelengths, which is why the sky appears blue. Importantly, Rayleigh scattering is not only a change in the direction of light but also in its polarization (the orientation of the light waves). The degree of polarization depends on the angle between the incoming sunlight and the direction in which it is observed.</w:t>
      </w:r>
    </w:p>
    <w:p w14:paraId="0057838F" w14:textId="77777777" w:rsidR="004F3F2B" w:rsidRPr="006A4529" w:rsidRDefault="004F3F2B" w:rsidP="004F3F2B">
      <w:r w:rsidRPr="006A4529">
        <w:t>When this angle is 90 degrees, the polarization of the scattered light reaches its maximum. In practical terms, if one looks at a patch of the sky that is directly overhead when the Sun is on the horizon, the scattered light is highly polarized. This 90-degree geometry is routinely used in astrophysics and atmospheric physics to measure aerosols, detect planetary atmospheres, and study interstellar dust.</w:t>
      </w:r>
      <w:r w:rsidRPr="006A4529">
        <w:rPr>
          <w:rStyle w:val="FootnoteReference"/>
          <w:rFonts w:eastAsia="Times New Roman" w:cs="Times New Roman"/>
          <w:color w:val="000000" w:themeColor="text1"/>
          <w:kern w:val="0"/>
          <w14:ligatures w14:val="none"/>
        </w:rPr>
        <w:footnoteReference w:id="2"/>
      </w:r>
    </w:p>
    <w:p w14:paraId="385EC7F0" w14:textId="77777777" w:rsidR="004F3F2B" w:rsidRPr="006A4529" w:rsidRDefault="004F3F2B" w:rsidP="004F3F2B">
      <w:r w:rsidRPr="006A4529">
        <w:t>This example demonstrates that orthogonal geometries (90 degrees) are not arbitrary but mark special points of physical significance in the behavior of electromagnetic radiation.</w:t>
      </w:r>
    </w:p>
    <w:p w14:paraId="27290481" w14:textId="77777777" w:rsidR="004F3F2B" w:rsidRPr="006A4529" w:rsidRDefault="004F3F2B" w:rsidP="004F3F2B">
      <w:pPr>
        <w:pStyle w:val="Heading3"/>
      </w:pPr>
      <w:bookmarkStart w:id="60" w:name="_Toc211323367"/>
      <w:bookmarkStart w:id="61" w:name="_Toc211323446"/>
      <w:bookmarkStart w:id="62" w:name="_Toc211854362"/>
      <w:bookmarkStart w:id="63" w:name="_Toc211854441"/>
      <w:r w:rsidRPr="006A4529">
        <w:t>Tidal Forcing and Right-Angle Geometry</w:t>
      </w:r>
      <w:bookmarkEnd w:id="60"/>
      <w:bookmarkEnd w:id="61"/>
      <w:bookmarkEnd w:id="62"/>
      <w:bookmarkEnd w:id="63"/>
    </w:p>
    <w:p w14:paraId="6B9E8135" w14:textId="77777777" w:rsidR="004F3F2B" w:rsidRPr="006A4529" w:rsidRDefault="004F3F2B" w:rsidP="004F3F2B">
      <w:r w:rsidRPr="006A4529">
        <w:t>In celestial mechanics, the 90-degree separation of the Moon and Sun relative to Earth is known as quadrature. At this configuration, the tidal forces of the Sun and Moon act at right angles, partially cancelling one another. The result is a neap tide, a well-documented phenomenon where tidal range is minimized due to orthogonal force vectors.</w:t>
      </w:r>
      <w:r w:rsidRPr="006A4529">
        <w:rPr>
          <w:rStyle w:val="FootnoteReference"/>
          <w:rFonts w:eastAsia="Times New Roman" w:cs="Times New Roman"/>
          <w:color w:val="000000" w:themeColor="text1"/>
          <w:kern w:val="0"/>
          <w14:ligatures w14:val="none"/>
        </w:rPr>
        <w:footnoteReference w:id="3"/>
      </w:r>
      <w:r w:rsidRPr="006A4529">
        <w:t xml:space="preserve"> This provides a clear example of how right-angle alignments reduce the coherence of otherwise reinforcing astrophysical forces.</w:t>
      </w:r>
    </w:p>
    <w:p w14:paraId="3ACFBEDF" w14:textId="77777777" w:rsidR="004F3F2B" w:rsidRPr="006A4529" w:rsidRDefault="004F3F2B" w:rsidP="004F3F2B">
      <w:pPr>
        <w:pStyle w:val="Heading3"/>
      </w:pPr>
      <w:bookmarkStart w:id="64" w:name="_Toc211323368"/>
      <w:bookmarkStart w:id="65" w:name="_Toc211323447"/>
      <w:bookmarkStart w:id="66" w:name="_Toc211854363"/>
      <w:bookmarkStart w:id="67" w:name="_Toc211854442"/>
      <w:r w:rsidRPr="006A4529">
        <w:t>Turbulence and Magnetic Field Orientation</w:t>
      </w:r>
      <w:bookmarkEnd w:id="64"/>
      <w:bookmarkEnd w:id="65"/>
      <w:bookmarkEnd w:id="66"/>
      <w:bookmarkEnd w:id="67"/>
    </w:p>
    <w:p w14:paraId="4EDA4B26" w14:textId="77777777" w:rsidR="004F3F2B" w:rsidRPr="006A4529" w:rsidRDefault="004F3F2B" w:rsidP="004F3F2B">
      <w:r w:rsidRPr="006A4529">
        <w:t xml:space="preserve">In plasma astrophysics, turbulence and wave–particle interactions are strongly dependent on the angle between motion and magnetic fields. Energy transfer in solar wind turbulence is anisotropic, favoring directions perpendicular to the mean magnetic field. Perpendicular (near 90-degree) orientations can enhance nonlinear interactions, leading to altered transport and </w:t>
      </w:r>
      <w:r w:rsidRPr="006A4529">
        <w:lastRenderedPageBreak/>
        <w:t>dissipation of energy.</w:t>
      </w:r>
      <w:r w:rsidRPr="006A4529">
        <w:rPr>
          <w:rStyle w:val="FootnoteReference"/>
          <w:rFonts w:eastAsia="Times New Roman" w:cs="Times New Roman"/>
          <w:color w:val="000000" w:themeColor="text1"/>
          <w:kern w:val="0"/>
          <w14:ligatures w14:val="none"/>
        </w:rPr>
        <w:footnoteReference w:id="4"/>
      </w:r>
      <w:r w:rsidRPr="006A4529">
        <w:t xml:space="preserve"> </w:t>
      </w:r>
      <w:r w:rsidRPr="006A4529">
        <w:rPr>
          <w:rStyle w:val="FootnoteReference"/>
          <w:rFonts w:eastAsia="Times New Roman" w:cs="Times New Roman"/>
          <w:color w:val="000000" w:themeColor="text1"/>
          <w:kern w:val="0"/>
          <w14:ligatures w14:val="none"/>
        </w:rPr>
        <w:footnoteReference w:id="5"/>
      </w:r>
      <w:r w:rsidRPr="006A4529">
        <w:t xml:space="preserve"> Similarly, cyclotron resonance occurs when charged particles interact with electromagnetic waves at pitch angles near 90 degrees, a geometry that maximizes wave–particle coupling in some regimes.</w:t>
      </w:r>
      <w:r w:rsidRPr="006A4529">
        <w:rPr>
          <w:rStyle w:val="FootnoteReference"/>
          <w:rFonts w:eastAsia="Times New Roman" w:cs="Times New Roman"/>
          <w:color w:val="000000" w:themeColor="text1"/>
          <w:kern w:val="0"/>
          <w14:ligatures w14:val="none"/>
        </w:rPr>
        <w:footnoteReference w:id="6"/>
      </w:r>
    </w:p>
    <w:p w14:paraId="2781DE5A" w14:textId="77777777" w:rsidR="004F3F2B" w:rsidRPr="006A4529" w:rsidRDefault="004F3F2B" w:rsidP="004F3F2B">
      <w:pPr>
        <w:pStyle w:val="Heading3"/>
      </w:pPr>
      <w:bookmarkStart w:id="68" w:name="_Toc211323369"/>
      <w:bookmarkStart w:id="69" w:name="_Toc211323448"/>
      <w:bookmarkStart w:id="70" w:name="_Toc211854364"/>
      <w:bookmarkStart w:id="71" w:name="_Toc211854443"/>
      <w:r w:rsidRPr="006A4529">
        <w:t>Dynamo Symmetry and Orthogonal Forcing</w:t>
      </w:r>
      <w:bookmarkEnd w:id="68"/>
      <w:bookmarkEnd w:id="69"/>
      <w:bookmarkEnd w:id="70"/>
      <w:bookmarkEnd w:id="71"/>
    </w:p>
    <w:p w14:paraId="3C3BEB9A" w14:textId="77777777" w:rsidR="004F3F2B" w:rsidRPr="006A4529" w:rsidRDefault="004F3F2B" w:rsidP="004F3F2B">
      <w:r w:rsidRPr="006A4529">
        <w:t>The solar dynamo, which underlies sunspot formation, is highly sensitive to changes in boundary conditions and symmetry breaking. External gravitational or electromagnetic influences that act at right angles to existing field structures may perturb the coherence of the dynamo in ways that differ qualitatively from in-line alignments (0° or 180°). Although direct evidence is limited, models of magnetic field evolution emphasize the role of symmetry and angular orientation in maintaining or disrupting coherent magnetic structures.</w:t>
      </w:r>
      <w:r w:rsidRPr="006A4529">
        <w:rPr>
          <w:rStyle w:val="FootnoteReference"/>
          <w:rFonts w:eastAsia="Times New Roman" w:cs="Times New Roman"/>
          <w:color w:val="000000" w:themeColor="text1"/>
          <w:kern w:val="0"/>
          <w14:ligatures w14:val="none"/>
        </w:rPr>
        <w:footnoteReference w:id="7"/>
      </w:r>
    </w:p>
    <w:p w14:paraId="61CA42AB" w14:textId="77777777" w:rsidR="004F3F2B" w:rsidRPr="006A4529" w:rsidRDefault="004F3F2B" w:rsidP="004F3F2B">
      <w:pPr>
        <w:pStyle w:val="Heading3"/>
      </w:pPr>
      <w:bookmarkStart w:id="72" w:name="_Toc211323370"/>
      <w:bookmarkStart w:id="73" w:name="_Toc211323449"/>
      <w:bookmarkStart w:id="74" w:name="_Toc211854365"/>
      <w:bookmarkStart w:id="75" w:name="_Toc211854444"/>
      <w:r w:rsidRPr="006A4529">
        <w:t>Relevance to Anxiety-Free Periods</w:t>
      </w:r>
      <w:bookmarkEnd w:id="72"/>
      <w:bookmarkEnd w:id="73"/>
      <w:bookmarkEnd w:id="74"/>
      <w:bookmarkEnd w:id="75"/>
    </w:p>
    <w:p w14:paraId="276C7E27" w14:textId="77777777" w:rsidR="004F3F2B" w:rsidRPr="006A4529" w:rsidRDefault="004F3F2B" w:rsidP="004F3F2B">
      <w:r w:rsidRPr="006A4529">
        <w:t xml:space="preserve">Taken together, these examples highlight that right-angle geometries are not neutral but often associated with reduced coherence, enhanced cross-field interaction, or distinct dynamical states. By analogy, when the inner and outer orbital centers form a 90-degree angle with the Sun, the orthogonal geometry may act to redistribute or dampen turbulence in the solar wind. Such changes could propagate into the solar dynamo, manifesting as altered sunspot numbers. This interpretation provides a </w:t>
      </w:r>
      <w:r>
        <w:t>physics</w:t>
      </w:r>
      <w:r w:rsidRPr="006A4529">
        <w:t>-based framework linking orbital geometry to solar variability, consistent with the empirical correlation of AFPs and sunspot changes.</w:t>
      </w:r>
    </w:p>
    <w:p w14:paraId="08306474" w14:textId="77777777" w:rsidR="004F3F2B" w:rsidRDefault="004F3F2B" w:rsidP="004F3F2B">
      <w:pPr>
        <w:spacing w:after="160" w:line="278" w:lineRule="auto"/>
      </w:pPr>
      <w:r>
        <w:br w:type="page"/>
      </w:r>
    </w:p>
    <w:p w14:paraId="2A0D680C" w14:textId="77777777" w:rsidR="004F3F2B" w:rsidRPr="006A4529" w:rsidRDefault="004F3F2B" w:rsidP="004F3F2B">
      <w:pPr>
        <w:pStyle w:val="Heading2"/>
      </w:pPr>
      <w:bookmarkStart w:id="76" w:name="_Toc207989460"/>
      <w:bookmarkStart w:id="77" w:name="_Toc211322317"/>
      <w:bookmarkStart w:id="78" w:name="_Toc211854490"/>
      <w:r w:rsidRPr="006A4529">
        <w:lastRenderedPageBreak/>
        <w:t>Appendix K – Emission Preservation Zone</w:t>
      </w:r>
      <w:bookmarkEnd w:id="76"/>
      <w:bookmarkEnd w:id="77"/>
      <w:bookmarkEnd w:id="78"/>
      <w:r w:rsidRPr="006A4529">
        <w:t xml:space="preserve"> </w:t>
      </w:r>
    </w:p>
    <w:p w14:paraId="5F5D51B9" w14:textId="77777777" w:rsidR="004F3F2B" w:rsidRPr="006A4529" w:rsidRDefault="004F3F2B" w:rsidP="004F3F2B">
      <w:r w:rsidRPr="006A4529">
        <w:t>We propose that when the magnetic environments of the outer planets—Jupiter, Saturn, Uranus, and Neptune—are clustered within a confined sector of the solar system, they contribute to the preservation of low-frequency electromagnetic emissions. In such a configuration, the overlapping planetary magnetospheres create an Emission Preservation Zone between the Sun and the cluster. This zone reduces the usual damping and scattering of extremely low-frequency perturbations, allowing them to remain coherent over greater distances and reach Earth more intact.</w:t>
      </w:r>
    </w:p>
    <w:p w14:paraId="1A151D58" w14:textId="77777777" w:rsidR="004F3F2B" w:rsidRPr="006A4529" w:rsidRDefault="004F3F2B" w:rsidP="004F3F2B">
      <w:pPr>
        <w:pStyle w:val="Heading3"/>
      </w:pPr>
      <w:bookmarkStart w:id="79" w:name="_Toc211323359"/>
      <w:bookmarkStart w:id="80" w:name="_Toc211323438"/>
      <w:bookmarkStart w:id="81" w:name="_Toc211854354"/>
      <w:bookmarkStart w:id="82" w:name="_Toc211854433"/>
      <w:r w:rsidRPr="006A4529">
        <w:t>Introduction</w:t>
      </w:r>
      <w:bookmarkEnd w:id="79"/>
      <w:bookmarkEnd w:id="80"/>
      <w:bookmarkEnd w:id="81"/>
      <w:bookmarkEnd w:id="82"/>
    </w:p>
    <w:p w14:paraId="37138B77" w14:textId="77777777" w:rsidR="004F3F2B" w:rsidRPr="006A4529" w:rsidRDefault="004F3F2B" w:rsidP="004F3F2B">
      <w:r w:rsidRPr="006A4529">
        <w:t>The heliosphere contains a spectrum of electromagnetic and plasma (magnetohydrodynamic, or MHD) fluctuations generated by solar activity. As these disturbances travel outward, small high-frequency ripples typically dissipate quickly through nonlinear cascade and heating. In contrast, large-scale, low-frequency fluctuations are more resilient and can persist well beyond the orbit of Saturn, more than ten astronomical units from the Sun.</w:t>
      </w:r>
      <w:r w:rsidRPr="006A4529">
        <w:rPr>
          <w:rStyle w:val="FootnoteReference"/>
          <w:color w:val="000000" w:themeColor="text1"/>
        </w:rPr>
        <w:footnoteReference w:id="8"/>
      </w:r>
    </w:p>
    <w:p w14:paraId="03DA2D8D" w14:textId="77777777" w:rsidR="004F3F2B" w:rsidRPr="006A4529" w:rsidRDefault="004F3F2B" w:rsidP="004F3F2B">
      <w:r w:rsidRPr="006A4529">
        <w:t>These low-frequency waves are particularly sensitive to large-scale plasma and magnetic structures. Unlike high-frequency radiation such as X-rays, which travels through the heliosphere largely unaffected, extremely low-frequency waves (below ~100 Hz) interact with the charged plasma environment. Their survival depends on the structure of the interplanetary medium they traverse.</w:t>
      </w:r>
      <w:r w:rsidRPr="006A4529">
        <w:rPr>
          <w:rStyle w:val="FootnoteReference"/>
          <w:color w:val="000000" w:themeColor="text1"/>
        </w:rPr>
        <w:footnoteReference w:id="9"/>
      </w:r>
      <w:r w:rsidRPr="006A4529">
        <w:t xml:space="preserve"> </w:t>
      </w:r>
      <w:r w:rsidRPr="006A4529">
        <w:rPr>
          <w:rStyle w:val="FootnoteReference"/>
          <w:color w:val="000000" w:themeColor="text1"/>
        </w:rPr>
        <w:footnoteReference w:id="10"/>
      </w:r>
    </w:p>
    <w:p w14:paraId="64121B1D" w14:textId="77777777" w:rsidR="004F3F2B" w:rsidRPr="006A4529" w:rsidRDefault="004F3F2B" w:rsidP="004F3F2B">
      <w:pPr>
        <w:pStyle w:val="Heading3"/>
      </w:pPr>
      <w:bookmarkStart w:id="83" w:name="_Toc211323360"/>
      <w:bookmarkStart w:id="84" w:name="_Toc211323439"/>
      <w:bookmarkStart w:id="85" w:name="_Toc211854355"/>
      <w:bookmarkStart w:id="86" w:name="_Toc211854434"/>
      <w:r w:rsidRPr="006A4529">
        <w:t>Emission Preservation Zone</w:t>
      </w:r>
      <w:bookmarkEnd w:id="83"/>
      <w:bookmarkEnd w:id="84"/>
      <w:bookmarkEnd w:id="85"/>
      <w:bookmarkEnd w:id="86"/>
    </w:p>
    <w:p w14:paraId="25A71DC6" w14:textId="77777777" w:rsidR="004F3F2B" w:rsidRPr="006A4529" w:rsidRDefault="004F3F2B" w:rsidP="004F3F2B">
      <w:r w:rsidRPr="006A4529">
        <w:t>When Jupiter, Saturn, Uranus, and Neptune cluster together, their combined magnetic fields may form a structured pathway in space. This environment can preserve extremely low-frequency perturbations by reducing phase distortion and scattering, enabling them to propagate coherently over long distances. The effect is not amplification but conservation: solar-origin signals that would normally decay before reaching Earth remain measurable at 1 AU.</w:t>
      </w:r>
    </w:p>
    <w:p w14:paraId="172E0089" w14:textId="77777777" w:rsidR="004F3F2B" w:rsidRPr="006A4529" w:rsidRDefault="004F3F2B" w:rsidP="004F3F2B">
      <w:r w:rsidRPr="006A4529">
        <w:t>By contrast, when the outer planets are more widely dispersed, the guiding effect weakens. In such periods, emissions scatter more readily, lose coherence, and dissipate before reaching Earth. This implies a geometry-dependent preservation of emissions: coherence is enhanced during clustering and diminished during dispersion.</w:t>
      </w:r>
    </w:p>
    <w:p w14:paraId="5AD745CF" w14:textId="77777777" w:rsidR="004F3F2B" w:rsidRPr="006A4529" w:rsidRDefault="004F3F2B" w:rsidP="004F3F2B">
      <w:pPr>
        <w:pStyle w:val="Heading3"/>
      </w:pPr>
      <w:bookmarkStart w:id="87" w:name="_Toc211323361"/>
      <w:bookmarkStart w:id="88" w:name="_Toc211323440"/>
      <w:bookmarkStart w:id="89" w:name="_Toc211854356"/>
      <w:bookmarkStart w:id="90" w:name="_Toc211854435"/>
      <w:r w:rsidRPr="006A4529">
        <w:lastRenderedPageBreak/>
        <w:t>An Antipodal Region of Greater Damping</w:t>
      </w:r>
      <w:bookmarkEnd w:id="87"/>
      <w:bookmarkEnd w:id="88"/>
      <w:bookmarkEnd w:id="89"/>
      <w:bookmarkEnd w:id="90"/>
    </w:p>
    <w:p w14:paraId="0F9DFF54" w14:textId="77777777" w:rsidR="004F3F2B" w:rsidRPr="006A4529" w:rsidRDefault="004F3F2B" w:rsidP="004F3F2B">
      <w:r w:rsidRPr="006A4529">
        <w:t>This hypothesis also suggests a corresponding antipodal region—opposite the planetary cluster—where no such preservation occurs. In this sector, the absence of organized magnetic structures increases damping and scattering, producing a more chaotic propagation environment.</w:t>
      </w:r>
    </w:p>
    <w:p w14:paraId="3B58E6EC" w14:textId="77777777" w:rsidR="004F3F2B" w:rsidRPr="006A4529" w:rsidRDefault="004F3F2B" w:rsidP="004F3F2B">
      <w:pPr>
        <w:pStyle w:val="Heading3"/>
      </w:pPr>
      <w:bookmarkStart w:id="91" w:name="_Toc211323362"/>
      <w:bookmarkStart w:id="92" w:name="_Toc211323441"/>
      <w:bookmarkStart w:id="93" w:name="_Toc211854357"/>
      <w:bookmarkStart w:id="94" w:name="_Toc211854436"/>
      <w:r w:rsidRPr="006A4529">
        <w:t>Magnetic Field Topology and Planetary Differences</w:t>
      </w:r>
      <w:bookmarkEnd w:id="91"/>
      <w:bookmarkEnd w:id="92"/>
      <w:bookmarkEnd w:id="93"/>
      <w:bookmarkEnd w:id="94"/>
    </w:p>
    <w:p w14:paraId="5C9FC86B" w14:textId="77777777" w:rsidR="004F3F2B" w:rsidRPr="006A4529" w:rsidRDefault="004F3F2B" w:rsidP="004F3F2B">
      <w:r w:rsidRPr="006A4529">
        <w:t>Jupiter and Saturn possess strong, largely dipolar magnetic fields aligned with their rotation axes. These stable magnetospheres, along with structures such as Jupiter’s Io plasma torus, inject plasma and support extended magnetotails that interact persistently with the solar wind.</w:t>
      </w:r>
      <w:r w:rsidRPr="006A4529">
        <w:rPr>
          <w:rStyle w:val="FootnoteReference"/>
          <w:color w:val="000000" w:themeColor="text1"/>
        </w:rPr>
        <w:footnoteReference w:id="11"/>
      </w:r>
      <w:r w:rsidRPr="006A4529">
        <w:t xml:space="preserve"> By contrast, Uranus and Neptune display highly tilted, multipolar magnetic fields that vary in orientation and coupling with the solar wind.</w:t>
      </w:r>
      <w:r w:rsidRPr="006A4529">
        <w:rPr>
          <w:rStyle w:val="FootnoteReference"/>
          <w:color w:val="000000" w:themeColor="text1"/>
        </w:rPr>
        <w:footnoteReference w:id="12"/>
      </w:r>
      <w:r w:rsidRPr="006A4529">
        <w:t xml:space="preserve"> </w:t>
      </w:r>
      <w:r w:rsidRPr="006A4529">
        <w:rPr>
          <w:rStyle w:val="FootnoteReference"/>
          <w:color w:val="000000" w:themeColor="text1"/>
        </w:rPr>
        <w:footnoteReference w:id="13"/>
      </w:r>
      <w:r w:rsidRPr="006A4529">
        <w:t xml:space="preserve"> Voyager observations confirm that these environments are sources of localized turbulence and wave activity. When clustered, the combined influence of these diverse magnetospheres may reinforce the preservation of solar-origin low-frequency perturbations.</w:t>
      </w:r>
    </w:p>
    <w:p w14:paraId="78D8A528" w14:textId="77777777" w:rsidR="004F3F2B" w:rsidRPr="006A4529" w:rsidRDefault="004F3F2B" w:rsidP="004F3F2B">
      <w:pPr>
        <w:pStyle w:val="Heading3"/>
      </w:pPr>
      <w:bookmarkStart w:id="95" w:name="_Toc211323363"/>
      <w:bookmarkStart w:id="96" w:name="_Toc211323442"/>
      <w:bookmarkStart w:id="97" w:name="_Toc211854358"/>
      <w:bookmarkStart w:id="98" w:name="_Toc211854437"/>
      <w:r w:rsidRPr="006A4529">
        <w:t>Analogies and Modeling Considerations</w:t>
      </w:r>
      <w:bookmarkEnd w:id="95"/>
      <w:bookmarkEnd w:id="96"/>
      <w:bookmarkEnd w:id="97"/>
      <w:bookmarkEnd w:id="98"/>
    </w:p>
    <w:p w14:paraId="2A44EC23" w14:textId="77777777" w:rsidR="004F3F2B" w:rsidRPr="006A4529" w:rsidRDefault="004F3F2B" w:rsidP="004F3F2B">
      <w:r w:rsidRPr="006A4529">
        <w:t>The Emission Preservation Zone can be likened to acoustic resonance in cathedrals, where architectural geometry sustains sound waves instead of damping them.</w:t>
      </w:r>
      <w:r w:rsidRPr="006A4529">
        <w:rPr>
          <w:rStyle w:val="FootnoteReference"/>
          <w:color w:val="000000" w:themeColor="text1"/>
        </w:rPr>
        <w:footnoteReference w:id="14"/>
      </w:r>
      <w:r w:rsidRPr="006A4529">
        <w:t xml:space="preserve"> In electromagnetic terms, it is similar to a waveguide or resonant cavity, where constructive interactions with boundary conditions allow certain frequencies to persist.</w:t>
      </w:r>
      <w:r w:rsidRPr="006A4529">
        <w:rPr>
          <w:rStyle w:val="FootnoteReference"/>
          <w:color w:val="000000" w:themeColor="text1"/>
        </w:rPr>
        <w:footnoteReference w:id="15"/>
      </w:r>
      <w:r w:rsidRPr="006A4529">
        <w:t xml:space="preserve"> These analogies highlight how geometry and structure can sustain energy transmission without amplification.</w:t>
      </w:r>
    </w:p>
    <w:p w14:paraId="3123D741" w14:textId="77777777" w:rsidR="004F3F2B" w:rsidRPr="006A4529" w:rsidRDefault="004F3F2B" w:rsidP="004F3F2B">
      <w:r w:rsidRPr="006A4529">
        <w:t>From a modeling standpoint, the outer planets should be treated as dynamic, spatially extended magnetic scatterers. Global MHD simulations that incorporate realistic planetary field geometries and heliospheric turbulence may clarify how clustering configurations alter the propagation of low-frequency waves.</w:t>
      </w:r>
    </w:p>
    <w:p w14:paraId="4705989A" w14:textId="77777777" w:rsidR="004F3F2B" w:rsidRPr="006A4529" w:rsidRDefault="004F3F2B" w:rsidP="004F3F2B">
      <w:pPr>
        <w:pStyle w:val="Heading3"/>
      </w:pPr>
      <w:bookmarkStart w:id="99" w:name="_Toc211323364"/>
      <w:bookmarkStart w:id="100" w:name="_Toc211323443"/>
      <w:bookmarkStart w:id="101" w:name="_Toc211854359"/>
      <w:bookmarkStart w:id="102" w:name="_Toc211854438"/>
      <w:r w:rsidRPr="006A4529">
        <w:t>Empirical Support</w:t>
      </w:r>
      <w:bookmarkEnd w:id="99"/>
      <w:bookmarkEnd w:id="100"/>
      <w:bookmarkEnd w:id="101"/>
      <w:bookmarkEnd w:id="102"/>
    </w:p>
    <w:p w14:paraId="3CBC2A6E" w14:textId="77777777" w:rsidR="004F3F2B" w:rsidRPr="006A4529" w:rsidRDefault="004F3F2B" w:rsidP="004F3F2B">
      <w:r w:rsidRPr="006A4529">
        <w:t xml:space="preserve">Our Study B shows that during outer-planet clustering, correlations among weekly solar activity indicators—including the Sunspot Number, Ap Index, and F10.7 flux—are elevated. This suggests that the interplanetary medium may offer less distortion in such periods. The Oulu Neutron Monitor, while not a direct measure of solar wind turbulence, also shows increased </w:t>
      </w:r>
      <w:r w:rsidRPr="006A4529">
        <w:lastRenderedPageBreak/>
        <w:t>coherence with solar indicators, consistent with changes in heliospheric structure during clustering episodes.</w:t>
      </w:r>
    </w:p>
    <w:p w14:paraId="19B499AD" w14:textId="77777777" w:rsidR="004F3F2B" w:rsidRPr="006A4529" w:rsidRDefault="004F3F2B" w:rsidP="004F3F2B">
      <w:pPr>
        <w:pStyle w:val="Heading3"/>
      </w:pPr>
      <w:bookmarkStart w:id="103" w:name="_Toc211323365"/>
      <w:bookmarkStart w:id="104" w:name="_Toc211323444"/>
      <w:bookmarkStart w:id="105" w:name="_Toc211854360"/>
      <w:bookmarkStart w:id="106" w:name="_Toc211854439"/>
      <w:r w:rsidRPr="006A4529">
        <w:t>Limitations and Uncertainties</w:t>
      </w:r>
      <w:bookmarkEnd w:id="103"/>
      <w:bookmarkEnd w:id="104"/>
      <w:bookmarkEnd w:id="105"/>
      <w:bookmarkEnd w:id="106"/>
    </w:p>
    <w:p w14:paraId="407841E9" w14:textId="77777777" w:rsidR="004F3F2B" w:rsidRDefault="004F3F2B" w:rsidP="004F3F2B">
      <w:pPr>
        <w:spacing w:after="160" w:line="278" w:lineRule="auto"/>
      </w:pPr>
      <w:r w:rsidRPr="006A4529">
        <w:t>Uncertainties remain in this hypothesis. While magnetospheres clearly shape local plasma structures, their collective effect across interplanetary distances has not been directly observed. Disentangling planetary effects from solar cycle variability poses challenges. The precise angular span defining a clustered state requires refinement, and global simulations capable of integrating planetary magnetospheres with heliospheric turbulence are still in development.</w:t>
      </w:r>
    </w:p>
    <w:p w14:paraId="60856D19" w14:textId="77777777" w:rsidR="004F3F2B" w:rsidRDefault="004F3F2B" w:rsidP="004F3F2B">
      <w:pPr>
        <w:spacing w:after="160" w:line="278" w:lineRule="auto"/>
      </w:pPr>
      <w:r>
        <w:br w:type="page"/>
      </w:r>
    </w:p>
    <w:p w14:paraId="07431A78" w14:textId="194879B2" w:rsidR="00D24AC9" w:rsidRPr="004F3F2B" w:rsidRDefault="00D24AC9" w:rsidP="004F3F2B">
      <w:pPr>
        <w:pStyle w:val="Heading2"/>
      </w:pPr>
      <w:r w:rsidRPr="004F3F2B">
        <w:lastRenderedPageBreak/>
        <w:t>Appendix: Statistical Verification and Replication Notes</w:t>
      </w:r>
    </w:p>
    <w:p w14:paraId="345B26EA" w14:textId="77777777" w:rsidR="00D24AC9" w:rsidRDefault="00D24AC9" w:rsidP="00D24AC9">
      <w:pPr>
        <w:pStyle w:val="Heading3"/>
      </w:pPr>
      <w:r>
        <w:t>A1. Data and Metrics</w:t>
      </w:r>
    </w:p>
    <w:p w14:paraId="27F0B720" w14:textId="77777777" w:rsidR="00D24AC9" w:rsidRDefault="00D24AC9" w:rsidP="00D24AC9">
      <w:pPr>
        <w:pStyle w:val="NormalWeb"/>
      </w:pPr>
      <w:r>
        <w:t>The analyses used two independent datasets:</w:t>
      </w:r>
    </w:p>
    <w:p w14:paraId="58AE117A" w14:textId="77777777" w:rsidR="00D24AC9" w:rsidRDefault="00D24AC9">
      <w:pPr>
        <w:pStyle w:val="NormalWeb"/>
        <w:numPr>
          <w:ilvl w:val="0"/>
          <w:numId w:val="6"/>
        </w:numPr>
      </w:pPr>
      <w:r>
        <w:rPr>
          <w:rStyle w:val="Strong"/>
          <w:rFonts w:eastAsiaTheme="majorEastAsia"/>
        </w:rPr>
        <w:t>Solar Stability Metric</w:t>
      </w:r>
      <w:r>
        <w:t xml:space="preserve"> – the inverse of weekly sunspot number (SIDC dataset), representing greater stability when values increase.</w:t>
      </w:r>
    </w:p>
    <w:p w14:paraId="28E160C5" w14:textId="77777777" w:rsidR="00D24AC9" w:rsidRDefault="00D24AC9">
      <w:pPr>
        <w:pStyle w:val="NormalWeb"/>
        <w:numPr>
          <w:ilvl w:val="1"/>
          <w:numId w:val="6"/>
        </w:numPr>
      </w:pPr>
      <w:r>
        <w:t>Variance calculated for pre-, during-, and post-configuration periods.</w:t>
      </w:r>
    </w:p>
    <w:p w14:paraId="694A2B2C" w14:textId="77777777" w:rsidR="00D24AC9" w:rsidRDefault="00D24AC9">
      <w:pPr>
        <w:pStyle w:val="NormalWeb"/>
        <w:numPr>
          <w:ilvl w:val="1"/>
          <w:numId w:val="6"/>
        </w:numPr>
      </w:pPr>
      <w:r>
        <w:t>90° configuration dates derived from planetary orbital centers computed using NASA JPL ephemerides (Mercury–Neptune).</w:t>
      </w:r>
    </w:p>
    <w:p w14:paraId="5D672D5F" w14:textId="77777777" w:rsidR="00D24AC9" w:rsidRDefault="00D24AC9">
      <w:pPr>
        <w:pStyle w:val="NormalWeb"/>
        <w:numPr>
          <w:ilvl w:val="0"/>
          <w:numId w:val="6"/>
        </w:numPr>
      </w:pPr>
      <w:r>
        <w:rPr>
          <w:rStyle w:val="Strong"/>
          <w:rFonts w:eastAsiaTheme="majorEastAsia"/>
        </w:rPr>
        <w:t>Market Performance Metric</w:t>
      </w:r>
      <w:r>
        <w:t xml:space="preserve"> – weekly log returns of the Dow Jones Industrial Average (DJIA), 1933–2024.</w:t>
      </w:r>
    </w:p>
    <w:p w14:paraId="5A446F0D" w14:textId="77777777" w:rsidR="00D24AC9" w:rsidRDefault="00D24AC9">
      <w:pPr>
        <w:pStyle w:val="NormalWeb"/>
        <w:numPr>
          <w:ilvl w:val="1"/>
          <w:numId w:val="6"/>
        </w:numPr>
      </w:pPr>
      <w:r>
        <w:t>Configuration clusters defined using the same orbital geometry windows as the solar dataset.</w:t>
      </w:r>
    </w:p>
    <w:p w14:paraId="0E6521E3" w14:textId="77777777" w:rsidR="00D24AC9" w:rsidRDefault="00D24AC9" w:rsidP="00D24AC9">
      <w:pPr>
        <w:pStyle w:val="NormalWeb"/>
      </w:pPr>
      <w:r>
        <w:t>All calculations can be replicated using any spreadsheet or statistical package capable of computing variance, correlation, and binomial probabilities.</w:t>
      </w:r>
    </w:p>
    <w:p w14:paraId="58D1C4F9" w14:textId="77777777" w:rsidR="00D24AC9" w:rsidRDefault="00000000" w:rsidP="00D24AC9">
      <w:r>
        <w:pict w14:anchorId="00C4F6C5">
          <v:rect id="_x0000_i1027" style="width:0;height:1.5pt" o:hralign="center" o:hrstd="t" o:hr="t" fillcolor="#a0a0a0" stroked="f"/>
        </w:pict>
      </w:r>
    </w:p>
    <w:p w14:paraId="027E778D" w14:textId="77777777" w:rsidR="00D24AC9" w:rsidRDefault="00D24AC9" w:rsidP="00D24AC9">
      <w:pPr>
        <w:pStyle w:val="Heading3"/>
      </w:pPr>
      <w:r>
        <w:t>A2. Variance Ratio Tests (Solar and Market Stability)</w:t>
      </w:r>
    </w:p>
    <w:p w14:paraId="48BD0FB3" w14:textId="77777777" w:rsidR="00D24AC9" w:rsidRDefault="00D24AC9" w:rsidP="00D24AC9">
      <w:pPr>
        <w:pStyle w:val="NormalWeb"/>
      </w:pPr>
      <w:r>
        <w:t xml:space="preserve">For each configuration </w:t>
      </w:r>
      <w:proofErr w:type="spellStart"/>
      <w:r>
        <w:rPr>
          <w:rStyle w:val="Emphasis"/>
          <w:rFonts w:eastAsiaTheme="majorEastAsia"/>
        </w:rPr>
        <w:t>i</w:t>
      </w:r>
      <w:proofErr w:type="spellEnd"/>
      <w:r>
        <w:t>, variances were calculated for weekly data during the 12-week pre-, during-, and post-configuration intervals.</w:t>
      </w:r>
    </w:p>
    <w:p w14:paraId="181017B4" w14:textId="77777777" w:rsidR="00D24AC9" w:rsidRDefault="00000000" w:rsidP="00D24AC9">
      <m:oMathPara>
        <m:oMath>
          <m:sSub>
            <m:sSubPr>
              <m:ctrlPr>
                <w:rPr>
                  <w:rFonts w:ascii="Cambria Math" w:hAnsi="Cambria Math"/>
                </w:rPr>
              </m:ctrlPr>
            </m:sSubPr>
            <m:e>
              <m:r>
                <w:rPr>
                  <w:rFonts w:ascii="Cambria Math" w:hAnsi="Cambria Math"/>
                </w:rPr>
                <m:t>R</m:t>
              </m:r>
            </m:e>
            <m:sub>
              <m:r>
                <w:rPr>
                  <w:rFonts w:ascii="Cambria Math" w:hAnsi="Cambria Math"/>
                </w:rPr>
                <m:t>1,i</m:t>
              </m:r>
            </m:sub>
          </m:sSub>
          <m:r>
            <w:rPr>
              <w:rFonts w:ascii="Cambria Math" w:hAnsi="Cambria Math"/>
            </w:rPr>
            <m:t>=</m:t>
          </m:r>
          <m:f>
            <m:fPr>
              <m:ctrlPr>
                <w:rPr>
                  <w:rFonts w:ascii="Cambria Math" w:hAnsi="Cambria Math"/>
                </w:rPr>
              </m:ctrlPr>
            </m:fPr>
            <m:num>
              <m:r>
                <w:rPr>
                  <w:rFonts w:ascii="Cambria Math" w:hAnsi="Cambria Math"/>
                </w:rPr>
                <m:t>Var(durin</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num>
            <m:den>
              <m:r>
                <w:rPr>
                  <w:rFonts w:ascii="Cambria Math" w:hAnsi="Cambria Math"/>
                </w:rPr>
                <m:t>Var(pr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2,i</m:t>
              </m:r>
            </m:sub>
          </m:sSub>
          <m:r>
            <w:rPr>
              <w:rFonts w:ascii="Cambria Math" w:hAnsi="Cambria Math"/>
            </w:rPr>
            <m:t>=</m:t>
          </m:r>
          <m:f>
            <m:fPr>
              <m:ctrlPr>
                <w:rPr>
                  <w:rFonts w:ascii="Cambria Math" w:hAnsi="Cambria Math"/>
                </w:rPr>
              </m:ctrlPr>
            </m:fPr>
            <m:num>
              <m:r>
                <w:rPr>
                  <w:rFonts w:ascii="Cambria Math" w:hAnsi="Cambria Math"/>
                </w:rPr>
                <m:t>Var(durin</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num>
            <m:den>
              <m:r>
                <w:rPr>
                  <w:rFonts w:ascii="Cambria Math" w:hAnsi="Cambria Math"/>
                </w:rPr>
                <m:t>Var(pos</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en>
          </m:f>
          <m:r>
            <m:rPr>
              <m:sty m:val="p"/>
            </m:rPr>
            <w:rPr>
              <w:rFonts w:ascii="Cambria Math" w:hAnsi="Cambria Math"/>
            </w:rPr>
            <w:br/>
          </m:r>
        </m:oMath>
      </m:oMathPara>
    </w:p>
    <w:p w14:paraId="3C6A1E6C" w14:textId="77777777" w:rsidR="00D24AC9" w:rsidRDefault="00D24AC9" w:rsidP="00D24AC9">
      <w:pPr>
        <w:pStyle w:val="NormalWeb"/>
      </w:pPr>
      <w:r>
        <w:t>Median ratios summarize the central tendency across all 26 configurations.</w:t>
      </w:r>
    </w:p>
    <w:p w14:paraId="4E1DDA65" w14:textId="77777777" w:rsidR="00D24AC9" w:rsidRDefault="00D24AC9" w:rsidP="00D24AC9">
      <w:pPr>
        <w:pStyle w:val="NormalWeb"/>
      </w:pPr>
      <w:r>
        <w:t>To assess whether variance decreased during configurations, a one-sided binomial test was used:</w:t>
      </w:r>
    </w:p>
    <w:p w14:paraId="6A502144" w14:textId="77777777" w:rsidR="00D24AC9" w:rsidRDefault="00D24AC9" w:rsidP="00D24AC9">
      <m:oMathPara>
        <m:oMath>
          <m:r>
            <w:rPr>
              <w:rFonts w:ascii="Cambria Math" w:hAnsi="Cambria Math"/>
            </w:rPr>
            <m:t>p=</m:t>
          </m:r>
          <m:nary>
            <m:naryPr>
              <m:chr m:val="∑"/>
              <m:limLoc m:val="undOvr"/>
              <m:grow m:val="1"/>
              <m:ctrlPr>
                <w:rPr>
                  <w:rFonts w:ascii="Cambria Math" w:hAnsi="Cambria Math"/>
                </w:rPr>
              </m:ctrlPr>
            </m:naryPr>
            <m:sub>
              <m:r>
                <w:rPr>
                  <w:rFonts w:ascii="Cambria Math" w:hAnsi="Cambria Math"/>
                </w:rPr>
                <m:t>k=x</m:t>
              </m:r>
            </m:sub>
            <m:sup>
              <m:r>
                <w:rPr>
                  <w:rFonts w:ascii="Cambria Math" w:hAnsi="Cambria Math"/>
                </w:rPr>
                <m:t>n</m:t>
              </m:r>
            </m:sup>
            <m:e>
              <m:r>
                <w:rPr>
                  <w:rFonts w:ascii="Cambria Math" w:hAnsi="Cambria Math"/>
                </w:rPr>
                <m:t>(</m:t>
              </m:r>
              <m:f>
                <m:fPr>
                  <m:type m:val="noBar"/>
                  <m:ctrlPr>
                    <w:rPr>
                      <w:rFonts w:ascii="Cambria Math" w:hAnsi="Cambria Math"/>
                    </w:rPr>
                  </m:ctrlPr>
                </m:fPr>
                <m:num>
                  <m:r>
                    <w:rPr>
                      <w:rFonts w:ascii="Cambria Math" w:hAnsi="Cambria Math"/>
                    </w:rPr>
                    <m:t>n</m:t>
                  </m:r>
                </m:num>
                <m:den>
                  <m:r>
                    <w:rPr>
                      <w:rFonts w:ascii="Cambria Math" w:hAnsi="Cambria Math"/>
                    </w:rPr>
                    <m:t>k</m:t>
                  </m:r>
                </m:den>
              </m:f>
              <m:r>
                <w:rPr>
                  <w:rFonts w:ascii="Cambria Math" w:hAnsi="Cambria Math"/>
                </w:rPr>
                <m:t>)</m:t>
              </m:r>
            </m:e>
          </m:nary>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k</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n-k</m:t>
              </m:r>
            </m:sup>
          </m:sSup>
          <m:r>
            <m:rPr>
              <m:sty m:val="p"/>
            </m:rPr>
            <w:rPr>
              <w:rFonts w:ascii="Cambria Math" w:hAnsi="Cambria Math"/>
            </w:rPr>
            <w:br/>
          </m:r>
        </m:oMath>
      </m:oMathPara>
    </w:p>
    <w:p w14:paraId="1F191FF9" w14:textId="77777777" w:rsidR="00D24AC9" w:rsidRDefault="00D24AC9" w:rsidP="00D24AC9">
      <w:pPr>
        <w:pStyle w:val="NormalWeb"/>
      </w:pPr>
      <w:r>
        <w:t>where</w:t>
      </w:r>
    </w:p>
    <w:p w14:paraId="21EC4703" w14:textId="77777777" w:rsidR="00D24AC9" w:rsidRDefault="00D24AC9">
      <w:pPr>
        <w:pStyle w:val="NormalWeb"/>
        <w:numPr>
          <w:ilvl w:val="0"/>
          <w:numId w:val="7"/>
        </w:numPr>
      </w:pPr>
      <w:r>
        <w:rPr>
          <w:rStyle w:val="Emphasis"/>
          <w:rFonts w:eastAsiaTheme="majorEastAsia"/>
        </w:rPr>
        <w:t>x</w:t>
      </w:r>
      <w:r>
        <w:t xml:space="preserve"> = number of configurations with ratio &lt; 1,</w:t>
      </w:r>
    </w:p>
    <w:p w14:paraId="006CF05F" w14:textId="77777777" w:rsidR="00D24AC9" w:rsidRDefault="00D24AC9">
      <w:pPr>
        <w:pStyle w:val="NormalWeb"/>
        <w:numPr>
          <w:ilvl w:val="0"/>
          <w:numId w:val="7"/>
        </w:numPr>
      </w:pPr>
      <w:r>
        <w:rPr>
          <w:rStyle w:val="Emphasis"/>
          <w:rFonts w:eastAsiaTheme="majorEastAsia"/>
        </w:rPr>
        <w:t>n</w:t>
      </w:r>
      <w:r>
        <w:t xml:space="preserve"> = total configurations (26).</w:t>
      </w:r>
    </w:p>
    <w:p w14:paraId="6E4E1B6A" w14:textId="77777777" w:rsidR="00D24AC9" w:rsidRDefault="00D24AC9" w:rsidP="00D24AC9">
      <w:pPr>
        <w:pStyle w:val="NormalWeb"/>
      </w:pPr>
      <w:r>
        <w:t>Excel equivalent:</w:t>
      </w:r>
    </w:p>
    <w:p w14:paraId="457EA679" w14:textId="77777777" w:rsidR="00D24AC9" w:rsidRDefault="00D24AC9" w:rsidP="00D24AC9">
      <w:pPr>
        <w:pStyle w:val="HTMLPreformatted"/>
        <w:rPr>
          <w:rStyle w:val="HTMLCode"/>
        </w:rPr>
      </w:pPr>
      <w:r>
        <w:rPr>
          <w:rStyle w:val="hljs-punctuation"/>
        </w:rPr>
        <w:lastRenderedPageBreak/>
        <w:t>=</w:t>
      </w:r>
      <w:r>
        <w:rPr>
          <w:rStyle w:val="hljs-number"/>
        </w:rPr>
        <w:t>1</w:t>
      </w:r>
      <w:r>
        <w:rPr>
          <w:rStyle w:val="HTMLCode"/>
        </w:rPr>
        <w:t>-BINOM.DIST</w:t>
      </w:r>
      <w:r>
        <w:rPr>
          <w:rStyle w:val="hljs-punctuation"/>
        </w:rPr>
        <w:t>(</w:t>
      </w:r>
      <w:r>
        <w:rPr>
          <w:rStyle w:val="HTMLCode"/>
        </w:rPr>
        <w:t>x-</w:t>
      </w:r>
      <w:r>
        <w:rPr>
          <w:rStyle w:val="hljs-number"/>
        </w:rPr>
        <w:t>1</w:t>
      </w:r>
      <w:r>
        <w:rPr>
          <w:rStyle w:val="HTMLCode"/>
        </w:rPr>
        <w:t xml:space="preserve">, n, </w:t>
      </w:r>
      <w:r>
        <w:rPr>
          <w:rStyle w:val="hljs-number"/>
        </w:rPr>
        <w:t>0.5</w:t>
      </w:r>
      <w:r>
        <w:rPr>
          <w:rStyle w:val="HTMLCode"/>
        </w:rPr>
        <w:t xml:space="preserve">, </w:t>
      </w:r>
      <w:r>
        <w:rPr>
          <w:rStyle w:val="hljs-literal"/>
        </w:rPr>
        <w:t>TRUE</w:t>
      </w:r>
      <w:r>
        <w:rPr>
          <w:rStyle w:val="hljs-punctuation"/>
        </w:rPr>
        <w:t>)</w:t>
      </w:r>
    </w:p>
    <w:p w14:paraId="26C543CE" w14:textId="77777777" w:rsidR="00D24AC9" w:rsidRDefault="00D24AC9" w:rsidP="00D24AC9">
      <w:pPr>
        <w:pStyle w:val="NormalWeb"/>
      </w:pPr>
      <w:r>
        <w:t xml:space="preserve">For example, with </w:t>
      </w:r>
      <w:r>
        <w:rPr>
          <w:rStyle w:val="Emphasis"/>
          <w:rFonts w:eastAsiaTheme="majorEastAsia"/>
        </w:rPr>
        <w:t>x</w:t>
      </w:r>
      <w:r>
        <w:t xml:space="preserve"> = 22 and </w:t>
      </w:r>
      <w:r>
        <w:rPr>
          <w:rStyle w:val="Emphasis"/>
          <w:rFonts w:eastAsiaTheme="majorEastAsia"/>
        </w:rPr>
        <w:t>n</w:t>
      </w:r>
      <w:r>
        <w:t xml:space="preserve"> = 26,</w:t>
      </w:r>
      <w:r>
        <w:br/>
        <w:t>p = 0.0003, confirming statistically significant stabilization.</w:t>
      </w:r>
    </w:p>
    <w:p w14:paraId="78C6F320" w14:textId="77777777" w:rsidR="00D24AC9" w:rsidRDefault="00000000" w:rsidP="00D24AC9">
      <w:r>
        <w:pict w14:anchorId="1F3BA5A8">
          <v:rect id="_x0000_i1028" style="width:0;height:1.5pt" o:hralign="center" o:hrstd="t" o:hr="t" fillcolor="#a0a0a0" stroked="f"/>
        </w:pict>
      </w:r>
    </w:p>
    <w:p w14:paraId="036A02CC" w14:textId="77777777" w:rsidR="00D24AC9" w:rsidRDefault="00D24AC9" w:rsidP="00D24AC9">
      <w:pPr>
        <w:pStyle w:val="Heading3"/>
      </w:pPr>
      <w:r>
        <w:t>A3. Pre- and Post-Peak Return Test (Market Sentiment Phase)</w:t>
      </w:r>
    </w:p>
    <w:p w14:paraId="14F9FC71" w14:textId="77777777" w:rsidR="00D24AC9" w:rsidRDefault="00D24AC9" w:rsidP="00D24AC9">
      <w:pPr>
        <w:pStyle w:val="NormalWeb"/>
      </w:pPr>
      <w:r>
        <w:t>Each configuration cluster was analyzed for pre-peak and post-peak performance:</w:t>
      </w:r>
    </w:p>
    <w:p w14:paraId="55563498" w14:textId="77777777" w:rsidR="00D24AC9" w:rsidRDefault="00D24AC9" w:rsidP="00D24AC9">
      <m:oMathPara>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peak,i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low,pre,i</m:t>
                  </m:r>
                </m:sub>
              </m:sSub>
            </m:num>
            <m:den>
              <m:sSub>
                <m:sSubPr>
                  <m:ctrlPr>
                    <w:rPr>
                      <w:rFonts w:ascii="Cambria Math" w:hAnsi="Cambria Math"/>
                    </w:rPr>
                  </m:ctrlPr>
                </m:sSubPr>
                <m:e>
                  <m:r>
                    <w:rPr>
                      <w:rFonts w:ascii="Cambria Math" w:hAnsi="Cambria Math"/>
                    </w:rPr>
                    <m:t>P</m:t>
                  </m:r>
                </m:e>
                <m:sub>
                  <m:r>
                    <w:rPr>
                      <w:rFonts w:ascii="Cambria Math" w:hAnsi="Cambria Math"/>
                    </w:rPr>
                    <m:t>low,pre,i</m:t>
                  </m:r>
                </m:sub>
              </m:sSub>
            </m:den>
          </m:f>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low,post,i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peak,i</m:t>
                  </m:r>
                </m:sub>
              </m:sSub>
            </m:num>
            <m:den>
              <m:sSub>
                <m:sSubPr>
                  <m:ctrlPr>
                    <w:rPr>
                      <w:rFonts w:ascii="Cambria Math" w:hAnsi="Cambria Math"/>
                    </w:rPr>
                  </m:ctrlPr>
                </m:sSubPr>
                <m:e>
                  <m:r>
                    <w:rPr>
                      <w:rFonts w:ascii="Cambria Math" w:hAnsi="Cambria Math"/>
                    </w:rPr>
                    <m:t>P</m:t>
                  </m:r>
                </m:e>
                <m:sub>
                  <m:r>
                    <w:rPr>
                      <w:rFonts w:ascii="Cambria Math" w:hAnsi="Cambria Math"/>
                    </w:rPr>
                    <m:t>peak,i</m:t>
                  </m:r>
                </m:sub>
              </m:sSub>
            </m:den>
          </m:f>
          <m:r>
            <m:rPr>
              <m:sty m:val="p"/>
            </m:rPr>
            <w:rPr>
              <w:rFonts w:ascii="Cambria Math" w:hAnsi="Cambria Math"/>
            </w:rPr>
            <w:br/>
          </m:r>
        </m:oMath>
      </m:oMathPara>
    </w:p>
    <w:p w14:paraId="672C983D" w14:textId="77777777" w:rsidR="00D24AC9" w:rsidRDefault="00D24AC9" w:rsidP="00D24AC9">
      <w:pPr>
        <w:pStyle w:val="NormalWeb"/>
      </w:pPr>
      <w:r>
        <w:t>Median Gain = 6.5%, Median Loss = –2.1%.</w:t>
      </w:r>
    </w:p>
    <w:p w14:paraId="34D94104" w14:textId="77777777" w:rsidR="00D24AC9" w:rsidRDefault="00D24AC9" w:rsidP="00D24AC9">
      <w:pPr>
        <w:pStyle w:val="NormalWeb"/>
      </w:pPr>
      <w:r>
        <w:t>Directional consistency was tested using the one-sided binomial test:</w:t>
      </w:r>
    </w:p>
    <w:p w14:paraId="0D9FFCAA" w14:textId="77777777" w:rsidR="00D24AC9" w:rsidRDefault="00D24AC9" w:rsidP="00D24AC9">
      <m:oMathPara>
        <m:oMath>
          <m:r>
            <w:rPr>
              <w:rFonts w:ascii="Cambria Math" w:hAnsi="Cambria Math"/>
            </w:rPr>
            <m:t>p=1-BINOM</m:t>
          </m:r>
          <m:r>
            <m:rPr>
              <m:sty m:val="p"/>
            </m:rPr>
            <w:rPr>
              <w:rFonts w:ascii="Cambria Math" w:hAnsi="Cambria Math"/>
            </w:rPr>
            <m:t>.</m:t>
          </m:r>
          <m:r>
            <w:rPr>
              <w:rFonts w:ascii="Cambria Math" w:hAnsi="Cambria Math"/>
            </w:rPr>
            <m:t>DIST(k-1,n,0.25,TRUE)</m:t>
          </m:r>
          <m:r>
            <m:rPr>
              <m:sty m:val="p"/>
            </m:rPr>
            <w:rPr>
              <w:rFonts w:ascii="Cambria Math" w:hAnsi="Cambria Math"/>
            </w:rPr>
            <w:br/>
          </m:r>
        </m:oMath>
      </m:oMathPara>
    </w:p>
    <w:p w14:paraId="4DACC0CD" w14:textId="77777777" w:rsidR="00D24AC9" w:rsidRDefault="00D24AC9" w:rsidP="00D24AC9">
      <w:pPr>
        <w:pStyle w:val="NormalWeb"/>
      </w:pPr>
      <w:r>
        <w:t xml:space="preserve">where </w:t>
      </w:r>
      <w:r>
        <w:rPr>
          <w:rStyle w:val="Emphasis"/>
          <w:rFonts w:eastAsiaTheme="majorEastAsia"/>
        </w:rPr>
        <w:t>k</w:t>
      </w:r>
      <w:r>
        <w:t xml:space="preserve"> = 25 configurations with (Gain &gt; 0, Loss &lt; 0).</w:t>
      </w:r>
      <w:r>
        <w:br/>
        <w:t>The 0.25 expectation reflects random market direction (0.5 × 0.5).</w:t>
      </w:r>
      <w:r>
        <w:br/>
        <w:t>Result: p ≈ 0.000004, rejecting the null hypothesis of randomness.</w:t>
      </w:r>
    </w:p>
    <w:p w14:paraId="776D5767" w14:textId="77777777" w:rsidR="00D24AC9" w:rsidRDefault="00000000" w:rsidP="00D24AC9">
      <w:r>
        <w:pict w14:anchorId="4E4ED973">
          <v:rect id="_x0000_i1029" style="width:0;height:1.5pt" o:hralign="center" o:hrstd="t" o:hr="t" fillcolor="#a0a0a0" stroked="f"/>
        </w:pict>
      </w:r>
    </w:p>
    <w:p w14:paraId="38BF0FF1" w14:textId="77777777" w:rsidR="00D24AC9" w:rsidRDefault="00D24AC9" w:rsidP="00D24AC9">
      <w:pPr>
        <w:pStyle w:val="Heading3"/>
      </w:pPr>
      <w:r>
        <w:t>A4. Trend Correlation (Solar Variance)</w:t>
      </w:r>
    </w:p>
    <w:p w14:paraId="14D35E67" w14:textId="77777777" w:rsidR="00D24AC9" w:rsidRDefault="00D24AC9" w:rsidP="00D24AC9">
      <w:pPr>
        <w:pStyle w:val="NormalWeb"/>
      </w:pPr>
      <w:r>
        <w:t>For each configuration, the Spearman rank correlation between week number and solar stability metric during the event was computed:</w:t>
      </w:r>
    </w:p>
    <w:p w14:paraId="0BD964B2" w14:textId="77777777" w:rsidR="00D24AC9" w:rsidRDefault="00000000" w:rsidP="00D24AC9">
      <m:oMathPara>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=cor(ran</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r>
            <m:rPr>
              <m:sty m:val="p"/>
            </m:rPr>
            <w:rPr>
              <w:rFonts w:ascii="Cambria Math" w:hAnsi="Cambria Math"/>
            </w:rPr>
            <w:br/>
          </m:r>
        </m:oMath>
      </m:oMathPara>
    </w:p>
    <w:p w14:paraId="2DF8BAE3" w14:textId="77777777" w:rsidR="00D24AC9" w:rsidRDefault="00D24AC9" w:rsidP="00D24AC9">
      <w:pPr>
        <w:pStyle w:val="NormalWeb"/>
      </w:pPr>
      <w:r>
        <w:t>Median ρ = 0.65, indicating a monotonic increase in stability (decrease in true sunspot activity) within 90° configurations.</w:t>
      </w:r>
    </w:p>
    <w:p w14:paraId="3A264F1C" w14:textId="77777777" w:rsidR="00D24AC9" w:rsidRDefault="00000000" w:rsidP="00D24AC9">
      <w:r>
        <w:pict w14:anchorId="41F8F7B1">
          <v:rect id="_x0000_i1030" style="width:0;height:1.5pt" o:hralign="center" o:hrstd="t" o:hr="t" fillcolor="#a0a0a0" stroked="f"/>
        </w:pict>
      </w:r>
    </w:p>
    <w:p w14:paraId="6BC6022B" w14:textId="77777777" w:rsidR="00B972A1" w:rsidRDefault="00B972A1" w:rsidP="00B972A1">
      <w:pPr>
        <w:pStyle w:val="Heading2"/>
      </w:pPr>
      <w:r>
        <w:lastRenderedPageBreak/>
        <w:t>Appendix X. Standardized Market Displacement During 90° Planetary Configurations</w:t>
      </w:r>
    </w:p>
    <w:p w14:paraId="264E2E99" w14:textId="77777777" w:rsidR="00B972A1" w:rsidRDefault="00B972A1" w:rsidP="00B972A1">
      <w:pPr>
        <w:pStyle w:val="NormalWeb"/>
      </w:pPr>
      <w:r>
        <w:t xml:space="preserve">To evaluate the magnitude of market displacements associated with the 90° planetary configurations described in the main text, we standardized each configuration’s cumulative price change relative to the long-term behavior of the Dow Jones Industrial Average (DJIA). Weekly DJIA data from 1935–2024 were expressed as </w:t>
      </w:r>
      <w:r w:rsidRPr="00DB2749">
        <w:rPr>
          <w:rStyle w:val="Strong"/>
          <w:rFonts w:eastAsiaTheme="majorEastAsia"/>
          <w:b w:val="0"/>
          <w:bCs w:val="0"/>
        </w:rPr>
        <w:t>logarithmic returns</w:t>
      </w:r>
    </w:p>
    <w:p w14:paraId="205E6A8B" w14:textId="77777777" w:rsidR="00B972A1" w:rsidRDefault="00000000" w:rsidP="00B972A1">
      <m:oMathPara>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r>
            <w:rPr>
              <w:rFonts w:ascii="Cambria Math" w:hAnsi="Cambria Math"/>
            </w:rPr>
            <m:t>),</m:t>
          </m:r>
          <m:r>
            <m:rPr>
              <m:sty m:val="p"/>
            </m:rPr>
            <w:rPr>
              <w:rFonts w:ascii="Cambria Math" w:hAnsi="Cambria Math"/>
            </w:rPr>
            <w:br/>
          </m:r>
        </m:oMath>
      </m:oMathPara>
    </w:p>
    <w:p w14:paraId="612A0A7F" w14:textId="77777777" w:rsidR="00B972A1" w:rsidRDefault="00B972A1" w:rsidP="00B972A1">
      <w:pPr>
        <w:pStyle w:val="NormalWeb"/>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is the weekly closing price. Logarithmic returns are additive across time and approximately normally distributed for large samples, providing a suitable baseline for multi-week aggregation.</w:t>
      </w:r>
    </w:p>
    <w:p w14:paraId="24E1863A" w14:textId="77777777" w:rsidR="00B972A1" w:rsidRDefault="00B972A1" w:rsidP="00B972A1">
      <w:pPr>
        <w:pStyle w:val="NormalWeb"/>
      </w:pPr>
      <w:r>
        <w:t xml:space="preserve">The </w:t>
      </w:r>
      <w:r w:rsidRPr="00DB2749">
        <w:rPr>
          <w:rStyle w:val="Strong"/>
          <w:rFonts w:eastAsiaTheme="majorEastAsia"/>
          <w:b w:val="0"/>
          <w:bCs w:val="0"/>
        </w:rPr>
        <w:t>mean</w:t>
      </w:r>
      <w:r>
        <w:t xml:space="preserve"> and </w:t>
      </w:r>
      <w:r w:rsidRPr="00DB2749">
        <w:rPr>
          <w:rStyle w:val="Strong"/>
          <w:rFonts w:eastAsiaTheme="majorEastAsia"/>
          <w:b w:val="0"/>
          <w:bCs w:val="0"/>
        </w:rPr>
        <w:t>standard deviation</w:t>
      </w:r>
      <w:r>
        <w:t xml:space="preserve"> of weekly log returns were estimated from the full period (excluding the 90° configuration intervals):</w:t>
      </w:r>
    </w:p>
    <w:p w14:paraId="7AE71B9C" w14:textId="77777777" w:rsidR="00B972A1" w:rsidRDefault="00B972A1" w:rsidP="00B972A1">
      <m:oMathPara>
        <m:oMath>
          <m:r>
            <w:rPr>
              <w:rFonts w:ascii="Cambria Math" w:hAnsi="Cambria Math"/>
            </w:rPr>
            <m:t>μ=0.00127,σ=</m:t>
          </m:r>
          <m:r>
            <m:rPr>
              <m:sty m:val="p"/>
            </m:rPr>
            <w:rPr>
              <w:rFonts w:ascii="Cambria Math" w:hAnsi="Cambria Math"/>
            </w:rPr>
            <m:t>0.02168.</m:t>
          </m:r>
          <m:r>
            <m:rPr>
              <m:sty m:val="p"/>
            </m:rPr>
            <w:rPr>
              <w:rFonts w:ascii="Cambria Math" w:hAnsi="Cambria Math"/>
            </w:rPr>
            <w:br/>
          </m:r>
        </m:oMath>
      </m:oMathPara>
    </w:p>
    <w:p w14:paraId="0F1B26E3" w14:textId="77777777" w:rsidR="00B972A1" w:rsidRDefault="00B972A1" w:rsidP="00B972A1">
      <w:pPr>
        <w:pStyle w:val="NormalWeb"/>
      </w:pPr>
      <w:r>
        <w:t xml:space="preserve">For each configuration </w:t>
      </w:r>
      <m:oMath>
        <m:r>
          <w:rPr>
            <w:rFonts w:ascii="Cambria Math" w:hAnsi="Cambria Math"/>
          </w:rPr>
          <m:t>i</m:t>
        </m:r>
      </m:oMath>
      <w:r>
        <w:t xml:space="preserve">of duration </w:t>
      </w:r>
      <m:oMath>
        <m:sSub>
          <m:sSubPr>
            <m:ctrlPr>
              <w:rPr>
                <w:rFonts w:ascii="Cambria Math" w:hAnsi="Cambria Math"/>
              </w:rPr>
            </m:ctrlPr>
          </m:sSubPr>
          <m:e>
            <m:r>
              <w:rPr>
                <w:rFonts w:ascii="Cambria Math" w:hAnsi="Cambria Math"/>
              </w:rPr>
              <m:t>n</m:t>
            </m:r>
          </m:e>
          <m:sub>
            <m:r>
              <w:rPr>
                <w:rFonts w:ascii="Cambria Math" w:hAnsi="Cambria Math"/>
              </w:rPr>
              <m:t>i</m:t>
            </m:r>
          </m:sub>
        </m:sSub>
      </m:oMath>
      <w:r>
        <w:t>weeks, the cumulative log return was calculated as</w:t>
      </w:r>
    </w:p>
    <w:p w14:paraId="1FAF85A5" w14:textId="77777777" w:rsidR="00B972A1" w:rsidRDefault="00000000" w:rsidP="00B972A1">
      <m:oMathPara>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sSub>
                <m:sSubPr>
                  <m:ctrlPr>
                    <w:rPr>
                      <w:rFonts w:ascii="Cambria Math" w:hAnsi="Cambria Math"/>
                    </w:rPr>
                  </m:ctrlPr>
                </m:sSubPr>
                <m:e>
                  <m:r>
                    <w:rPr>
                      <w:rFonts w:ascii="Cambria Math" w:hAnsi="Cambria Math"/>
                    </w:rPr>
                    <m:t>n</m:t>
                  </m:r>
                </m:e>
                <m:sub>
                  <m:r>
                    <w:rPr>
                      <w:rFonts w:ascii="Cambria Math" w:hAnsi="Cambria Math"/>
                    </w:rPr>
                    <m:t>i</m:t>
                  </m:r>
                </m:sub>
              </m:sSub>
            </m:sup>
            <m:e/>
          </m:nary>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end</m:t>
                  </m:r>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start</m:t>
                  </m:r>
                  <m:r>
                    <w:rPr>
                      <w:rFonts w:ascii="Cambria Math" w:hAnsi="Cambria Math"/>
                    </w:rPr>
                    <m:t>,i</m:t>
                  </m:r>
                </m:sub>
              </m:sSub>
            </m:den>
          </m:f>
          <m:r>
            <w:rPr>
              <w:rFonts w:ascii="Cambria Math" w:hAnsi="Cambria Math"/>
            </w:rPr>
            <m:t>),</m:t>
          </m:r>
          <m:r>
            <m:rPr>
              <m:sty m:val="p"/>
            </m:rPr>
            <w:rPr>
              <w:rFonts w:ascii="Cambria Math" w:hAnsi="Cambria Math"/>
            </w:rPr>
            <w:br/>
          </m:r>
        </m:oMath>
      </m:oMathPara>
    </w:p>
    <w:p w14:paraId="2BA6C0BE" w14:textId="77777777" w:rsidR="00B972A1" w:rsidRDefault="00B972A1" w:rsidP="00B972A1">
      <w:pPr>
        <w:pStyle w:val="NormalWeb"/>
      </w:pPr>
      <w:r>
        <w:t>and the corresponding standardized deviation (z-score) as</w:t>
      </w:r>
    </w:p>
    <w:p w14:paraId="373CFC89" w14:textId="77777777" w:rsidR="00B972A1" w:rsidRDefault="00000000" w:rsidP="00B972A1">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μ</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m:t>
                      </m:r>
                    </m:sub>
                  </m:sSub>
                </m:e>
              </m:rad>
              <m:r>
                <w:rPr>
                  <w:rFonts w:ascii="Cambria Math" w:hAnsi="Cambria Math"/>
                </w:rPr>
                <m:t>σ</m:t>
              </m:r>
            </m:den>
          </m:f>
          <m:r>
            <m:rPr>
              <m:sty m:val="p"/>
            </m:rPr>
            <w:rPr>
              <w:rFonts w:ascii="Cambria Math" w:hAnsi="Cambria Math"/>
            </w:rPr>
            <m:t>.</m:t>
          </m:r>
          <m:r>
            <m:rPr>
              <m:sty m:val="p"/>
            </m:rPr>
            <w:rPr>
              <w:rFonts w:ascii="Cambria Math" w:hAnsi="Cambria Math"/>
            </w:rPr>
            <w:br/>
          </m:r>
        </m:oMath>
      </m:oMathPara>
    </w:p>
    <w:p w14:paraId="39B0E07F" w14:textId="77777777" w:rsidR="00B972A1" w:rsidRDefault="00B972A1" w:rsidP="00B972A1">
      <w:pPr>
        <w:pStyle w:val="NormalWeb"/>
      </w:pPr>
      <w:r>
        <w:t xml:space="preserve">Positive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values indicate cumulative gains greater than expected under the background DJIA distribution, while negative values indicate unusually weak or declining periods. This normalization removes differences in window length and expresses each configuration’s total return in units of the DJIA’s typical week-to-week variability.</w:t>
      </w:r>
    </w:p>
    <w:p w14:paraId="51A141FA" w14:textId="77777777" w:rsidR="00B972A1" w:rsidRDefault="00B972A1" w:rsidP="00B972A1">
      <w:pPr>
        <w:pStyle w:val="NormalWeb"/>
      </w:pPr>
      <w:r>
        <w:t xml:space="preserve">Across the thirteen identified 90° configurations, pre-configuration windows show a mean </w:t>
      </w:r>
      <m:oMath>
        <m:r>
          <w:rPr>
            <w:rFonts w:ascii="Cambria Math" w:hAnsi="Cambria Math"/>
          </w:rPr>
          <m:t>z≈+1.3</m:t>
        </m:r>
      </m:oMath>
      <w:r>
        <w:t xml:space="preserve">, whereas post-configuration windows show a mean </w:t>
      </w:r>
      <m:oMath>
        <m:r>
          <w:rPr>
            <w:rFonts w:ascii="Cambria Math" w:hAnsi="Cambria Math"/>
          </w:rPr>
          <m:t>z≈-1.9</m:t>
        </m:r>
      </m:oMath>
      <w:r>
        <w:t xml:space="preserve">. Several individual configurations exceed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m:t>
        </m:r>
      </m:oMath>
      <w:r>
        <w:t xml:space="preserve">, including 1937 and 1987, indicating cumulative market movements beyond the 95 % range of background volatility. These standardized deviations </w:t>
      </w:r>
      <w:r>
        <w:lastRenderedPageBreak/>
        <w:t>confirm that the 90° configurations coincide with statistically exceptional phases of market behavior—periods of abnormally high pre-peak appreciation followed by unusually rapid declines.</w:t>
      </w:r>
    </w:p>
    <w:p w14:paraId="326CE57E" w14:textId="77777777" w:rsidR="00B972A1" w:rsidRDefault="00B972A1" w:rsidP="00B972A1">
      <w:pPr>
        <w:pStyle w:val="NormalWeb"/>
      </w:pPr>
      <w:r>
        <w:t xml:space="preserve">Although the z-scores are not intended as formal inferential tests, they provide a scale-free measure of </w:t>
      </w:r>
      <w:r w:rsidRPr="00DB2749">
        <w:rPr>
          <w:rStyle w:val="Strong"/>
          <w:rFonts w:eastAsiaTheme="majorEastAsia"/>
          <w:b w:val="0"/>
          <w:bCs w:val="0"/>
        </w:rPr>
        <w:t>market displacement</w:t>
      </w:r>
      <w:r>
        <w:t xml:space="preserve"> relative to the DJIA’s intrinsic noise level. In this sense, the z-scores support the interpretation that the 90° planetary configurations mark boundary conditions in the long-term sentiment dynamics described in the main text: intervals during which market behavior departs from equilibrium expectations by multiple standard deviations in a direction consistent with the predicted laminar-to-turbulent transition in solar-driven investor sentiment.</w:t>
      </w:r>
    </w:p>
    <w:p w14:paraId="1F6A1805" w14:textId="77D31CC4" w:rsidR="00AC5704" w:rsidRDefault="00AC5704">
      <w:pPr>
        <w:spacing w:after="160" w:line="278" w:lineRule="auto"/>
      </w:pPr>
      <w:r>
        <w:br w:type="page"/>
      </w:r>
    </w:p>
    <w:p w14:paraId="7C1D29DB" w14:textId="015A531A" w:rsidR="00CE1CD0" w:rsidRDefault="00CE1CD0" w:rsidP="00CE1CD0">
      <w:pPr>
        <w:pStyle w:val="Heading2"/>
      </w:pPr>
      <w:r>
        <w:lastRenderedPageBreak/>
        <w:t>Appendix B. Confidence Bounds for Joint Probability Estimates</w:t>
      </w:r>
      <w:r w:rsidR="00494ED1">
        <w:t xml:space="preserve"> (not Used)</w:t>
      </w:r>
    </w:p>
    <w:p w14:paraId="05DBAA54" w14:textId="1EF720AC" w:rsidR="00CE1CD0" w:rsidRDefault="00CE1CD0" w:rsidP="00CE1CD0">
      <w:pPr>
        <w:pStyle w:val="NormalWeb"/>
      </w:pPr>
      <w:r>
        <w:t xml:space="preserve">To evaluate the likelihood that the return patterns observed during </w:t>
      </w:r>
      <w:r w:rsidR="00494ED1">
        <w:t xml:space="preserve">90-degree event clusters </w:t>
      </w:r>
      <w:r>
        <w:t xml:space="preserve">could arise by chance, we calculated the empirical probabilities </w:t>
      </w:r>
      <m:oMath>
        <m:sSub>
          <m:sSubPr>
            <m:ctrlPr>
              <w:rPr>
                <w:rFonts w:ascii="Cambria Math" w:hAnsi="Cambria Math"/>
              </w:rPr>
            </m:ctrlPr>
          </m:sSubPr>
          <m:e>
            <m:r>
              <w:rPr>
                <w:rFonts w:ascii="Cambria Math" w:hAnsi="Cambria Math"/>
              </w:rPr>
              <m:t>P</m:t>
            </m:r>
          </m:e>
          <m:sub>
            <m:r>
              <m:rPr>
                <m:nor/>
              </m:rPr>
              <m:t>pre</m:t>
            </m:r>
          </m:sub>
        </m:sSub>
      </m:oMath>
      <w:r>
        <w:t xml:space="preserve">and </w:t>
      </w:r>
      <m:oMath>
        <m:sSub>
          <m:sSubPr>
            <m:ctrlPr>
              <w:rPr>
                <w:rFonts w:ascii="Cambria Math" w:hAnsi="Cambria Math"/>
              </w:rPr>
            </m:ctrlPr>
          </m:sSubPr>
          <m:e>
            <m:r>
              <w:rPr>
                <w:rFonts w:ascii="Cambria Math" w:hAnsi="Cambria Math"/>
              </w:rPr>
              <m:t>P</m:t>
            </m:r>
          </m:e>
          <m:sub>
            <m:r>
              <m:rPr>
                <m:nor/>
              </m:rPr>
              <m:t>post</m:t>
            </m:r>
          </m:sub>
        </m:sSub>
      </m:oMath>
      <w:r>
        <w:t xml:space="preserve">for each event. These represent, respectively, the frequency with which a comparable pre-peak rise and post-peak decline occurred elsewhere in the 1933–2023 Dow Jones Industrial Average record, within ±1 week and ±1 % of the observed values. The product of these two frequencies gives the </w:t>
      </w:r>
      <w:r w:rsidRPr="00494ED1">
        <w:rPr>
          <w:rStyle w:val="Strong"/>
          <w:b w:val="0"/>
          <w:bCs w:val="0"/>
        </w:rPr>
        <w:t>joint probability</w:t>
      </w:r>
      <w:r w:rsidRPr="00494ED1">
        <w:rPr>
          <w:b/>
          <w:bCs/>
        </w:rPr>
        <w:t>:</w:t>
      </w:r>
    </w:p>
    <w:p w14:paraId="5721FE0E" w14:textId="77777777" w:rsidR="00CE1CD0" w:rsidRDefault="00000000" w:rsidP="00CE1CD0">
      <m:oMathPara>
        <m:oMath>
          <m:sSub>
            <m:sSubPr>
              <m:ctrlPr>
                <w:rPr>
                  <w:rFonts w:ascii="Cambria Math" w:hAnsi="Cambria Math"/>
                </w:rPr>
              </m:ctrlPr>
            </m:sSubPr>
            <m:e>
              <m:r>
                <w:rPr>
                  <w:rFonts w:ascii="Cambria Math" w:hAnsi="Cambria Math"/>
                </w:rPr>
                <m:t>P</m:t>
              </m:r>
            </m:e>
            <m:sub>
              <m:r>
                <m:rPr>
                  <m:nor/>
                </m:rPr>
                <m:t>joint</m:t>
              </m:r>
            </m:sub>
          </m:sSub>
          <m:r>
            <w:rPr>
              <w:rFonts w:ascii="Cambria Math" w:hAnsi="Cambria Math"/>
            </w:rPr>
            <m:t>=</m:t>
          </m:r>
          <m:sSub>
            <m:sSubPr>
              <m:ctrlPr>
                <w:rPr>
                  <w:rFonts w:ascii="Cambria Math" w:hAnsi="Cambria Math"/>
                </w:rPr>
              </m:ctrlPr>
            </m:sSubPr>
            <m:e>
              <m:r>
                <w:rPr>
                  <w:rFonts w:ascii="Cambria Math" w:hAnsi="Cambria Math"/>
                </w:rPr>
                <m:t>P</m:t>
              </m:r>
            </m:e>
            <m:sub>
              <m:r>
                <m:rPr>
                  <m:nor/>
                </m:rPr>
                <m:t>pre</m:t>
              </m:r>
            </m:sub>
          </m:sSub>
          <m:r>
            <w:rPr>
              <w:rFonts w:ascii="Cambria Math" w:hAnsi="Cambria Math"/>
            </w:rPr>
            <m:t>×</m:t>
          </m:r>
          <m:sSub>
            <m:sSubPr>
              <m:ctrlPr>
                <w:rPr>
                  <w:rFonts w:ascii="Cambria Math" w:hAnsi="Cambria Math"/>
                </w:rPr>
              </m:ctrlPr>
            </m:sSubPr>
            <m:e>
              <m:r>
                <w:rPr>
                  <w:rFonts w:ascii="Cambria Math" w:hAnsi="Cambria Math"/>
                </w:rPr>
                <m:t>P</m:t>
              </m:r>
            </m:e>
            <m:sub>
              <m:r>
                <m:rPr>
                  <m:nor/>
                </m:rPr>
                <m:t>post</m:t>
              </m:r>
            </m:sub>
          </m:sSub>
          <m:r>
            <w:rPr>
              <w:rFonts w:ascii="Cambria Math" w:hAnsi="Cambria Math"/>
            </w:rPr>
            <m:t>,</m:t>
          </m:r>
          <m:r>
            <m:rPr>
              <m:sty m:val="p"/>
            </m:rPr>
            <w:rPr>
              <w:rFonts w:ascii="Cambria Math" w:hAnsi="Cambria Math"/>
            </w:rPr>
            <w:br/>
          </m:r>
        </m:oMath>
      </m:oMathPara>
    </w:p>
    <w:p w14:paraId="4E1C3900" w14:textId="77777777" w:rsidR="00CE1CD0" w:rsidRDefault="00CE1CD0" w:rsidP="00CE1CD0">
      <w:pPr>
        <w:pStyle w:val="NormalWeb"/>
      </w:pPr>
      <w:r>
        <w:t>which approximates the chance of observing both the pre- and post-peak dynamics in the same episode under an assumption of independence.</w:t>
      </w:r>
    </w:p>
    <w:p w14:paraId="2BC38DA4" w14:textId="77777777" w:rsidR="00CE1CD0" w:rsidRDefault="00CE1CD0" w:rsidP="00CE1CD0">
      <w:pPr>
        <w:pStyle w:val="NormalWeb"/>
      </w:pPr>
      <w:r>
        <w:t>Because most probabilities were extremely small (typically well below 1 %), conventional normal approximations can understate uncertainty. To ensure robustness, two complementary methods were applied to derive 95 % confidence intervals for each joint probability:</w:t>
      </w:r>
    </w:p>
    <w:p w14:paraId="081DA1DA" w14:textId="77777777" w:rsidR="00CE1CD0" w:rsidRDefault="00CE1CD0">
      <w:pPr>
        <w:pStyle w:val="NormalWeb"/>
        <w:numPr>
          <w:ilvl w:val="0"/>
          <w:numId w:val="12"/>
        </w:numPr>
      </w:pPr>
      <w:r>
        <w:rPr>
          <w:rStyle w:val="Strong"/>
        </w:rPr>
        <w:t>Delta-Method Confidence Interval (Primary).</w:t>
      </w:r>
      <w:r>
        <w:br/>
        <w:t>The variance of the joint probability was estimated as</w:t>
      </w:r>
    </w:p>
    <w:p w14:paraId="73D6D06E" w14:textId="77777777" w:rsidR="00CE1CD0" w:rsidRDefault="00CE1CD0" w:rsidP="00CE1CD0">
      <w:pPr>
        <w:spacing w:beforeAutospacing="1" w:afterAutospacing="1"/>
        <w:ind w:left="720"/>
      </w:pPr>
      <m:oMathPara>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P</m:t>
              </m:r>
            </m:e>
            <m:sub>
              <m:r>
                <m:rPr>
                  <m:nor/>
                </m:rPr>
                <m:t>joint</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post</m:t>
              </m:r>
            </m:sub>
            <m:sup>
              <m:r>
                <w:rPr>
                  <w:rFonts w:ascii="Cambria Math" w:hAnsi="Cambria Math"/>
                </w:rPr>
                <m:t>2</m:t>
              </m:r>
            </m:sup>
          </m:sSubSup>
          <m:r>
            <m:rPr>
              <m:nor/>
            </m:rPr>
            <m:t> </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P</m:t>
              </m:r>
            </m:e>
            <m:sub>
              <m:r>
                <m:rPr>
                  <m:nor/>
                </m:rPr>
                <m:t>pre</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pre</m:t>
              </m:r>
            </m:sub>
            <m:sup>
              <m:r>
                <w:rPr>
                  <w:rFonts w:ascii="Cambria Math" w:hAnsi="Cambria Math"/>
                </w:rPr>
                <m:t>2</m:t>
              </m:r>
            </m:sup>
          </m:sSubSup>
          <m:r>
            <m:rPr>
              <m:nor/>
            </m:rPr>
            <m:t> </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P</m:t>
              </m:r>
            </m:e>
            <m:sub>
              <m:r>
                <m:rPr>
                  <m:nor/>
                </m:rPr>
                <m:t>post</m:t>
              </m:r>
            </m:sub>
          </m:sSub>
          <m:r>
            <w:rPr>
              <w:rFonts w:ascii="Cambria Math" w:hAnsi="Cambria Math"/>
            </w:rPr>
            <m:t>),</m:t>
          </m:r>
          <m:r>
            <m:rPr>
              <m:sty m:val="p"/>
            </m:rPr>
            <w:rPr>
              <w:rFonts w:ascii="Cambria Math" w:hAnsi="Cambria Math"/>
            </w:rPr>
            <w:br/>
          </m:r>
        </m:oMath>
      </m:oMathPara>
    </w:p>
    <w:p w14:paraId="1306FA8F" w14:textId="77777777" w:rsidR="00CE1CD0" w:rsidRDefault="00CE1CD0" w:rsidP="00CE1CD0">
      <w:pPr>
        <w:pStyle w:val="NormalWeb"/>
        <w:ind w:left="720"/>
      </w:pPr>
      <w:r>
        <w:t xml:space="preserve">with </w:t>
      </w: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for each proportion computed from </w:t>
      </w:r>
      <m:oMath>
        <m:sSub>
          <m:sSubPr>
            <m:ctrlPr>
              <w:rPr>
                <w:rFonts w:ascii="Cambria Math" w:hAnsi="Cambria Math"/>
              </w:rPr>
            </m:ctrlPr>
          </m:sSubPr>
          <m:e>
            <m:r>
              <w:rPr>
                <w:rFonts w:ascii="Cambria Math" w:hAnsi="Cambria Math"/>
              </w:rPr>
              <m:t>n</m:t>
            </m:r>
          </m:e>
          <m:sub>
            <m:r>
              <w:rPr>
                <w:rFonts w:ascii="Cambria Math" w:hAnsi="Cambria Math"/>
              </w:rPr>
              <m:t>i</m:t>
            </m:r>
          </m:sub>
        </m:sSub>
      </m:oMath>
      <w:r>
        <w:t>candidate windows.</w:t>
      </w:r>
      <w:r>
        <w:br/>
        <w:t>The 95 % confidence interval was then</w:t>
      </w:r>
    </w:p>
    <w:p w14:paraId="0DC6F753" w14:textId="77777777" w:rsidR="00CE1CD0" w:rsidRDefault="00000000" w:rsidP="00CE1CD0">
      <w:pPr>
        <w:spacing w:beforeAutospacing="1" w:afterAutospacing="1"/>
        <w:ind w:left="720"/>
      </w:pPr>
      <m:oMathPara>
        <m:oMath>
          <m:sSub>
            <m:sSubPr>
              <m:ctrlPr>
                <w:rPr>
                  <w:rFonts w:ascii="Cambria Math" w:hAnsi="Cambria Math"/>
                </w:rPr>
              </m:ctrlPr>
            </m:sSubPr>
            <m:e>
              <m:r>
                <w:rPr>
                  <w:rFonts w:ascii="Cambria Math" w:hAnsi="Cambria Math"/>
                </w:rPr>
                <m:t>P</m:t>
              </m:r>
            </m:e>
            <m:sub>
              <m:r>
                <m:rPr>
                  <m:nor/>
                </m:rPr>
                <m:t>joint</m:t>
              </m:r>
            </m:sub>
          </m:sSub>
          <m:r>
            <w:rPr>
              <w:rFonts w:ascii="Cambria Math" w:hAnsi="Cambria Math"/>
            </w:rPr>
            <m:t>±1.96</m:t>
          </m:r>
          <m:r>
            <m:rPr>
              <m:nor/>
            </m:rPr>
            <m:t> </m:t>
          </m:r>
          <m:rad>
            <m:radPr>
              <m:degHide m:val="1"/>
              <m:ctrlPr>
                <w:rPr>
                  <w:rFonts w:ascii="Cambria Math" w:hAnsi="Cambria Math"/>
                </w:rPr>
              </m:ctrlPr>
            </m:radPr>
            <m:deg/>
            <m:e>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P</m:t>
                  </m:r>
                </m:e>
                <m:sub>
                  <m:r>
                    <m:rPr>
                      <m:nor/>
                    </m:rPr>
                    <m:t>joint</m:t>
                  </m:r>
                </m:sub>
              </m:sSub>
              <m:r>
                <w:rPr>
                  <w:rFonts w:ascii="Cambria Math" w:hAnsi="Cambria Math"/>
                </w:rPr>
                <m:t>)</m:t>
              </m:r>
            </m:e>
          </m:rad>
          <m:r>
            <m:rPr>
              <m:sty m:val="p"/>
            </m:rPr>
            <w:rPr>
              <w:rFonts w:ascii="Cambria Math" w:hAnsi="Cambria Math"/>
            </w:rPr>
            <m:t>.</m:t>
          </m:r>
          <m:r>
            <m:rPr>
              <m:sty m:val="p"/>
            </m:rPr>
            <w:rPr>
              <w:rFonts w:ascii="Cambria Math" w:hAnsi="Cambria Math"/>
            </w:rPr>
            <w:br/>
          </m:r>
        </m:oMath>
      </m:oMathPara>
    </w:p>
    <w:p w14:paraId="250AE78C" w14:textId="77777777" w:rsidR="00CE1CD0" w:rsidRDefault="00CE1CD0" w:rsidP="00CE1CD0">
      <w:pPr>
        <w:pStyle w:val="NormalWeb"/>
        <w:ind w:left="720"/>
      </w:pPr>
      <w:r>
        <w:t>This method provides a symmetric, analytic estimate suitable for small probabilities derived from large sample counts.</w:t>
      </w:r>
    </w:p>
    <w:p w14:paraId="2E61A8C6" w14:textId="77777777" w:rsidR="00CE1CD0" w:rsidRDefault="00CE1CD0">
      <w:pPr>
        <w:pStyle w:val="NormalWeb"/>
        <w:numPr>
          <w:ilvl w:val="0"/>
          <w:numId w:val="12"/>
        </w:numPr>
      </w:pPr>
      <w:r>
        <w:rPr>
          <w:rStyle w:val="Strong"/>
        </w:rPr>
        <w:t>Conservative Product-of-Bounds Interval (Robustness Check).</w:t>
      </w:r>
      <w:r>
        <w:br/>
        <w:t>Each individual proportion (</w:t>
      </w:r>
      <m:oMath>
        <m:sSub>
          <m:sSubPr>
            <m:ctrlPr>
              <w:rPr>
                <w:rFonts w:ascii="Cambria Math" w:hAnsi="Cambria Math"/>
              </w:rPr>
            </m:ctrlPr>
          </m:sSubPr>
          <m:e>
            <m:r>
              <w:rPr>
                <w:rFonts w:ascii="Cambria Math" w:hAnsi="Cambria Math"/>
              </w:rPr>
              <m:t>P</m:t>
            </m:r>
          </m:e>
          <m:sub>
            <m:r>
              <m:rPr>
                <m:nor/>
              </m:rPr>
              <m:t>pre</m:t>
            </m:r>
          </m:sub>
        </m:sSub>
      </m:oMath>
      <w:r>
        <w:t xml:space="preserve">, </w:t>
      </w:r>
      <m:oMath>
        <m:sSub>
          <m:sSubPr>
            <m:ctrlPr>
              <w:rPr>
                <w:rFonts w:ascii="Cambria Math" w:hAnsi="Cambria Math"/>
              </w:rPr>
            </m:ctrlPr>
          </m:sSubPr>
          <m:e>
            <m:r>
              <w:rPr>
                <w:rFonts w:ascii="Cambria Math" w:hAnsi="Cambria Math"/>
              </w:rPr>
              <m:t>P</m:t>
            </m:r>
          </m:e>
          <m:sub>
            <m:r>
              <m:rPr>
                <m:nor/>
              </m:rPr>
              <m:t>post</m:t>
            </m:r>
          </m:sub>
        </m:sSub>
      </m:oMath>
      <w:r>
        <w:t xml:space="preserve">) was first assigned a </w:t>
      </w:r>
      <w:r w:rsidRPr="00494ED1">
        <w:rPr>
          <w:rStyle w:val="Strong"/>
          <w:b w:val="0"/>
          <w:bCs w:val="0"/>
        </w:rPr>
        <w:t>Wilson score interval</w:t>
      </w:r>
      <w:r>
        <w:t>, which offers accurate coverage even for small or rare proportions. The joint bounds were then computed as</w:t>
      </w:r>
    </w:p>
    <w:p w14:paraId="73946F45" w14:textId="77777777" w:rsidR="00CE1CD0" w:rsidRDefault="00CE1CD0" w:rsidP="00CE1CD0">
      <w:pPr>
        <w:spacing w:beforeAutospacing="1" w:afterAutospacing="1"/>
        <w:ind w:left="720"/>
      </w:pPr>
      <m:oMathPara>
        <m:oMath>
          <m:r>
            <m:rPr>
              <m:nor/>
            </m:rPr>
            <m:t>Lower</m:t>
          </m:r>
          <m:r>
            <w:rPr>
              <w:rFonts w:ascii="Cambria Math" w:hAnsi="Cambria Math"/>
            </w:rPr>
            <m:t>=</m:t>
          </m:r>
          <m:sSub>
            <m:sSubPr>
              <m:ctrlPr>
                <w:rPr>
                  <w:rFonts w:ascii="Cambria Math" w:hAnsi="Cambria Math"/>
                </w:rPr>
              </m:ctrlPr>
            </m:sSubPr>
            <m:e>
              <m:r>
                <w:rPr>
                  <w:rFonts w:ascii="Cambria Math" w:hAnsi="Cambria Math"/>
                </w:rPr>
                <m:t>L</m:t>
              </m:r>
            </m:e>
            <m:sub>
              <m:r>
                <m:rPr>
                  <m:nor/>
                </m:rPr>
                <m:t>pre</m:t>
              </m:r>
            </m:sub>
          </m:sSub>
          <m:r>
            <w:rPr>
              <w:rFonts w:ascii="Cambria Math" w:hAnsi="Cambria Math"/>
            </w:rPr>
            <m:t>×</m:t>
          </m:r>
          <m:sSub>
            <m:sSubPr>
              <m:ctrlPr>
                <w:rPr>
                  <w:rFonts w:ascii="Cambria Math" w:hAnsi="Cambria Math"/>
                </w:rPr>
              </m:ctrlPr>
            </m:sSubPr>
            <m:e>
              <m:r>
                <w:rPr>
                  <w:rFonts w:ascii="Cambria Math" w:hAnsi="Cambria Math"/>
                </w:rPr>
                <m:t>L</m:t>
              </m:r>
            </m:e>
            <m:sub>
              <m:r>
                <m:rPr>
                  <m:nor/>
                </m:rPr>
                <m:t>post</m:t>
              </m:r>
            </m:sub>
          </m:sSub>
          <m:r>
            <w:rPr>
              <w:rFonts w:ascii="Cambria Math" w:hAnsi="Cambria Math"/>
            </w:rPr>
            <m:t>,</m:t>
          </m:r>
          <m:r>
            <m:rPr>
              <m:nor/>
            </m:rPr>
            <m:t>Upper</m:t>
          </m:r>
          <m:r>
            <w:rPr>
              <w:rFonts w:ascii="Cambria Math" w:hAnsi="Cambria Math"/>
            </w:rPr>
            <m:t>=</m:t>
          </m:r>
          <m:sSub>
            <m:sSubPr>
              <m:ctrlPr>
                <w:rPr>
                  <w:rFonts w:ascii="Cambria Math" w:hAnsi="Cambria Math"/>
                </w:rPr>
              </m:ctrlPr>
            </m:sSubPr>
            <m:e>
              <m:r>
                <w:rPr>
                  <w:rFonts w:ascii="Cambria Math" w:hAnsi="Cambria Math"/>
                </w:rPr>
                <m:t>U</m:t>
              </m:r>
            </m:e>
            <m:sub>
              <m:r>
                <m:rPr>
                  <m:nor/>
                </m:rPr>
                <m:t>pre</m:t>
              </m:r>
            </m:sub>
          </m:sSub>
          <m:r>
            <w:rPr>
              <w:rFonts w:ascii="Cambria Math" w:hAnsi="Cambria Math"/>
            </w:rPr>
            <m:t>×</m:t>
          </m:r>
          <m:sSub>
            <m:sSubPr>
              <m:ctrlPr>
                <w:rPr>
                  <w:rFonts w:ascii="Cambria Math" w:hAnsi="Cambria Math"/>
                </w:rPr>
              </m:ctrlPr>
            </m:sSubPr>
            <m:e>
              <m:r>
                <w:rPr>
                  <w:rFonts w:ascii="Cambria Math" w:hAnsi="Cambria Math"/>
                </w:rPr>
                <m:t>U</m:t>
              </m:r>
            </m:e>
            <m:sub>
              <m:r>
                <m:rPr>
                  <m:nor/>
                </m:rPr>
                <m:t>post</m:t>
              </m:r>
            </m:sub>
          </m:sSub>
          <m:r>
            <m:rPr>
              <m:sty m:val="p"/>
            </m:rPr>
            <w:rPr>
              <w:rFonts w:ascii="Cambria Math" w:hAnsi="Cambria Math"/>
            </w:rPr>
            <m:t>.</m:t>
          </m:r>
          <m:r>
            <m:rPr>
              <m:sty m:val="p"/>
            </m:rPr>
            <w:rPr>
              <w:rFonts w:ascii="Cambria Math" w:hAnsi="Cambria Math"/>
            </w:rPr>
            <w:br/>
          </m:r>
        </m:oMath>
      </m:oMathPara>
    </w:p>
    <w:p w14:paraId="207DA4E0" w14:textId="77777777" w:rsidR="00CE1CD0" w:rsidRDefault="00CE1CD0" w:rsidP="00CE1CD0">
      <w:pPr>
        <w:pStyle w:val="NormalWeb"/>
        <w:ind w:left="720"/>
      </w:pPr>
      <w:r>
        <w:lastRenderedPageBreak/>
        <w:t>This formulation is deliberately conservative: it assumes positive dependence between the two probabilities and produces slightly wider intervals than the delta-method.</w:t>
      </w:r>
    </w:p>
    <w:p w14:paraId="0F2AF421" w14:textId="77777777" w:rsidR="00CE1CD0" w:rsidRDefault="00CE1CD0" w:rsidP="00CE1CD0">
      <w:pPr>
        <w:pStyle w:val="NormalWeb"/>
      </w:pPr>
      <w:r>
        <w:t>Both approaches yielded consistent results, and the confidence bounds remained several orders of magnitude below 1 %. Even under the conservative formulation, no Anxiety-Free Period displayed a joint probability exceeding 0.01.</w:t>
      </w:r>
    </w:p>
    <w:p w14:paraId="7DE445CA" w14:textId="6C4D77FB" w:rsidR="00CE1CD0" w:rsidRDefault="00CE1CD0" w:rsidP="00CE1CD0">
      <w:pPr>
        <w:pStyle w:val="NormalWeb"/>
      </w:pPr>
      <w:r>
        <w:t xml:space="preserve">These findings reinforce the central conclusion that the pre- and post-peak return structures characteristic of </w:t>
      </w:r>
      <w:r w:rsidR="00494ED1">
        <w:t xml:space="preserve">90-degree event clusters </w:t>
      </w:r>
      <w:r>
        <w:t xml:space="preserve">are </w:t>
      </w:r>
      <w:r w:rsidRPr="00494ED1">
        <w:rPr>
          <w:rStyle w:val="Strong"/>
          <w:b w:val="0"/>
          <w:bCs w:val="0"/>
        </w:rPr>
        <w:t>statistically rare and highly non-random</w:t>
      </w:r>
      <w:r>
        <w:t xml:space="preserve"> within the historical market record. They represent patterns unlikely to occur by chance, consistent with the hypothesis that </w:t>
      </w:r>
      <w:r w:rsidR="00494ED1">
        <w:t>clusters</w:t>
      </w:r>
      <w:r>
        <w:t xml:space="preserve"> timing is governed by physical, rather than purely stochastic, drivers.</w:t>
      </w:r>
    </w:p>
    <w:p w14:paraId="46E93359" w14:textId="77777777" w:rsidR="00F1134A" w:rsidRDefault="00F1134A" w:rsidP="00B972A1"/>
    <w:p w14:paraId="3B90C37E" w14:textId="3C3EC25D" w:rsidR="00F1134A" w:rsidRDefault="00F1134A" w:rsidP="00B972A1">
      <w:r>
        <w:t>Footnote</w:t>
      </w:r>
    </w:p>
    <w:p w14:paraId="4C47D00B" w14:textId="71E96293" w:rsidR="00F1134A" w:rsidRDefault="00F1134A" w:rsidP="00B972A1">
      <w:r>
        <w:t xml:space="preserve">Although the pre- and post-peak portions of an Anxiety-Free Period occur consecutively, the assumption of statistical independence between </w:t>
      </w:r>
      <m:oMath>
        <m:sSub>
          <m:sSubPr>
            <m:ctrlPr>
              <w:rPr>
                <w:rFonts w:ascii="Cambria Math" w:hAnsi="Cambria Math"/>
              </w:rPr>
            </m:ctrlPr>
          </m:sSubPr>
          <m:e>
            <m:r>
              <w:rPr>
                <w:rFonts w:ascii="Cambria Math" w:hAnsi="Cambria Math"/>
              </w:rPr>
              <m:t>P</m:t>
            </m:r>
          </m:e>
          <m:sub>
            <m:r>
              <m:rPr>
                <m:nor/>
              </m:rPr>
              <m:t>pre</m:t>
            </m:r>
          </m:sub>
        </m:sSub>
      </m:oMath>
      <w:r>
        <w:t xml:space="preserve">and </w:t>
      </w:r>
      <m:oMath>
        <m:sSub>
          <m:sSubPr>
            <m:ctrlPr>
              <w:rPr>
                <w:rFonts w:ascii="Cambria Math" w:hAnsi="Cambria Math"/>
              </w:rPr>
            </m:ctrlPr>
          </m:sSubPr>
          <m:e>
            <m:r>
              <w:rPr>
                <w:rFonts w:ascii="Cambria Math" w:hAnsi="Cambria Math"/>
              </w:rPr>
              <m:t>P</m:t>
            </m:r>
          </m:e>
          <m:sub>
            <m:r>
              <m:rPr>
                <m:nor/>
              </m:rPr>
              <m:t>post</m:t>
            </m:r>
          </m:sub>
        </m:sSub>
      </m:oMath>
      <w:r>
        <w:t>provides a conservative and tractable approximation. The pre-peak advance reflects the buildup of optimism during a rising phase, while the post-peak decline reflects its dissipation under changing sentiment and market conditions. These processes arise from different behavioral and physical dynamics and can therefore be treated as effectively independent for probability estimation. Empirically, weekly return autocorrelation in the Dow Jones Industrial Average is close to zero, supporting the assumption that adjacent return segments can be regarded as independent. Any residual correlation would likely reduce, rather than increase, the chance of observing both extreme outcomes in sequence, making the joint probabilities reported here conservative.</w:t>
      </w:r>
    </w:p>
    <w:p w14:paraId="1A8F828F" w14:textId="42E981D1" w:rsidR="00494ED1" w:rsidRDefault="00494ED1">
      <w:pPr>
        <w:spacing w:after="160" w:line="278" w:lineRule="auto"/>
      </w:pPr>
      <w:r>
        <w:br w:type="page"/>
      </w:r>
    </w:p>
    <w:p w14:paraId="26DBBA32" w14:textId="08B74ED8" w:rsidR="00494ED1" w:rsidRPr="006A4529" w:rsidRDefault="00494ED1" w:rsidP="00494ED1">
      <w:pPr>
        <w:pStyle w:val="Heading2"/>
      </w:pPr>
      <w:bookmarkStart w:id="107" w:name="_Toc207989471"/>
      <w:bookmarkStart w:id="108" w:name="_Toc211322326"/>
      <w:bookmarkStart w:id="109" w:name="_Toc211854500"/>
      <w:bookmarkStart w:id="110" w:name="_Toc203077347"/>
      <w:r w:rsidRPr="006A4529">
        <w:lastRenderedPageBreak/>
        <w:t>Appendix U – Data Sources</w:t>
      </w:r>
      <w:bookmarkEnd w:id="107"/>
      <w:bookmarkEnd w:id="108"/>
      <w:bookmarkEnd w:id="109"/>
    </w:p>
    <w:bookmarkEnd w:id="110"/>
    <w:p w14:paraId="5682C61D" w14:textId="77777777" w:rsidR="00494ED1" w:rsidRPr="00F27453" w:rsidRDefault="00494ED1" w:rsidP="00494ED1">
      <w:pPr>
        <w:rPr>
          <w:szCs w:val="22"/>
        </w:rPr>
      </w:pPr>
      <w:r>
        <w:t>The datasets used in this report span solar, geomagnetic, financial, and cosmic ray domains. They were selected for their continuity, scientific credibility, and relevance to understanding heliospheric conditions and investor sentiment.</w:t>
      </w:r>
    </w:p>
    <w:p w14:paraId="71F717FB" w14:textId="77777777" w:rsidR="00494ED1" w:rsidRPr="00D417C8" w:rsidRDefault="00494ED1" w:rsidP="00494ED1">
      <w:pPr>
        <w:pStyle w:val="Heading3"/>
        <w:rPr>
          <w:rStyle w:val="Strong"/>
          <w:b/>
          <w:bCs w:val="0"/>
        </w:rPr>
      </w:pPr>
      <w:bookmarkStart w:id="111" w:name="_Toc211323400"/>
      <w:bookmarkStart w:id="112" w:name="_Toc211323479"/>
      <w:bookmarkStart w:id="113" w:name="_Toc211854395"/>
      <w:bookmarkStart w:id="114" w:name="_Toc211854474"/>
      <w:r w:rsidRPr="00D417C8">
        <w:rPr>
          <w:rStyle w:val="Strong"/>
          <w:b/>
          <w:bCs w:val="0"/>
        </w:rPr>
        <w:t>Solar and geomagnetic indices</w:t>
      </w:r>
      <w:bookmarkEnd w:id="111"/>
      <w:bookmarkEnd w:id="112"/>
      <w:bookmarkEnd w:id="113"/>
      <w:bookmarkEnd w:id="114"/>
    </w:p>
    <w:p w14:paraId="5F0E8681" w14:textId="77777777" w:rsidR="00494ED1" w:rsidRPr="000D1757" w:rsidRDefault="00494ED1" w:rsidP="00494ED1">
      <w:pPr>
        <w:pStyle w:val="NormalWeb"/>
        <w:spacing w:before="40" w:beforeAutospacing="0" w:after="120" w:afterAutospacing="0"/>
        <w:ind w:left="720"/>
        <w:rPr>
          <w:sz w:val="20"/>
          <w:szCs w:val="22"/>
        </w:rPr>
      </w:pPr>
      <w:r w:rsidRPr="000D1757">
        <w:rPr>
          <w:sz w:val="20"/>
          <w:szCs w:val="22"/>
        </w:rPr>
        <w:t>Royal Observatory of Belgium. International Sunspot Number (Version 2). Brussels: SILSO, World Data Center Sunspot Index and Long-term Solar Observations; 202</w:t>
      </w:r>
      <w:r>
        <w:rPr>
          <w:sz w:val="20"/>
          <w:szCs w:val="22"/>
        </w:rPr>
        <w:t>5</w:t>
      </w:r>
      <w:r w:rsidRPr="000D1757">
        <w:rPr>
          <w:sz w:val="20"/>
          <w:szCs w:val="22"/>
        </w:rPr>
        <w:t>.</w:t>
      </w:r>
      <w:r w:rsidRPr="000D1757">
        <w:rPr>
          <w:sz w:val="20"/>
          <w:szCs w:val="22"/>
        </w:rPr>
        <w:br/>
        <w:t xml:space="preserve">      https://www.sidc.be/silso/datafiles.</w:t>
      </w:r>
    </w:p>
    <w:p w14:paraId="471BA6A5" w14:textId="77777777" w:rsidR="00494ED1" w:rsidRPr="00B6146A" w:rsidRDefault="00494ED1" w:rsidP="00494ED1">
      <w:pPr>
        <w:pStyle w:val="Heading3"/>
        <w:rPr>
          <w:rStyle w:val="Strong"/>
          <w:b/>
          <w:bCs w:val="0"/>
        </w:rPr>
      </w:pPr>
      <w:bookmarkStart w:id="115" w:name="_Toc211323404"/>
      <w:bookmarkStart w:id="116" w:name="_Toc211323483"/>
      <w:bookmarkStart w:id="117" w:name="_Toc211854399"/>
      <w:bookmarkStart w:id="118" w:name="_Toc211854478"/>
      <w:r w:rsidRPr="00B6146A">
        <w:rPr>
          <w:rStyle w:val="Strong"/>
          <w:b/>
          <w:bCs w:val="0"/>
        </w:rPr>
        <w:t>Financial market and economic data</w:t>
      </w:r>
      <w:bookmarkEnd w:id="115"/>
      <w:bookmarkEnd w:id="116"/>
      <w:bookmarkEnd w:id="117"/>
      <w:bookmarkEnd w:id="118"/>
    </w:p>
    <w:p w14:paraId="0AD4D8C1" w14:textId="77777777" w:rsidR="00494ED1" w:rsidRPr="00C55C6B" w:rsidRDefault="00494ED1" w:rsidP="00494ED1">
      <w:pPr>
        <w:pStyle w:val="NormalWeb"/>
        <w:spacing w:before="0" w:beforeAutospacing="0" w:after="0" w:afterAutospacing="0"/>
        <w:ind w:left="720"/>
        <w:rPr>
          <w:sz w:val="20"/>
          <w:szCs w:val="22"/>
        </w:rPr>
      </w:pPr>
      <w:r w:rsidRPr="00333872">
        <w:rPr>
          <w:sz w:val="20"/>
          <w:szCs w:val="20"/>
        </w:rPr>
        <w:t>U.S. Bureau of Economic Analysis. National Income and Product Accounts. Washington (DC): BEA; 202</w:t>
      </w:r>
      <w:r>
        <w:rPr>
          <w:sz w:val="20"/>
          <w:szCs w:val="20"/>
        </w:rPr>
        <w:t>5</w:t>
      </w:r>
      <w:r w:rsidRPr="00333872">
        <w:rPr>
          <w:sz w:val="20"/>
          <w:szCs w:val="20"/>
        </w:rPr>
        <w:t>.</w:t>
      </w:r>
      <w:r w:rsidRPr="00333872">
        <w:rPr>
          <w:sz w:val="20"/>
          <w:szCs w:val="20"/>
        </w:rPr>
        <w:br/>
        <w:t xml:space="preserve">      https://www.bea.gov/data/economy</w:t>
      </w:r>
      <w:r w:rsidRPr="00C55C6B">
        <w:rPr>
          <w:sz w:val="20"/>
          <w:szCs w:val="22"/>
        </w:rPr>
        <w:t xml:space="preserve">/national; </w:t>
      </w:r>
    </w:p>
    <w:p w14:paraId="228C26F4" w14:textId="77777777" w:rsidR="00494ED1" w:rsidRPr="009A7594" w:rsidRDefault="00494ED1" w:rsidP="00494ED1">
      <w:pPr>
        <w:pStyle w:val="NormalWeb"/>
        <w:spacing w:before="0" w:beforeAutospacing="0" w:after="0" w:afterAutospacing="0"/>
        <w:ind w:left="720"/>
        <w:rPr>
          <w:sz w:val="20"/>
          <w:szCs w:val="22"/>
        </w:rPr>
      </w:pPr>
      <w:r w:rsidRPr="009A7594">
        <w:rPr>
          <w:sz w:val="20"/>
          <w:szCs w:val="22"/>
        </w:rPr>
        <w:t>MeasuringWorth. Dow Jones Industrial Average, daily, monthly, and annual data, 1896–present</w:t>
      </w:r>
      <w:r>
        <w:rPr>
          <w:sz w:val="20"/>
          <w:szCs w:val="22"/>
        </w:rPr>
        <w:t>; 2025</w:t>
      </w:r>
      <w:r w:rsidRPr="009A7594">
        <w:rPr>
          <w:sz w:val="20"/>
          <w:szCs w:val="22"/>
        </w:rPr>
        <w:t>.</w:t>
      </w:r>
    </w:p>
    <w:p w14:paraId="75BF1303" w14:textId="77777777" w:rsidR="00494ED1" w:rsidRDefault="00494ED1" w:rsidP="00494ED1">
      <w:pPr>
        <w:pStyle w:val="NormalWeb"/>
        <w:spacing w:before="0" w:beforeAutospacing="0" w:after="0" w:afterAutospacing="0"/>
        <w:ind w:left="720"/>
        <w:rPr>
          <w:sz w:val="20"/>
          <w:szCs w:val="22"/>
        </w:rPr>
      </w:pPr>
      <w:r w:rsidRPr="009A7594">
        <w:rPr>
          <w:sz w:val="20"/>
          <w:szCs w:val="22"/>
        </w:rPr>
        <w:t xml:space="preserve">   </w:t>
      </w:r>
      <w:r>
        <w:rPr>
          <w:sz w:val="20"/>
          <w:szCs w:val="22"/>
        </w:rPr>
        <w:t xml:space="preserve">  </w:t>
      </w:r>
      <w:r w:rsidRPr="009A7594">
        <w:rPr>
          <w:sz w:val="20"/>
          <w:szCs w:val="22"/>
        </w:rPr>
        <w:t xml:space="preserve"> https://www.measuringworth.com/datasets/DJA/</w:t>
      </w:r>
    </w:p>
    <w:p w14:paraId="3E495905" w14:textId="77777777" w:rsidR="00494ED1" w:rsidRDefault="00494ED1" w:rsidP="00494ED1">
      <w:pPr>
        <w:spacing w:after="160" w:line="278" w:lineRule="auto"/>
      </w:pPr>
    </w:p>
    <w:p w14:paraId="1EE8E345" w14:textId="5BB8A77C" w:rsidR="00494ED1" w:rsidRPr="009A7594" w:rsidRDefault="00494ED1" w:rsidP="00494ED1">
      <w:pPr>
        <w:spacing w:after="160" w:line="278" w:lineRule="auto"/>
        <w:rPr>
          <w:rFonts w:eastAsia="Times New Roman" w:cstheme="minorHAnsi"/>
          <w:b/>
          <w:color w:val="000000" w:themeColor="text1"/>
          <w:kern w:val="0"/>
          <w:sz w:val="28"/>
          <w:szCs w:val="22"/>
          <w14:ligatures w14:val="none"/>
        </w:rPr>
      </w:pPr>
      <w:r>
        <w:t>Figures show normalized or transformed representations of performance; raw index levels are not reproduced. All financial data are used solely for research purposes and are not redistributed commercially.</w:t>
      </w:r>
    </w:p>
    <w:p w14:paraId="53905E5D" w14:textId="77777777" w:rsidR="007F16AC" w:rsidRPr="00B972A1" w:rsidRDefault="007F16AC" w:rsidP="00494ED1">
      <w:pPr>
        <w:spacing w:after="160" w:line="278" w:lineRule="auto"/>
      </w:pPr>
    </w:p>
    <w:sectPr w:rsidR="007F16AC" w:rsidRPr="00B972A1" w:rsidSect="00805C59">
      <w:headerReference w:type="default" r:id="rId12"/>
      <w:footnotePr>
        <w:numRestart w:val="eachSect"/>
      </w:foot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0DDCD" w14:textId="77777777" w:rsidR="00052E93" w:rsidRDefault="00052E93" w:rsidP="008821BD">
      <w:pPr>
        <w:spacing w:after="0" w:line="240" w:lineRule="auto"/>
      </w:pPr>
      <w:r>
        <w:separator/>
      </w:r>
    </w:p>
  </w:endnote>
  <w:endnote w:type="continuationSeparator" w:id="0">
    <w:p w14:paraId="3336E8E5" w14:textId="77777777" w:rsidR="00052E93" w:rsidRDefault="00052E93" w:rsidP="00882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1213" w14:textId="77777777" w:rsidR="00052E93" w:rsidRDefault="00052E93" w:rsidP="008821BD">
      <w:pPr>
        <w:spacing w:after="0" w:line="240" w:lineRule="auto"/>
      </w:pPr>
      <w:r>
        <w:separator/>
      </w:r>
    </w:p>
  </w:footnote>
  <w:footnote w:type="continuationSeparator" w:id="0">
    <w:p w14:paraId="02CCD67F" w14:textId="77777777" w:rsidR="00052E93" w:rsidRDefault="00052E93" w:rsidP="008821BD">
      <w:pPr>
        <w:spacing w:after="0" w:line="240" w:lineRule="auto"/>
      </w:pPr>
      <w:r>
        <w:continuationSeparator/>
      </w:r>
    </w:p>
  </w:footnote>
  <w:footnote w:id="1">
    <w:p w14:paraId="48E2F50A" w14:textId="42890054" w:rsidR="00953936" w:rsidRDefault="00953936">
      <w:pPr>
        <w:pStyle w:val="FootnoteText"/>
      </w:pPr>
      <w:r>
        <w:rPr>
          <w:rStyle w:val="FootnoteReference"/>
        </w:rPr>
        <w:footnoteRef/>
      </w:r>
      <w:r>
        <w:t xml:space="preserve"> </w:t>
      </w:r>
      <w:r w:rsidRPr="00953936">
        <w:t>https://papers.ssrn.com/sol3/papers.cfm?abstract_id=5482086</w:t>
      </w:r>
    </w:p>
  </w:footnote>
  <w:footnote w:id="2">
    <w:p w14:paraId="438A7827" w14:textId="77777777" w:rsidR="004F3F2B" w:rsidRDefault="004F3F2B" w:rsidP="004F3F2B">
      <w:pPr>
        <w:pStyle w:val="FootnoteText"/>
        <w:rPr>
          <w:rFonts w:eastAsia="Times New Roman" w:cs="Times New Roman"/>
        </w:rPr>
      </w:pPr>
      <w:r w:rsidRPr="00761317">
        <w:rPr>
          <w:rStyle w:val="FootnoteReference"/>
          <w:rFonts w:cs="Times New Roman"/>
        </w:rPr>
        <w:footnoteRef/>
      </w:r>
      <w:r w:rsidRPr="00761317">
        <w:rPr>
          <w:rFonts w:cs="Times New Roman"/>
        </w:rPr>
        <w:t xml:space="preserve"> </w:t>
      </w:r>
      <w:r w:rsidRPr="009B69BE">
        <w:rPr>
          <w:rFonts w:eastAsia="Times New Roman" w:cs="Times New Roman"/>
        </w:rPr>
        <w:t>Coulson KL</w:t>
      </w:r>
      <w:r w:rsidRPr="004A41A0">
        <w:rPr>
          <w:rFonts w:eastAsia="Times New Roman" w:cs="Times New Roman"/>
        </w:rPr>
        <w:t>. Polarization and Intensity of Light in the Atmosphere.</w:t>
      </w:r>
      <w:r w:rsidRPr="009B69BE">
        <w:rPr>
          <w:rFonts w:eastAsia="Times New Roman" w:cs="Times New Roman"/>
        </w:rPr>
        <w:t xml:space="preserve"> Hampton, VA: A. Deepak Publishing; 1988. NASA Technical Report Server entry available: </w:t>
      </w:r>
    </w:p>
    <w:p w14:paraId="32304AFB" w14:textId="77777777" w:rsidR="004F3F2B" w:rsidRPr="00761317" w:rsidRDefault="004F3F2B" w:rsidP="004F3F2B">
      <w:pPr>
        <w:pStyle w:val="FootnoteText"/>
        <w:rPr>
          <w:rFonts w:cs="Times New Roman"/>
        </w:rPr>
      </w:pPr>
      <w:r>
        <w:rPr>
          <w:rFonts w:eastAsia="Times New Roman" w:cs="Times New Roman"/>
        </w:rPr>
        <w:t xml:space="preserve">     </w:t>
      </w:r>
      <w:r w:rsidRPr="009B69BE">
        <w:rPr>
          <w:rFonts w:eastAsia="Times New Roman" w:cs="Times New Roman"/>
        </w:rPr>
        <w:t>https://ntrs.nasa.gov/citations/19880015415</w:t>
      </w:r>
    </w:p>
  </w:footnote>
  <w:footnote w:id="3">
    <w:p w14:paraId="01B95EB9" w14:textId="77777777" w:rsidR="004F3F2B" w:rsidRDefault="004F3F2B" w:rsidP="004F3F2B">
      <w:pPr>
        <w:pStyle w:val="FootnoteText"/>
        <w:rPr>
          <w:rFonts w:eastAsia="Times New Roman" w:cs="Times New Roman"/>
        </w:rPr>
      </w:pPr>
      <w:r w:rsidRPr="00761317">
        <w:rPr>
          <w:rStyle w:val="FootnoteReference"/>
          <w:rFonts w:cs="Times New Roman"/>
        </w:rPr>
        <w:footnoteRef/>
      </w:r>
      <w:r w:rsidRPr="00761317">
        <w:rPr>
          <w:rFonts w:cs="Times New Roman"/>
        </w:rPr>
        <w:t xml:space="preserve"> </w:t>
      </w:r>
      <w:r w:rsidRPr="009B69BE">
        <w:rPr>
          <w:rFonts w:eastAsia="Times New Roman" w:cs="Times New Roman"/>
        </w:rPr>
        <w:t xml:space="preserve">Cartwright DE, Tayler RJ. New computations of the tide-generating potential. </w:t>
      </w:r>
      <w:r w:rsidRPr="004A41A0">
        <w:rPr>
          <w:rFonts w:eastAsia="Times New Roman" w:cs="Times New Roman"/>
        </w:rPr>
        <w:t>Geophys J R Astron Soc.</w:t>
      </w:r>
      <w:r w:rsidRPr="009B69BE">
        <w:rPr>
          <w:rFonts w:eastAsia="Times New Roman" w:cs="Times New Roman"/>
        </w:rPr>
        <w:t xml:space="preserve"> 1971;23(1):45–74. </w:t>
      </w:r>
    </w:p>
    <w:p w14:paraId="3F738306" w14:textId="77777777" w:rsidR="004F3F2B" w:rsidRPr="00761317" w:rsidRDefault="004F3F2B" w:rsidP="004F3F2B">
      <w:pPr>
        <w:pStyle w:val="FootnoteText"/>
        <w:rPr>
          <w:rFonts w:cs="Times New Roman"/>
        </w:rPr>
      </w:pPr>
      <w:r>
        <w:t xml:space="preserve">      </w:t>
      </w:r>
      <w:r w:rsidRPr="00761317">
        <w:rPr>
          <w:rFonts w:cs="Times New Roman"/>
        </w:rPr>
        <w:t>https://doi.org/</w:t>
      </w:r>
      <w:r w:rsidRPr="009B69BE">
        <w:rPr>
          <w:rFonts w:eastAsia="Times New Roman" w:cs="Times New Roman"/>
        </w:rPr>
        <w:t>doi:10.1111/j.1365-246X.1971.tb01803.x</w:t>
      </w:r>
    </w:p>
  </w:footnote>
  <w:footnote w:id="4">
    <w:p w14:paraId="4D765047"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Tu C, Marsch E. MHD structures, waves and turbulence in the solar wind: observations and theories. Space Sci Rev. 1995;73(1-2):1-210.</w:t>
      </w:r>
    </w:p>
  </w:footnote>
  <w:footnote w:id="5">
    <w:p w14:paraId="4EF28F21"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Bruno R, Carbone V. The solar wind as a turbulence laboratory. Living Rev Sol Phys. 2013;10(1):2.</w:t>
      </w:r>
      <w:r>
        <w:br/>
        <w:t xml:space="preserve">      https://doi.org/10.12942/lrsp-2013-2</w:t>
      </w:r>
    </w:p>
  </w:footnote>
  <w:footnote w:id="6">
    <w:p w14:paraId="4A69CEF0"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Smith CW, Hamilton K, Vasquez BJ, Leamon RJ. Dependence of the dissipation range spectrum of interplanetary magnetic fluctuations on the rate of energy cascade. Astrophys J Lett. 2006;645(1):L85-8.</w:t>
      </w:r>
    </w:p>
  </w:footnote>
  <w:footnote w:id="7">
    <w:p w14:paraId="5834A0E2" w14:textId="77777777" w:rsidR="004F3F2B" w:rsidRDefault="004F3F2B" w:rsidP="004F3F2B">
      <w:pPr>
        <w:pStyle w:val="FootnoteText"/>
        <w:rPr>
          <w:rFonts w:eastAsia="Times New Roman" w:cs="Times New Roman"/>
        </w:rPr>
      </w:pPr>
      <w:r w:rsidRPr="00761317">
        <w:rPr>
          <w:rStyle w:val="FootnoteReference"/>
          <w:rFonts w:cs="Times New Roman"/>
        </w:rPr>
        <w:footnoteRef/>
      </w:r>
      <w:r w:rsidRPr="00761317">
        <w:rPr>
          <w:rFonts w:cs="Times New Roman"/>
        </w:rPr>
        <w:t xml:space="preserve"> </w:t>
      </w:r>
      <w:r w:rsidRPr="009B69BE">
        <w:rPr>
          <w:rFonts w:eastAsia="Times New Roman" w:cs="Times New Roman"/>
        </w:rPr>
        <w:t xml:space="preserve">Charbonneau P. Dynamo models of the solar cycle. </w:t>
      </w:r>
      <w:r w:rsidRPr="004A41A0">
        <w:rPr>
          <w:rFonts w:eastAsia="Times New Roman" w:cs="Times New Roman"/>
        </w:rPr>
        <w:t>Living Rev Sol Phys</w:t>
      </w:r>
      <w:r w:rsidRPr="009B69BE">
        <w:rPr>
          <w:rFonts w:eastAsia="Times New Roman" w:cs="Times New Roman"/>
        </w:rPr>
        <w:t xml:space="preserve">. 2010;7(3). </w:t>
      </w:r>
    </w:p>
    <w:p w14:paraId="760CD3D1" w14:textId="77777777" w:rsidR="004F3F2B" w:rsidRPr="00761317" w:rsidRDefault="004F3F2B" w:rsidP="004F3F2B">
      <w:pPr>
        <w:pStyle w:val="FootnoteText"/>
        <w:rPr>
          <w:rFonts w:cs="Times New Roman"/>
        </w:rPr>
      </w:pPr>
      <w:r>
        <w:rPr>
          <w:rFonts w:cs="Times New Roman"/>
        </w:rPr>
        <w:t xml:space="preserve">      </w:t>
      </w:r>
      <w:r w:rsidRPr="00761317">
        <w:rPr>
          <w:rFonts w:cs="Times New Roman"/>
        </w:rPr>
        <w:t>https://doi.org</w:t>
      </w:r>
      <w:r>
        <w:rPr>
          <w:rFonts w:cs="Times New Roman"/>
        </w:rPr>
        <w:t>/</w:t>
      </w:r>
      <w:r w:rsidRPr="009B69BE">
        <w:rPr>
          <w:rFonts w:eastAsia="Times New Roman" w:cs="Times New Roman"/>
        </w:rPr>
        <w:t>10.12942/lrsp-2010-3</w:t>
      </w:r>
    </w:p>
  </w:footnote>
  <w:footnote w:id="8">
    <w:p w14:paraId="79B72FAC"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Richardson JD, Paularena KI, Lazarus AJ, Belcher JW. Radial evolution of the solar wind from IMP 8 to Voyager 2. Adv Space Res. 1996;18(1–2):17–26.</w:t>
      </w:r>
    </w:p>
  </w:footnote>
  <w:footnote w:id="9">
    <w:p w14:paraId="03ACC04A"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Tu C, Marsch E. MHD structures, waves and turbulence in the solar wind: observations and theories. Space Sci Rev. 1995;73(1-2):1-210.</w:t>
      </w:r>
    </w:p>
  </w:footnote>
  <w:footnote w:id="10">
    <w:p w14:paraId="15599274"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Goldstein ML, Roberts DA, Matthaeus WH. Magnetohydrodynamic turbulence in the solar wind. Annu Rev Astron Astrophys. 1995;33:283-325.</w:t>
      </w:r>
      <w:r>
        <w:br/>
        <w:t xml:space="preserve">      https://doi.org/10.1146/annurev.aa.33.090195.001435</w:t>
      </w:r>
    </w:p>
  </w:footnote>
  <w:footnote w:id="11">
    <w:p w14:paraId="28542F21"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Thomas N, Bagenal F, Hill T, Wilson J. The Io neutral clouds and plasma torus. In: Bagenal F, Dowling TE, McKinnon WB, editors. Jupiter: The Planet, Satellites and Magnetosphere. Cambridge University Press; 2004. p. 561–591.</w:t>
      </w:r>
    </w:p>
  </w:footnote>
  <w:footnote w:id="12">
    <w:p w14:paraId="40A0C74D"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Ness NF, Acuña MH, Burlaga LF, et al. Magnetic field observations near Uranus: Voyager 2 results. Science. 1986;233(4759):85–89.</w:t>
      </w:r>
    </w:p>
  </w:footnote>
  <w:footnote w:id="13">
    <w:p w14:paraId="730AA54B"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Connerney JEP, Acuña MH, Ness NF. The magnetic field of Neptune. J Geophys Res. 1991;96(S01):19023–19042.</w:t>
      </w:r>
    </w:p>
  </w:footnote>
  <w:footnote w:id="14">
    <w:p w14:paraId="7A7423A8"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Blesser B. An acoustical interpretation of classical architecture. J Acoust Soc Am. 2001;109(6):2972.</w:t>
      </w:r>
    </w:p>
  </w:footnote>
  <w:footnote w:id="15">
    <w:p w14:paraId="5488D625" w14:textId="77777777" w:rsidR="004F3F2B" w:rsidRPr="00761317" w:rsidRDefault="004F3F2B" w:rsidP="004F3F2B">
      <w:pPr>
        <w:pStyle w:val="FootnoteText"/>
        <w:rPr>
          <w:rFonts w:cs="Times New Roman"/>
        </w:rPr>
      </w:pPr>
      <w:r w:rsidRPr="00761317">
        <w:rPr>
          <w:rStyle w:val="FootnoteReference"/>
          <w:rFonts w:cs="Times New Roman"/>
        </w:rPr>
        <w:footnoteRef/>
      </w:r>
      <w:r w:rsidRPr="00761317">
        <w:rPr>
          <w:rFonts w:cs="Times New Roman"/>
        </w:rPr>
        <w:t xml:space="preserve"> </w:t>
      </w:r>
      <w:r>
        <w:t>Howes GG, Dorland W, Cowley SC, Hammett GW, Quataert E, Schekochihin AA, Tatsuno T. A model of turbulence in magnetized plasmas: implications for the dissipation range in the solar wind. J Geophys Res. 2008;113:A05103.</w:t>
      </w:r>
      <w:r>
        <w:br/>
        <w:t xml:space="preserve">      https://doi.org/10.1029/2007JA012665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43706"/>
      <w:docPartObj>
        <w:docPartGallery w:val="Page Numbers (Margins)"/>
        <w:docPartUnique/>
      </w:docPartObj>
    </w:sdtPr>
    <w:sdtContent>
      <w:p w14:paraId="1E254F6A" w14:textId="438EC3FC" w:rsidR="00805C59" w:rsidRPr="00805C59" w:rsidRDefault="00805C59">
        <w:pPr>
          <w:pStyle w:val="Header"/>
          <w:rPr>
            <w:sz w:val="22"/>
          </w:rPr>
        </w:pPr>
        <w:r>
          <w:rPr>
            <w:noProof/>
          </w:rPr>
          <mc:AlternateContent>
            <mc:Choice Requires="wps">
              <w:drawing>
                <wp:anchor distT="0" distB="0" distL="114300" distR="114300" simplePos="0" relativeHeight="251659264" behindDoc="0" locked="0" layoutInCell="0" allowOverlap="1" wp14:anchorId="763CAFDB" wp14:editId="1EE6CEDE">
                  <wp:simplePos x="0" y="0"/>
                  <wp:positionH relativeFrom="rightMargin">
                    <wp:align>right</wp:align>
                  </wp:positionH>
                  <wp:positionV relativeFrom="margin">
                    <wp:align>center</wp:align>
                  </wp:positionV>
                  <wp:extent cx="727710" cy="329565"/>
                  <wp:effectExtent l="0" t="0" r="0" b="3810"/>
                  <wp:wrapNone/>
                  <wp:docPr id="21271874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3364EA" w14:textId="77777777" w:rsidR="00805C59" w:rsidRDefault="00805C59">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763CAFDB" id="Rectangle 9"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113364EA" w14:textId="77777777" w:rsidR="00805C59" w:rsidRDefault="00805C59">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B5A"/>
    <w:multiLevelType w:val="hybridMultilevel"/>
    <w:tmpl w:val="97ECC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A73B6"/>
    <w:multiLevelType w:val="multilevel"/>
    <w:tmpl w:val="B6E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324A"/>
    <w:multiLevelType w:val="hybridMultilevel"/>
    <w:tmpl w:val="1938C0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724F5"/>
    <w:multiLevelType w:val="multilevel"/>
    <w:tmpl w:val="FB0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A8A"/>
    <w:multiLevelType w:val="multilevel"/>
    <w:tmpl w:val="4798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41ABD"/>
    <w:multiLevelType w:val="multilevel"/>
    <w:tmpl w:val="F77C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C2387"/>
    <w:multiLevelType w:val="multilevel"/>
    <w:tmpl w:val="32A6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D7CF8"/>
    <w:multiLevelType w:val="hybridMultilevel"/>
    <w:tmpl w:val="020E4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C11DF2"/>
    <w:multiLevelType w:val="hybridMultilevel"/>
    <w:tmpl w:val="279C0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D03B24"/>
    <w:multiLevelType w:val="multilevel"/>
    <w:tmpl w:val="3FB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32A2"/>
    <w:multiLevelType w:val="hybridMultilevel"/>
    <w:tmpl w:val="BA140A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005652"/>
    <w:multiLevelType w:val="multilevel"/>
    <w:tmpl w:val="BD4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F1045"/>
    <w:multiLevelType w:val="multilevel"/>
    <w:tmpl w:val="AA0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0189F"/>
    <w:multiLevelType w:val="multilevel"/>
    <w:tmpl w:val="7618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973B2D"/>
    <w:multiLevelType w:val="hybridMultilevel"/>
    <w:tmpl w:val="8918D808"/>
    <w:lvl w:ilvl="0" w:tplc="93EE870E">
      <w:start w:val="1"/>
      <w:numFmt w:val="bullet"/>
      <w:pStyle w:val="BoxBullets"/>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6D25B7"/>
    <w:multiLevelType w:val="multilevel"/>
    <w:tmpl w:val="307C4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070A1"/>
    <w:multiLevelType w:val="multilevel"/>
    <w:tmpl w:val="5F08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C6A4B"/>
    <w:multiLevelType w:val="hybridMultilevel"/>
    <w:tmpl w:val="3F700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196068"/>
    <w:multiLevelType w:val="hybridMultilevel"/>
    <w:tmpl w:val="9A900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C3EFE"/>
    <w:multiLevelType w:val="hybridMultilevel"/>
    <w:tmpl w:val="EC7880C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C556B6"/>
    <w:multiLevelType w:val="hybridMultilevel"/>
    <w:tmpl w:val="170C8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427423"/>
    <w:multiLevelType w:val="hybridMultilevel"/>
    <w:tmpl w:val="88E66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4361F9"/>
    <w:multiLevelType w:val="multilevel"/>
    <w:tmpl w:val="AD3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21D94"/>
    <w:multiLevelType w:val="hybridMultilevel"/>
    <w:tmpl w:val="C3262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774F43"/>
    <w:multiLevelType w:val="hybridMultilevel"/>
    <w:tmpl w:val="7D48CB2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188046">
    <w:abstractNumId w:val="14"/>
  </w:num>
  <w:num w:numId="2" w16cid:durableId="2042898195">
    <w:abstractNumId w:val="4"/>
  </w:num>
  <w:num w:numId="3" w16cid:durableId="917636718">
    <w:abstractNumId w:val="6"/>
  </w:num>
  <w:num w:numId="4" w16cid:durableId="1612661594">
    <w:abstractNumId w:val="7"/>
  </w:num>
  <w:num w:numId="5" w16cid:durableId="1470245080">
    <w:abstractNumId w:val="13"/>
  </w:num>
  <w:num w:numId="6" w16cid:durableId="642271028">
    <w:abstractNumId w:val="15"/>
  </w:num>
  <w:num w:numId="7" w16cid:durableId="838353116">
    <w:abstractNumId w:val="9"/>
  </w:num>
  <w:num w:numId="8" w16cid:durableId="1956324016">
    <w:abstractNumId w:val="1"/>
  </w:num>
  <w:num w:numId="9" w16cid:durableId="67193900">
    <w:abstractNumId w:val="21"/>
  </w:num>
  <w:num w:numId="10" w16cid:durableId="1001661145">
    <w:abstractNumId w:val="8"/>
  </w:num>
  <w:num w:numId="11" w16cid:durableId="1104423339">
    <w:abstractNumId w:val="5"/>
  </w:num>
  <w:num w:numId="12" w16cid:durableId="899054165">
    <w:abstractNumId w:val="16"/>
  </w:num>
  <w:num w:numId="13" w16cid:durableId="1820464095">
    <w:abstractNumId w:val="12"/>
  </w:num>
  <w:num w:numId="14" w16cid:durableId="1052578601">
    <w:abstractNumId w:val="3"/>
  </w:num>
  <w:num w:numId="15" w16cid:durableId="1230001764">
    <w:abstractNumId w:val="0"/>
  </w:num>
  <w:num w:numId="16" w16cid:durableId="1910266509">
    <w:abstractNumId w:val="22"/>
  </w:num>
  <w:num w:numId="17" w16cid:durableId="590041475">
    <w:abstractNumId w:val="11"/>
  </w:num>
  <w:num w:numId="18" w16cid:durableId="622611436">
    <w:abstractNumId w:val="18"/>
  </w:num>
  <w:num w:numId="19" w16cid:durableId="133258032">
    <w:abstractNumId w:val="2"/>
  </w:num>
  <w:num w:numId="20" w16cid:durableId="275676991">
    <w:abstractNumId w:val="17"/>
  </w:num>
  <w:num w:numId="21" w16cid:durableId="78328462">
    <w:abstractNumId w:val="24"/>
  </w:num>
  <w:num w:numId="22" w16cid:durableId="1519731069">
    <w:abstractNumId w:val="20"/>
  </w:num>
  <w:num w:numId="23" w16cid:durableId="1091971013">
    <w:abstractNumId w:val="10"/>
  </w:num>
  <w:num w:numId="24" w16cid:durableId="1486119588">
    <w:abstractNumId w:val="19"/>
  </w:num>
  <w:num w:numId="25" w16cid:durableId="1259871817">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0C"/>
    <w:rsid w:val="0000068D"/>
    <w:rsid w:val="000007A5"/>
    <w:rsid w:val="00000A40"/>
    <w:rsid w:val="0000391A"/>
    <w:rsid w:val="00003C21"/>
    <w:rsid w:val="0000485F"/>
    <w:rsid w:val="00004C0F"/>
    <w:rsid w:val="00005193"/>
    <w:rsid w:val="00006880"/>
    <w:rsid w:val="00006BD9"/>
    <w:rsid w:val="00007383"/>
    <w:rsid w:val="00007ACF"/>
    <w:rsid w:val="00007E8F"/>
    <w:rsid w:val="0001043F"/>
    <w:rsid w:val="000104E3"/>
    <w:rsid w:val="00011B34"/>
    <w:rsid w:val="00012655"/>
    <w:rsid w:val="00012763"/>
    <w:rsid w:val="00013CD4"/>
    <w:rsid w:val="00014704"/>
    <w:rsid w:val="00014ED8"/>
    <w:rsid w:val="00015B61"/>
    <w:rsid w:val="00016168"/>
    <w:rsid w:val="00017331"/>
    <w:rsid w:val="000173F1"/>
    <w:rsid w:val="000203EC"/>
    <w:rsid w:val="00021A64"/>
    <w:rsid w:val="0002291B"/>
    <w:rsid w:val="00023526"/>
    <w:rsid w:val="000237ED"/>
    <w:rsid w:val="00023DCC"/>
    <w:rsid w:val="00024656"/>
    <w:rsid w:val="00024753"/>
    <w:rsid w:val="00024771"/>
    <w:rsid w:val="00024E88"/>
    <w:rsid w:val="00024EDB"/>
    <w:rsid w:val="00025CDB"/>
    <w:rsid w:val="00027002"/>
    <w:rsid w:val="000323B7"/>
    <w:rsid w:val="000329B4"/>
    <w:rsid w:val="000335A0"/>
    <w:rsid w:val="000337EA"/>
    <w:rsid w:val="0003442F"/>
    <w:rsid w:val="00034BB8"/>
    <w:rsid w:val="0003505C"/>
    <w:rsid w:val="00035BED"/>
    <w:rsid w:val="00036B87"/>
    <w:rsid w:val="00037210"/>
    <w:rsid w:val="00037B21"/>
    <w:rsid w:val="00040C36"/>
    <w:rsid w:val="00042149"/>
    <w:rsid w:val="000423E3"/>
    <w:rsid w:val="00042D04"/>
    <w:rsid w:val="00042E4E"/>
    <w:rsid w:val="00042F32"/>
    <w:rsid w:val="000431DC"/>
    <w:rsid w:val="00043C14"/>
    <w:rsid w:val="0004420F"/>
    <w:rsid w:val="00044C64"/>
    <w:rsid w:val="000465DB"/>
    <w:rsid w:val="00047017"/>
    <w:rsid w:val="00047350"/>
    <w:rsid w:val="00050122"/>
    <w:rsid w:val="00050867"/>
    <w:rsid w:val="00052E93"/>
    <w:rsid w:val="00052FB7"/>
    <w:rsid w:val="00054B9C"/>
    <w:rsid w:val="00054E51"/>
    <w:rsid w:val="00055183"/>
    <w:rsid w:val="000557DE"/>
    <w:rsid w:val="000558FC"/>
    <w:rsid w:val="00055F40"/>
    <w:rsid w:val="00055F80"/>
    <w:rsid w:val="00056547"/>
    <w:rsid w:val="000579E5"/>
    <w:rsid w:val="000601E4"/>
    <w:rsid w:val="0006027E"/>
    <w:rsid w:val="00061749"/>
    <w:rsid w:val="0006200D"/>
    <w:rsid w:val="00062340"/>
    <w:rsid w:val="00062F03"/>
    <w:rsid w:val="00063071"/>
    <w:rsid w:val="00063326"/>
    <w:rsid w:val="00063D1B"/>
    <w:rsid w:val="00064588"/>
    <w:rsid w:val="0006482B"/>
    <w:rsid w:val="000651FE"/>
    <w:rsid w:val="0006521D"/>
    <w:rsid w:val="00066F5B"/>
    <w:rsid w:val="00067CCF"/>
    <w:rsid w:val="00067FA6"/>
    <w:rsid w:val="000705AC"/>
    <w:rsid w:val="0007061F"/>
    <w:rsid w:val="00070B9F"/>
    <w:rsid w:val="00070F7A"/>
    <w:rsid w:val="000713A0"/>
    <w:rsid w:val="000714C7"/>
    <w:rsid w:val="00072550"/>
    <w:rsid w:val="00072617"/>
    <w:rsid w:val="000728CA"/>
    <w:rsid w:val="000748D0"/>
    <w:rsid w:val="00074EFF"/>
    <w:rsid w:val="0007568B"/>
    <w:rsid w:val="000758B2"/>
    <w:rsid w:val="00076B0D"/>
    <w:rsid w:val="00076D5B"/>
    <w:rsid w:val="00077CE7"/>
    <w:rsid w:val="000817F6"/>
    <w:rsid w:val="00081AF7"/>
    <w:rsid w:val="00082AA0"/>
    <w:rsid w:val="00082F64"/>
    <w:rsid w:val="000852A9"/>
    <w:rsid w:val="00085656"/>
    <w:rsid w:val="00086B80"/>
    <w:rsid w:val="00087213"/>
    <w:rsid w:val="00087619"/>
    <w:rsid w:val="00087724"/>
    <w:rsid w:val="00087AE5"/>
    <w:rsid w:val="00087FF2"/>
    <w:rsid w:val="00091545"/>
    <w:rsid w:val="0009292C"/>
    <w:rsid w:val="00092E07"/>
    <w:rsid w:val="00093015"/>
    <w:rsid w:val="000934A5"/>
    <w:rsid w:val="00093D2E"/>
    <w:rsid w:val="00093EBA"/>
    <w:rsid w:val="00094937"/>
    <w:rsid w:val="00094F2C"/>
    <w:rsid w:val="00095159"/>
    <w:rsid w:val="0009518E"/>
    <w:rsid w:val="00095292"/>
    <w:rsid w:val="000954C1"/>
    <w:rsid w:val="00095A1A"/>
    <w:rsid w:val="00096283"/>
    <w:rsid w:val="00096C99"/>
    <w:rsid w:val="00097B63"/>
    <w:rsid w:val="00097E7D"/>
    <w:rsid w:val="000A0387"/>
    <w:rsid w:val="000A0C05"/>
    <w:rsid w:val="000A1A28"/>
    <w:rsid w:val="000A1ADD"/>
    <w:rsid w:val="000A4FCA"/>
    <w:rsid w:val="000A59EB"/>
    <w:rsid w:val="000A629F"/>
    <w:rsid w:val="000A757B"/>
    <w:rsid w:val="000B02E5"/>
    <w:rsid w:val="000B02FD"/>
    <w:rsid w:val="000B0420"/>
    <w:rsid w:val="000B15AF"/>
    <w:rsid w:val="000B1640"/>
    <w:rsid w:val="000B1F7B"/>
    <w:rsid w:val="000B225E"/>
    <w:rsid w:val="000B3A42"/>
    <w:rsid w:val="000B3B13"/>
    <w:rsid w:val="000B4734"/>
    <w:rsid w:val="000B4DD7"/>
    <w:rsid w:val="000B4F82"/>
    <w:rsid w:val="000B4F92"/>
    <w:rsid w:val="000B724A"/>
    <w:rsid w:val="000B7F5E"/>
    <w:rsid w:val="000C0EF4"/>
    <w:rsid w:val="000C11F1"/>
    <w:rsid w:val="000C1286"/>
    <w:rsid w:val="000C2DB4"/>
    <w:rsid w:val="000C3D14"/>
    <w:rsid w:val="000C4E1F"/>
    <w:rsid w:val="000C4EA9"/>
    <w:rsid w:val="000C5308"/>
    <w:rsid w:val="000C6177"/>
    <w:rsid w:val="000C6E89"/>
    <w:rsid w:val="000C7166"/>
    <w:rsid w:val="000D0BB3"/>
    <w:rsid w:val="000D0D44"/>
    <w:rsid w:val="000D1489"/>
    <w:rsid w:val="000D1757"/>
    <w:rsid w:val="000D2323"/>
    <w:rsid w:val="000D284B"/>
    <w:rsid w:val="000D3301"/>
    <w:rsid w:val="000D6C78"/>
    <w:rsid w:val="000D71BE"/>
    <w:rsid w:val="000E07C3"/>
    <w:rsid w:val="000E0E80"/>
    <w:rsid w:val="000E1201"/>
    <w:rsid w:val="000E1540"/>
    <w:rsid w:val="000E1A28"/>
    <w:rsid w:val="000E1D71"/>
    <w:rsid w:val="000E377A"/>
    <w:rsid w:val="000E3D15"/>
    <w:rsid w:val="000E6108"/>
    <w:rsid w:val="000E6635"/>
    <w:rsid w:val="000E6FB5"/>
    <w:rsid w:val="000E7CC9"/>
    <w:rsid w:val="000F013C"/>
    <w:rsid w:val="000F0546"/>
    <w:rsid w:val="000F107B"/>
    <w:rsid w:val="000F2265"/>
    <w:rsid w:val="000F2D09"/>
    <w:rsid w:val="000F4086"/>
    <w:rsid w:val="000F4970"/>
    <w:rsid w:val="000F49A0"/>
    <w:rsid w:val="000F571A"/>
    <w:rsid w:val="000F6CB4"/>
    <w:rsid w:val="000F77DE"/>
    <w:rsid w:val="00100073"/>
    <w:rsid w:val="001000BE"/>
    <w:rsid w:val="00100430"/>
    <w:rsid w:val="00101622"/>
    <w:rsid w:val="0010395D"/>
    <w:rsid w:val="00103D99"/>
    <w:rsid w:val="00104F82"/>
    <w:rsid w:val="00106345"/>
    <w:rsid w:val="001063ED"/>
    <w:rsid w:val="00106467"/>
    <w:rsid w:val="001064E2"/>
    <w:rsid w:val="00106A8F"/>
    <w:rsid w:val="001071C5"/>
    <w:rsid w:val="00107D8E"/>
    <w:rsid w:val="0011082F"/>
    <w:rsid w:val="001108AD"/>
    <w:rsid w:val="00111CD5"/>
    <w:rsid w:val="00111E20"/>
    <w:rsid w:val="00111EFA"/>
    <w:rsid w:val="00112012"/>
    <w:rsid w:val="00112362"/>
    <w:rsid w:val="001139BB"/>
    <w:rsid w:val="00113E6C"/>
    <w:rsid w:val="001142D1"/>
    <w:rsid w:val="00114376"/>
    <w:rsid w:val="00114454"/>
    <w:rsid w:val="00114F73"/>
    <w:rsid w:val="00115546"/>
    <w:rsid w:val="0011711A"/>
    <w:rsid w:val="00117C75"/>
    <w:rsid w:val="00120C76"/>
    <w:rsid w:val="001210DA"/>
    <w:rsid w:val="0012234B"/>
    <w:rsid w:val="001230B5"/>
    <w:rsid w:val="00125413"/>
    <w:rsid w:val="001256A4"/>
    <w:rsid w:val="001257D8"/>
    <w:rsid w:val="00125B55"/>
    <w:rsid w:val="00125E51"/>
    <w:rsid w:val="00126040"/>
    <w:rsid w:val="00126574"/>
    <w:rsid w:val="001279D4"/>
    <w:rsid w:val="00130F2B"/>
    <w:rsid w:val="00131E9C"/>
    <w:rsid w:val="00132509"/>
    <w:rsid w:val="00132A64"/>
    <w:rsid w:val="00132D3A"/>
    <w:rsid w:val="001343DF"/>
    <w:rsid w:val="00134709"/>
    <w:rsid w:val="00135AF7"/>
    <w:rsid w:val="00135E67"/>
    <w:rsid w:val="00136C3C"/>
    <w:rsid w:val="00136C67"/>
    <w:rsid w:val="00136E84"/>
    <w:rsid w:val="00137B39"/>
    <w:rsid w:val="00137C89"/>
    <w:rsid w:val="00141381"/>
    <w:rsid w:val="00141631"/>
    <w:rsid w:val="00141A34"/>
    <w:rsid w:val="001434F1"/>
    <w:rsid w:val="001435D4"/>
    <w:rsid w:val="0014401D"/>
    <w:rsid w:val="0014428C"/>
    <w:rsid w:val="001445E6"/>
    <w:rsid w:val="001448F8"/>
    <w:rsid w:val="001453E4"/>
    <w:rsid w:val="00146509"/>
    <w:rsid w:val="00146B59"/>
    <w:rsid w:val="0015002E"/>
    <w:rsid w:val="001507AB"/>
    <w:rsid w:val="001510E9"/>
    <w:rsid w:val="0015182B"/>
    <w:rsid w:val="001529B8"/>
    <w:rsid w:val="00152A17"/>
    <w:rsid w:val="001534BD"/>
    <w:rsid w:val="00153E9D"/>
    <w:rsid w:val="00155DC0"/>
    <w:rsid w:val="00157171"/>
    <w:rsid w:val="0016056F"/>
    <w:rsid w:val="0016091F"/>
    <w:rsid w:val="00161B6B"/>
    <w:rsid w:val="0016204B"/>
    <w:rsid w:val="00162F33"/>
    <w:rsid w:val="00163E88"/>
    <w:rsid w:val="001643D5"/>
    <w:rsid w:val="0016454E"/>
    <w:rsid w:val="00165020"/>
    <w:rsid w:val="00166523"/>
    <w:rsid w:val="0016746F"/>
    <w:rsid w:val="00170FE5"/>
    <w:rsid w:val="00172190"/>
    <w:rsid w:val="001727C7"/>
    <w:rsid w:val="00173801"/>
    <w:rsid w:val="00173810"/>
    <w:rsid w:val="00174C5E"/>
    <w:rsid w:val="00174D80"/>
    <w:rsid w:val="0017562A"/>
    <w:rsid w:val="00175C32"/>
    <w:rsid w:val="00176AFA"/>
    <w:rsid w:val="00176DE9"/>
    <w:rsid w:val="00180082"/>
    <w:rsid w:val="00180538"/>
    <w:rsid w:val="00180850"/>
    <w:rsid w:val="00180EC7"/>
    <w:rsid w:val="00180FAB"/>
    <w:rsid w:val="001811A2"/>
    <w:rsid w:val="00181EDE"/>
    <w:rsid w:val="001844D5"/>
    <w:rsid w:val="001851D3"/>
    <w:rsid w:val="001856BD"/>
    <w:rsid w:val="00185FBE"/>
    <w:rsid w:val="00186508"/>
    <w:rsid w:val="00187132"/>
    <w:rsid w:val="0018739E"/>
    <w:rsid w:val="00187714"/>
    <w:rsid w:val="00187A98"/>
    <w:rsid w:val="00187DF8"/>
    <w:rsid w:val="001905A8"/>
    <w:rsid w:val="0019114C"/>
    <w:rsid w:val="001918B6"/>
    <w:rsid w:val="0019218C"/>
    <w:rsid w:val="0019246D"/>
    <w:rsid w:val="0019370B"/>
    <w:rsid w:val="00193825"/>
    <w:rsid w:val="001938CC"/>
    <w:rsid w:val="00193983"/>
    <w:rsid w:val="00193E48"/>
    <w:rsid w:val="001940B8"/>
    <w:rsid w:val="00194E1F"/>
    <w:rsid w:val="0019507F"/>
    <w:rsid w:val="00196C5F"/>
    <w:rsid w:val="00196E1D"/>
    <w:rsid w:val="00197310"/>
    <w:rsid w:val="00197AA2"/>
    <w:rsid w:val="00197E3E"/>
    <w:rsid w:val="001A0957"/>
    <w:rsid w:val="001A0C93"/>
    <w:rsid w:val="001A1BD8"/>
    <w:rsid w:val="001A24E0"/>
    <w:rsid w:val="001A2833"/>
    <w:rsid w:val="001A336B"/>
    <w:rsid w:val="001A3FE5"/>
    <w:rsid w:val="001A483B"/>
    <w:rsid w:val="001A48FF"/>
    <w:rsid w:val="001A54B4"/>
    <w:rsid w:val="001A67D0"/>
    <w:rsid w:val="001B106A"/>
    <w:rsid w:val="001B133B"/>
    <w:rsid w:val="001B15C2"/>
    <w:rsid w:val="001B218B"/>
    <w:rsid w:val="001B2B5C"/>
    <w:rsid w:val="001B2FBF"/>
    <w:rsid w:val="001B306E"/>
    <w:rsid w:val="001B3164"/>
    <w:rsid w:val="001B3390"/>
    <w:rsid w:val="001B42BA"/>
    <w:rsid w:val="001B6301"/>
    <w:rsid w:val="001B663C"/>
    <w:rsid w:val="001B69AF"/>
    <w:rsid w:val="001B6A19"/>
    <w:rsid w:val="001B7016"/>
    <w:rsid w:val="001C056A"/>
    <w:rsid w:val="001C079F"/>
    <w:rsid w:val="001C1171"/>
    <w:rsid w:val="001C1D28"/>
    <w:rsid w:val="001C33DA"/>
    <w:rsid w:val="001C5209"/>
    <w:rsid w:val="001C5448"/>
    <w:rsid w:val="001C54AB"/>
    <w:rsid w:val="001C5DFC"/>
    <w:rsid w:val="001C79C5"/>
    <w:rsid w:val="001D04F6"/>
    <w:rsid w:val="001D0A34"/>
    <w:rsid w:val="001D1937"/>
    <w:rsid w:val="001D1E71"/>
    <w:rsid w:val="001D24CB"/>
    <w:rsid w:val="001D450E"/>
    <w:rsid w:val="001D46A2"/>
    <w:rsid w:val="001D54EE"/>
    <w:rsid w:val="001D55D1"/>
    <w:rsid w:val="001D57E4"/>
    <w:rsid w:val="001D5B23"/>
    <w:rsid w:val="001D5E69"/>
    <w:rsid w:val="001D60E5"/>
    <w:rsid w:val="001D6395"/>
    <w:rsid w:val="001D6711"/>
    <w:rsid w:val="001E1315"/>
    <w:rsid w:val="001E1766"/>
    <w:rsid w:val="001E21D1"/>
    <w:rsid w:val="001E259E"/>
    <w:rsid w:val="001E54BB"/>
    <w:rsid w:val="001E59D3"/>
    <w:rsid w:val="001E5EC0"/>
    <w:rsid w:val="001E5F56"/>
    <w:rsid w:val="001E653C"/>
    <w:rsid w:val="001E6AE4"/>
    <w:rsid w:val="001E6E16"/>
    <w:rsid w:val="001F0458"/>
    <w:rsid w:val="001F0612"/>
    <w:rsid w:val="001F0735"/>
    <w:rsid w:val="001F07EB"/>
    <w:rsid w:val="001F1731"/>
    <w:rsid w:val="001F177D"/>
    <w:rsid w:val="001F21B6"/>
    <w:rsid w:val="001F2749"/>
    <w:rsid w:val="001F2BAD"/>
    <w:rsid w:val="001F3C33"/>
    <w:rsid w:val="001F4B9F"/>
    <w:rsid w:val="001F4FB6"/>
    <w:rsid w:val="001F5D12"/>
    <w:rsid w:val="001F5FA7"/>
    <w:rsid w:val="001F6F7F"/>
    <w:rsid w:val="001F7FC6"/>
    <w:rsid w:val="0020105C"/>
    <w:rsid w:val="002033B4"/>
    <w:rsid w:val="002037C9"/>
    <w:rsid w:val="00203D89"/>
    <w:rsid w:val="002044E1"/>
    <w:rsid w:val="00204F26"/>
    <w:rsid w:val="00204FE1"/>
    <w:rsid w:val="002052E2"/>
    <w:rsid w:val="0020611C"/>
    <w:rsid w:val="002061DA"/>
    <w:rsid w:val="00206917"/>
    <w:rsid w:val="00207204"/>
    <w:rsid w:val="002075E6"/>
    <w:rsid w:val="002079A7"/>
    <w:rsid w:val="00210874"/>
    <w:rsid w:val="00210D82"/>
    <w:rsid w:val="00211742"/>
    <w:rsid w:val="002118D3"/>
    <w:rsid w:val="0021338C"/>
    <w:rsid w:val="00213469"/>
    <w:rsid w:val="00213A58"/>
    <w:rsid w:val="00214B5B"/>
    <w:rsid w:val="002153F4"/>
    <w:rsid w:val="00215E38"/>
    <w:rsid w:val="00216150"/>
    <w:rsid w:val="002165C4"/>
    <w:rsid w:val="00216EDE"/>
    <w:rsid w:val="00217AC8"/>
    <w:rsid w:val="00222623"/>
    <w:rsid w:val="002239D3"/>
    <w:rsid w:val="00223DD8"/>
    <w:rsid w:val="002241D9"/>
    <w:rsid w:val="0022464B"/>
    <w:rsid w:val="00224679"/>
    <w:rsid w:val="002249C8"/>
    <w:rsid w:val="00224E5D"/>
    <w:rsid w:val="002269B7"/>
    <w:rsid w:val="002273FE"/>
    <w:rsid w:val="00227432"/>
    <w:rsid w:val="00227466"/>
    <w:rsid w:val="00227CC1"/>
    <w:rsid w:val="00227FF5"/>
    <w:rsid w:val="00230727"/>
    <w:rsid w:val="00230C8A"/>
    <w:rsid w:val="00230DE8"/>
    <w:rsid w:val="00230DE9"/>
    <w:rsid w:val="00231501"/>
    <w:rsid w:val="00231559"/>
    <w:rsid w:val="00231808"/>
    <w:rsid w:val="00231D47"/>
    <w:rsid w:val="002320BC"/>
    <w:rsid w:val="00232AFE"/>
    <w:rsid w:val="00233807"/>
    <w:rsid w:val="00233BDD"/>
    <w:rsid w:val="00234095"/>
    <w:rsid w:val="00234226"/>
    <w:rsid w:val="0023475D"/>
    <w:rsid w:val="00234EBE"/>
    <w:rsid w:val="00236000"/>
    <w:rsid w:val="00236659"/>
    <w:rsid w:val="00236D6E"/>
    <w:rsid w:val="00237724"/>
    <w:rsid w:val="00237936"/>
    <w:rsid w:val="00237940"/>
    <w:rsid w:val="002402E7"/>
    <w:rsid w:val="002408C1"/>
    <w:rsid w:val="002417F8"/>
    <w:rsid w:val="002429EF"/>
    <w:rsid w:val="0024643A"/>
    <w:rsid w:val="0024690E"/>
    <w:rsid w:val="00247C89"/>
    <w:rsid w:val="00247EF5"/>
    <w:rsid w:val="002507B0"/>
    <w:rsid w:val="00250C38"/>
    <w:rsid w:val="002514FB"/>
    <w:rsid w:val="0025180A"/>
    <w:rsid w:val="0025193C"/>
    <w:rsid w:val="00251974"/>
    <w:rsid w:val="00252545"/>
    <w:rsid w:val="002525A5"/>
    <w:rsid w:val="00252A55"/>
    <w:rsid w:val="00252B8B"/>
    <w:rsid w:val="002530C4"/>
    <w:rsid w:val="00253B9C"/>
    <w:rsid w:val="00253CED"/>
    <w:rsid w:val="00254110"/>
    <w:rsid w:val="0025413F"/>
    <w:rsid w:val="00254966"/>
    <w:rsid w:val="00254CAA"/>
    <w:rsid w:val="00254DA3"/>
    <w:rsid w:val="00254F2E"/>
    <w:rsid w:val="00255D73"/>
    <w:rsid w:val="00256219"/>
    <w:rsid w:val="0025726F"/>
    <w:rsid w:val="0025778D"/>
    <w:rsid w:val="002579A7"/>
    <w:rsid w:val="002600A8"/>
    <w:rsid w:val="00260394"/>
    <w:rsid w:val="0026101A"/>
    <w:rsid w:val="00261146"/>
    <w:rsid w:val="002613FB"/>
    <w:rsid w:val="002617D0"/>
    <w:rsid w:val="00262959"/>
    <w:rsid w:val="00262FC8"/>
    <w:rsid w:val="0026351E"/>
    <w:rsid w:val="002649E7"/>
    <w:rsid w:val="00265C95"/>
    <w:rsid w:val="002664E1"/>
    <w:rsid w:val="00266515"/>
    <w:rsid w:val="00266C32"/>
    <w:rsid w:val="00266C68"/>
    <w:rsid w:val="002703EA"/>
    <w:rsid w:val="00271377"/>
    <w:rsid w:val="00271ABC"/>
    <w:rsid w:val="00273374"/>
    <w:rsid w:val="00273595"/>
    <w:rsid w:val="002743F4"/>
    <w:rsid w:val="00274508"/>
    <w:rsid w:val="002747D1"/>
    <w:rsid w:val="00274C19"/>
    <w:rsid w:val="0027587A"/>
    <w:rsid w:val="00275BCA"/>
    <w:rsid w:val="00276D5F"/>
    <w:rsid w:val="002775AD"/>
    <w:rsid w:val="002775E5"/>
    <w:rsid w:val="0027772F"/>
    <w:rsid w:val="002808CF"/>
    <w:rsid w:val="00280AF9"/>
    <w:rsid w:val="002823BA"/>
    <w:rsid w:val="00282DE2"/>
    <w:rsid w:val="00283DEF"/>
    <w:rsid w:val="002842E6"/>
    <w:rsid w:val="00284D58"/>
    <w:rsid w:val="002851EC"/>
    <w:rsid w:val="002861EB"/>
    <w:rsid w:val="00287366"/>
    <w:rsid w:val="002911FD"/>
    <w:rsid w:val="00291382"/>
    <w:rsid w:val="00292FFB"/>
    <w:rsid w:val="00293ED1"/>
    <w:rsid w:val="00295731"/>
    <w:rsid w:val="00297A39"/>
    <w:rsid w:val="00297A43"/>
    <w:rsid w:val="002A029A"/>
    <w:rsid w:val="002A0A96"/>
    <w:rsid w:val="002A0E17"/>
    <w:rsid w:val="002A10F4"/>
    <w:rsid w:val="002A161E"/>
    <w:rsid w:val="002A167F"/>
    <w:rsid w:val="002A1B2E"/>
    <w:rsid w:val="002A2384"/>
    <w:rsid w:val="002A2912"/>
    <w:rsid w:val="002A40BB"/>
    <w:rsid w:val="002A4C02"/>
    <w:rsid w:val="002A6291"/>
    <w:rsid w:val="002A6492"/>
    <w:rsid w:val="002A69DD"/>
    <w:rsid w:val="002B027B"/>
    <w:rsid w:val="002B2C73"/>
    <w:rsid w:val="002B30FA"/>
    <w:rsid w:val="002B3A04"/>
    <w:rsid w:val="002B3E3A"/>
    <w:rsid w:val="002B472C"/>
    <w:rsid w:val="002B50A5"/>
    <w:rsid w:val="002B5B41"/>
    <w:rsid w:val="002B6CDA"/>
    <w:rsid w:val="002B728A"/>
    <w:rsid w:val="002B7AAA"/>
    <w:rsid w:val="002C0954"/>
    <w:rsid w:val="002C0BD1"/>
    <w:rsid w:val="002C1CE0"/>
    <w:rsid w:val="002C1D68"/>
    <w:rsid w:val="002C26C4"/>
    <w:rsid w:val="002C27B7"/>
    <w:rsid w:val="002C316D"/>
    <w:rsid w:val="002C3498"/>
    <w:rsid w:val="002C3557"/>
    <w:rsid w:val="002C36F1"/>
    <w:rsid w:val="002C40D7"/>
    <w:rsid w:val="002C5208"/>
    <w:rsid w:val="002C6A64"/>
    <w:rsid w:val="002C73DD"/>
    <w:rsid w:val="002C7B69"/>
    <w:rsid w:val="002D0431"/>
    <w:rsid w:val="002D086A"/>
    <w:rsid w:val="002D1162"/>
    <w:rsid w:val="002D1749"/>
    <w:rsid w:val="002D28E8"/>
    <w:rsid w:val="002D29B7"/>
    <w:rsid w:val="002D2FC5"/>
    <w:rsid w:val="002D4FA7"/>
    <w:rsid w:val="002D5608"/>
    <w:rsid w:val="002D5F4D"/>
    <w:rsid w:val="002D6168"/>
    <w:rsid w:val="002D6335"/>
    <w:rsid w:val="002D64C0"/>
    <w:rsid w:val="002D6E0D"/>
    <w:rsid w:val="002D71DA"/>
    <w:rsid w:val="002E10C7"/>
    <w:rsid w:val="002E1C97"/>
    <w:rsid w:val="002E229E"/>
    <w:rsid w:val="002E243A"/>
    <w:rsid w:val="002E3548"/>
    <w:rsid w:val="002E42BD"/>
    <w:rsid w:val="002E4D4B"/>
    <w:rsid w:val="002E60CB"/>
    <w:rsid w:val="002E66D1"/>
    <w:rsid w:val="002E6BCF"/>
    <w:rsid w:val="002E7216"/>
    <w:rsid w:val="002E7821"/>
    <w:rsid w:val="002F0E33"/>
    <w:rsid w:val="002F0F50"/>
    <w:rsid w:val="002F124B"/>
    <w:rsid w:val="002F1A06"/>
    <w:rsid w:val="002F1B12"/>
    <w:rsid w:val="002F3777"/>
    <w:rsid w:val="002F407A"/>
    <w:rsid w:val="002F53F5"/>
    <w:rsid w:val="002F5675"/>
    <w:rsid w:val="002F5B72"/>
    <w:rsid w:val="002F6107"/>
    <w:rsid w:val="002F6AE3"/>
    <w:rsid w:val="002F6EB8"/>
    <w:rsid w:val="002F70CA"/>
    <w:rsid w:val="002F7208"/>
    <w:rsid w:val="002F7384"/>
    <w:rsid w:val="002F750C"/>
    <w:rsid w:val="002F76A2"/>
    <w:rsid w:val="002F7EB1"/>
    <w:rsid w:val="003000A9"/>
    <w:rsid w:val="003001F2"/>
    <w:rsid w:val="00300547"/>
    <w:rsid w:val="00300ABD"/>
    <w:rsid w:val="00300D4A"/>
    <w:rsid w:val="003010E7"/>
    <w:rsid w:val="003019BA"/>
    <w:rsid w:val="00301E5C"/>
    <w:rsid w:val="00301F06"/>
    <w:rsid w:val="0030213B"/>
    <w:rsid w:val="00302E1B"/>
    <w:rsid w:val="00302E4A"/>
    <w:rsid w:val="00303FC0"/>
    <w:rsid w:val="00304369"/>
    <w:rsid w:val="00304671"/>
    <w:rsid w:val="00305349"/>
    <w:rsid w:val="00305AFE"/>
    <w:rsid w:val="00306612"/>
    <w:rsid w:val="00306CE5"/>
    <w:rsid w:val="0030728E"/>
    <w:rsid w:val="00307528"/>
    <w:rsid w:val="0031138E"/>
    <w:rsid w:val="00311E14"/>
    <w:rsid w:val="00312A3A"/>
    <w:rsid w:val="00312D4F"/>
    <w:rsid w:val="003132F2"/>
    <w:rsid w:val="00315BBF"/>
    <w:rsid w:val="00315D1C"/>
    <w:rsid w:val="0031603E"/>
    <w:rsid w:val="003161C0"/>
    <w:rsid w:val="00316448"/>
    <w:rsid w:val="003168DF"/>
    <w:rsid w:val="0031720A"/>
    <w:rsid w:val="00317906"/>
    <w:rsid w:val="00317C3E"/>
    <w:rsid w:val="00320B20"/>
    <w:rsid w:val="00321217"/>
    <w:rsid w:val="00321A7A"/>
    <w:rsid w:val="00321B95"/>
    <w:rsid w:val="003233ED"/>
    <w:rsid w:val="003235F0"/>
    <w:rsid w:val="00323959"/>
    <w:rsid w:val="0032537D"/>
    <w:rsid w:val="00325C04"/>
    <w:rsid w:val="00326720"/>
    <w:rsid w:val="00326CBA"/>
    <w:rsid w:val="00327893"/>
    <w:rsid w:val="00330B79"/>
    <w:rsid w:val="00330C24"/>
    <w:rsid w:val="00331667"/>
    <w:rsid w:val="00331884"/>
    <w:rsid w:val="0033237C"/>
    <w:rsid w:val="0033350A"/>
    <w:rsid w:val="00333872"/>
    <w:rsid w:val="00333937"/>
    <w:rsid w:val="003347BC"/>
    <w:rsid w:val="00334CC9"/>
    <w:rsid w:val="00335AC6"/>
    <w:rsid w:val="00335DE9"/>
    <w:rsid w:val="00336195"/>
    <w:rsid w:val="00336C1C"/>
    <w:rsid w:val="003400FC"/>
    <w:rsid w:val="00341808"/>
    <w:rsid w:val="003420D9"/>
    <w:rsid w:val="00342E50"/>
    <w:rsid w:val="003430EF"/>
    <w:rsid w:val="00343380"/>
    <w:rsid w:val="0034405A"/>
    <w:rsid w:val="003443DE"/>
    <w:rsid w:val="00344B70"/>
    <w:rsid w:val="00346453"/>
    <w:rsid w:val="003465D8"/>
    <w:rsid w:val="0034739A"/>
    <w:rsid w:val="003475DD"/>
    <w:rsid w:val="00350256"/>
    <w:rsid w:val="00350E06"/>
    <w:rsid w:val="00351777"/>
    <w:rsid w:val="003526CE"/>
    <w:rsid w:val="00352ABD"/>
    <w:rsid w:val="00353A14"/>
    <w:rsid w:val="003540A4"/>
    <w:rsid w:val="00354672"/>
    <w:rsid w:val="00354ABB"/>
    <w:rsid w:val="00354F6A"/>
    <w:rsid w:val="00357527"/>
    <w:rsid w:val="00357F8C"/>
    <w:rsid w:val="003625C5"/>
    <w:rsid w:val="00362CDB"/>
    <w:rsid w:val="00363E9F"/>
    <w:rsid w:val="00365828"/>
    <w:rsid w:val="00366BCB"/>
    <w:rsid w:val="003671C9"/>
    <w:rsid w:val="0036726D"/>
    <w:rsid w:val="00367A98"/>
    <w:rsid w:val="00367B86"/>
    <w:rsid w:val="00370923"/>
    <w:rsid w:val="00371389"/>
    <w:rsid w:val="00372811"/>
    <w:rsid w:val="00372B0D"/>
    <w:rsid w:val="003732C6"/>
    <w:rsid w:val="00374C46"/>
    <w:rsid w:val="003760A0"/>
    <w:rsid w:val="003762F1"/>
    <w:rsid w:val="0037632F"/>
    <w:rsid w:val="00376750"/>
    <w:rsid w:val="00377443"/>
    <w:rsid w:val="00377807"/>
    <w:rsid w:val="00377B76"/>
    <w:rsid w:val="00377FCE"/>
    <w:rsid w:val="00380AA0"/>
    <w:rsid w:val="0038150D"/>
    <w:rsid w:val="0038222F"/>
    <w:rsid w:val="003827F9"/>
    <w:rsid w:val="00384044"/>
    <w:rsid w:val="00385275"/>
    <w:rsid w:val="00385986"/>
    <w:rsid w:val="003866AE"/>
    <w:rsid w:val="0038692F"/>
    <w:rsid w:val="00387631"/>
    <w:rsid w:val="00387ECD"/>
    <w:rsid w:val="00387FAC"/>
    <w:rsid w:val="003900C6"/>
    <w:rsid w:val="003909A8"/>
    <w:rsid w:val="0039138F"/>
    <w:rsid w:val="00391A3B"/>
    <w:rsid w:val="003920C4"/>
    <w:rsid w:val="0039342D"/>
    <w:rsid w:val="00393662"/>
    <w:rsid w:val="00393F92"/>
    <w:rsid w:val="003940E3"/>
    <w:rsid w:val="003947FD"/>
    <w:rsid w:val="00396593"/>
    <w:rsid w:val="003973C1"/>
    <w:rsid w:val="003A0BA2"/>
    <w:rsid w:val="003A0F25"/>
    <w:rsid w:val="003A117F"/>
    <w:rsid w:val="003A19D2"/>
    <w:rsid w:val="003A1E01"/>
    <w:rsid w:val="003A2325"/>
    <w:rsid w:val="003A2342"/>
    <w:rsid w:val="003A2727"/>
    <w:rsid w:val="003A27E5"/>
    <w:rsid w:val="003A27EF"/>
    <w:rsid w:val="003A2D7D"/>
    <w:rsid w:val="003A2D95"/>
    <w:rsid w:val="003A3891"/>
    <w:rsid w:val="003A4230"/>
    <w:rsid w:val="003A516E"/>
    <w:rsid w:val="003A565C"/>
    <w:rsid w:val="003A5964"/>
    <w:rsid w:val="003A5A9E"/>
    <w:rsid w:val="003A62E3"/>
    <w:rsid w:val="003A6F05"/>
    <w:rsid w:val="003A7013"/>
    <w:rsid w:val="003A73A8"/>
    <w:rsid w:val="003B011F"/>
    <w:rsid w:val="003B0DAF"/>
    <w:rsid w:val="003B0DCB"/>
    <w:rsid w:val="003B11FD"/>
    <w:rsid w:val="003B1961"/>
    <w:rsid w:val="003B319D"/>
    <w:rsid w:val="003B31B3"/>
    <w:rsid w:val="003B32FF"/>
    <w:rsid w:val="003B392C"/>
    <w:rsid w:val="003B3C7D"/>
    <w:rsid w:val="003B484F"/>
    <w:rsid w:val="003B5E81"/>
    <w:rsid w:val="003B6207"/>
    <w:rsid w:val="003B6571"/>
    <w:rsid w:val="003B6739"/>
    <w:rsid w:val="003B733A"/>
    <w:rsid w:val="003B7457"/>
    <w:rsid w:val="003B74DA"/>
    <w:rsid w:val="003B7583"/>
    <w:rsid w:val="003B760A"/>
    <w:rsid w:val="003B77DF"/>
    <w:rsid w:val="003B791D"/>
    <w:rsid w:val="003C0452"/>
    <w:rsid w:val="003C19C7"/>
    <w:rsid w:val="003C1B56"/>
    <w:rsid w:val="003C1C39"/>
    <w:rsid w:val="003C1FC1"/>
    <w:rsid w:val="003C22F5"/>
    <w:rsid w:val="003C24C9"/>
    <w:rsid w:val="003C27C6"/>
    <w:rsid w:val="003C2820"/>
    <w:rsid w:val="003C2961"/>
    <w:rsid w:val="003C3225"/>
    <w:rsid w:val="003C4218"/>
    <w:rsid w:val="003C43B3"/>
    <w:rsid w:val="003C47A1"/>
    <w:rsid w:val="003C52FC"/>
    <w:rsid w:val="003C70F5"/>
    <w:rsid w:val="003C7244"/>
    <w:rsid w:val="003C74CA"/>
    <w:rsid w:val="003C7511"/>
    <w:rsid w:val="003D1B08"/>
    <w:rsid w:val="003D24A4"/>
    <w:rsid w:val="003D301A"/>
    <w:rsid w:val="003D379A"/>
    <w:rsid w:val="003D3FC0"/>
    <w:rsid w:val="003D54E4"/>
    <w:rsid w:val="003D587D"/>
    <w:rsid w:val="003D65A7"/>
    <w:rsid w:val="003D6C31"/>
    <w:rsid w:val="003D710C"/>
    <w:rsid w:val="003D7407"/>
    <w:rsid w:val="003D7F3A"/>
    <w:rsid w:val="003E0798"/>
    <w:rsid w:val="003E10F1"/>
    <w:rsid w:val="003E2BE0"/>
    <w:rsid w:val="003E44C1"/>
    <w:rsid w:val="003E54CD"/>
    <w:rsid w:val="003E598C"/>
    <w:rsid w:val="003E6100"/>
    <w:rsid w:val="003E69BC"/>
    <w:rsid w:val="003E7AEE"/>
    <w:rsid w:val="003E7E78"/>
    <w:rsid w:val="003F08D8"/>
    <w:rsid w:val="003F0B3B"/>
    <w:rsid w:val="003F1C6B"/>
    <w:rsid w:val="003F2539"/>
    <w:rsid w:val="003F2DEF"/>
    <w:rsid w:val="003F33DE"/>
    <w:rsid w:val="003F35C7"/>
    <w:rsid w:val="003F3C73"/>
    <w:rsid w:val="003F4E43"/>
    <w:rsid w:val="003F560F"/>
    <w:rsid w:val="003F5947"/>
    <w:rsid w:val="003F6037"/>
    <w:rsid w:val="003F63D1"/>
    <w:rsid w:val="003F641E"/>
    <w:rsid w:val="003F68B3"/>
    <w:rsid w:val="003F729A"/>
    <w:rsid w:val="003F7B86"/>
    <w:rsid w:val="00400D75"/>
    <w:rsid w:val="00400F82"/>
    <w:rsid w:val="00401AC7"/>
    <w:rsid w:val="00401E7F"/>
    <w:rsid w:val="00403CDE"/>
    <w:rsid w:val="00403FF1"/>
    <w:rsid w:val="004040FE"/>
    <w:rsid w:val="00404158"/>
    <w:rsid w:val="004041C9"/>
    <w:rsid w:val="004042A3"/>
    <w:rsid w:val="0040450D"/>
    <w:rsid w:val="00404572"/>
    <w:rsid w:val="00404941"/>
    <w:rsid w:val="00405175"/>
    <w:rsid w:val="00405586"/>
    <w:rsid w:val="004063C2"/>
    <w:rsid w:val="0040649B"/>
    <w:rsid w:val="004076D5"/>
    <w:rsid w:val="004078DC"/>
    <w:rsid w:val="00410CCC"/>
    <w:rsid w:val="0041184F"/>
    <w:rsid w:val="00411CF3"/>
    <w:rsid w:val="00411DEE"/>
    <w:rsid w:val="004126A9"/>
    <w:rsid w:val="00412E65"/>
    <w:rsid w:val="0041391D"/>
    <w:rsid w:val="00413F2F"/>
    <w:rsid w:val="004143AC"/>
    <w:rsid w:val="004149AD"/>
    <w:rsid w:val="00415265"/>
    <w:rsid w:val="004155B8"/>
    <w:rsid w:val="00415E5E"/>
    <w:rsid w:val="00416365"/>
    <w:rsid w:val="00416402"/>
    <w:rsid w:val="00417191"/>
    <w:rsid w:val="004175B6"/>
    <w:rsid w:val="0041791C"/>
    <w:rsid w:val="0042009F"/>
    <w:rsid w:val="00420697"/>
    <w:rsid w:val="00421A9D"/>
    <w:rsid w:val="00423145"/>
    <w:rsid w:val="0042419A"/>
    <w:rsid w:val="00424625"/>
    <w:rsid w:val="004251B7"/>
    <w:rsid w:val="0042635C"/>
    <w:rsid w:val="00426432"/>
    <w:rsid w:val="004270A5"/>
    <w:rsid w:val="004273E2"/>
    <w:rsid w:val="00427EED"/>
    <w:rsid w:val="00430024"/>
    <w:rsid w:val="004304B7"/>
    <w:rsid w:val="0043124D"/>
    <w:rsid w:val="004319B3"/>
    <w:rsid w:val="00432884"/>
    <w:rsid w:val="0043345E"/>
    <w:rsid w:val="00433F5A"/>
    <w:rsid w:val="0043432E"/>
    <w:rsid w:val="00434D5E"/>
    <w:rsid w:val="00435315"/>
    <w:rsid w:val="00435848"/>
    <w:rsid w:val="00435913"/>
    <w:rsid w:val="00435DEA"/>
    <w:rsid w:val="004369C9"/>
    <w:rsid w:val="0044016C"/>
    <w:rsid w:val="00440283"/>
    <w:rsid w:val="00440380"/>
    <w:rsid w:val="0044051F"/>
    <w:rsid w:val="004411D9"/>
    <w:rsid w:val="00441613"/>
    <w:rsid w:val="00441816"/>
    <w:rsid w:val="004421E0"/>
    <w:rsid w:val="00442592"/>
    <w:rsid w:val="00442B85"/>
    <w:rsid w:val="00442F12"/>
    <w:rsid w:val="0044327B"/>
    <w:rsid w:val="00443E4F"/>
    <w:rsid w:val="00443EEF"/>
    <w:rsid w:val="0044418D"/>
    <w:rsid w:val="004443B5"/>
    <w:rsid w:val="004449F0"/>
    <w:rsid w:val="004451F1"/>
    <w:rsid w:val="004454D2"/>
    <w:rsid w:val="004454E1"/>
    <w:rsid w:val="004456C7"/>
    <w:rsid w:val="004456E5"/>
    <w:rsid w:val="00446A08"/>
    <w:rsid w:val="004477D2"/>
    <w:rsid w:val="0045083B"/>
    <w:rsid w:val="00450D04"/>
    <w:rsid w:val="004513CB"/>
    <w:rsid w:val="00452E24"/>
    <w:rsid w:val="00453E64"/>
    <w:rsid w:val="00454D70"/>
    <w:rsid w:val="00455041"/>
    <w:rsid w:val="00455F4F"/>
    <w:rsid w:val="004578D5"/>
    <w:rsid w:val="004604A0"/>
    <w:rsid w:val="00461761"/>
    <w:rsid w:val="004618A8"/>
    <w:rsid w:val="00461CC0"/>
    <w:rsid w:val="0046265F"/>
    <w:rsid w:val="004631E3"/>
    <w:rsid w:val="004636D9"/>
    <w:rsid w:val="00463D3D"/>
    <w:rsid w:val="004642BA"/>
    <w:rsid w:val="00464E05"/>
    <w:rsid w:val="00464FA6"/>
    <w:rsid w:val="00465CE2"/>
    <w:rsid w:val="00465DBF"/>
    <w:rsid w:val="0046611B"/>
    <w:rsid w:val="00466A7F"/>
    <w:rsid w:val="004671D1"/>
    <w:rsid w:val="0047216A"/>
    <w:rsid w:val="00472B17"/>
    <w:rsid w:val="0047397F"/>
    <w:rsid w:val="00473E0B"/>
    <w:rsid w:val="00473E3F"/>
    <w:rsid w:val="0047435A"/>
    <w:rsid w:val="00474C0F"/>
    <w:rsid w:val="0047567C"/>
    <w:rsid w:val="00475A33"/>
    <w:rsid w:val="00476875"/>
    <w:rsid w:val="004772A4"/>
    <w:rsid w:val="00480E53"/>
    <w:rsid w:val="00481155"/>
    <w:rsid w:val="0048122F"/>
    <w:rsid w:val="00481D5B"/>
    <w:rsid w:val="00482611"/>
    <w:rsid w:val="00482BDC"/>
    <w:rsid w:val="00484FF0"/>
    <w:rsid w:val="00486083"/>
    <w:rsid w:val="0048618A"/>
    <w:rsid w:val="0048625A"/>
    <w:rsid w:val="00487898"/>
    <w:rsid w:val="00487A9D"/>
    <w:rsid w:val="0049152C"/>
    <w:rsid w:val="00491791"/>
    <w:rsid w:val="004918A1"/>
    <w:rsid w:val="004923C9"/>
    <w:rsid w:val="00492646"/>
    <w:rsid w:val="00492862"/>
    <w:rsid w:val="004929F4"/>
    <w:rsid w:val="00493345"/>
    <w:rsid w:val="00493B00"/>
    <w:rsid w:val="00494201"/>
    <w:rsid w:val="00494ED1"/>
    <w:rsid w:val="004950DF"/>
    <w:rsid w:val="00495443"/>
    <w:rsid w:val="00495B3C"/>
    <w:rsid w:val="00495F08"/>
    <w:rsid w:val="00496D85"/>
    <w:rsid w:val="004A04AE"/>
    <w:rsid w:val="004A0595"/>
    <w:rsid w:val="004A202D"/>
    <w:rsid w:val="004A2480"/>
    <w:rsid w:val="004A2B32"/>
    <w:rsid w:val="004A2BEF"/>
    <w:rsid w:val="004A35D3"/>
    <w:rsid w:val="004A3702"/>
    <w:rsid w:val="004A3A8F"/>
    <w:rsid w:val="004A4021"/>
    <w:rsid w:val="004A41A0"/>
    <w:rsid w:val="004A4A5E"/>
    <w:rsid w:val="004A4D7D"/>
    <w:rsid w:val="004A5196"/>
    <w:rsid w:val="004A51D4"/>
    <w:rsid w:val="004A59FB"/>
    <w:rsid w:val="004A5BEC"/>
    <w:rsid w:val="004A6406"/>
    <w:rsid w:val="004A7829"/>
    <w:rsid w:val="004A7917"/>
    <w:rsid w:val="004A7991"/>
    <w:rsid w:val="004B0E12"/>
    <w:rsid w:val="004B1754"/>
    <w:rsid w:val="004B2E43"/>
    <w:rsid w:val="004B3184"/>
    <w:rsid w:val="004B357F"/>
    <w:rsid w:val="004B594E"/>
    <w:rsid w:val="004B6326"/>
    <w:rsid w:val="004B6491"/>
    <w:rsid w:val="004B7FC4"/>
    <w:rsid w:val="004C086C"/>
    <w:rsid w:val="004C09BF"/>
    <w:rsid w:val="004C0C05"/>
    <w:rsid w:val="004C1DEE"/>
    <w:rsid w:val="004C1F2A"/>
    <w:rsid w:val="004C284B"/>
    <w:rsid w:val="004C2A29"/>
    <w:rsid w:val="004C38D4"/>
    <w:rsid w:val="004C4CC0"/>
    <w:rsid w:val="004C530D"/>
    <w:rsid w:val="004C55AB"/>
    <w:rsid w:val="004C629C"/>
    <w:rsid w:val="004C6E27"/>
    <w:rsid w:val="004D0630"/>
    <w:rsid w:val="004D14E5"/>
    <w:rsid w:val="004D20AB"/>
    <w:rsid w:val="004D27F5"/>
    <w:rsid w:val="004D28C5"/>
    <w:rsid w:val="004D31B3"/>
    <w:rsid w:val="004D3F29"/>
    <w:rsid w:val="004D445F"/>
    <w:rsid w:val="004D4676"/>
    <w:rsid w:val="004D58AF"/>
    <w:rsid w:val="004D58E2"/>
    <w:rsid w:val="004E0E02"/>
    <w:rsid w:val="004E163A"/>
    <w:rsid w:val="004E1D47"/>
    <w:rsid w:val="004E1E82"/>
    <w:rsid w:val="004E2A13"/>
    <w:rsid w:val="004E30F5"/>
    <w:rsid w:val="004E4303"/>
    <w:rsid w:val="004E451C"/>
    <w:rsid w:val="004E4753"/>
    <w:rsid w:val="004E4B20"/>
    <w:rsid w:val="004E4EA8"/>
    <w:rsid w:val="004E63A4"/>
    <w:rsid w:val="004E7A1C"/>
    <w:rsid w:val="004F0137"/>
    <w:rsid w:val="004F034C"/>
    <w:rsid w:val="004F0BC7"/>
    <w:rsid w:val="004F0E45"/>
    <w:rsid w:val="004F0F63"/>
    <w:rsid w:val="004F1D2A"/>
    <w:rsid w:val="004F2A57"/>
    <w:rsid w:val="004F2BEE"/>
    <w:rsid w:val="004F2D4C"/>
    <w:rsid w:val="004F3F2B"/>
    <w:rsid w:val="004F3FED"/>
    <w:rsid w:val="004F4925"/>
    <w:rsid w:val="004F4E20"/>
    <w:rsid w:val="004F5446"/>
    <w:rsid w:val="004F5BD5"/>
    <w:rsid w:val="004F5D68"/>
    <w:rsid w:val="004F60ED"/>
    <w:rsid w:val="004F6428"/>
    <w:rsid w:val="004F696A"/>
    <w:rsid w:val="0050144A"/>
    <w:rsid w:val="005017C9"/>
    <w:rsid w:val="00501925"/>
    <w:rsid w:val="00501CFF"/>
    <w:rsid w:val="0050212A"/>
    <w:rsid w:val="00504189"/>
    <w:rsid w:val="00504299"/>
    <w:rsid w:val="005051F9"/>
    <w:rsid w:val="00505600"/>
    <w:rsid w:val="005072AF"/>
    <w:rsid w:val="005074F0"/>
    <w:rsid w:val="00510719"/>
    <w:rsid w:val="00510FAE"/>
    <w:rsid w:val="005118AE"/>
    <w:rsid w:val="0051190E"/>
    <w:rsid w:val="00512120"/>
    <w:rsid w:val="005127D0"/>
    <w:rsid w:val="0051305F"/>
    <w:rsid w:val="00513B88"/>
    <w:rsid w:val="0051441B"/>
    <w:rsid w:val="005146AA"/>
    <w:rsid w:val="005147B4"/>
    <w:rsid w:val="0051609D"/>
    <w:rsid w:val="00516CF1"/>
    <w:rsid w:val="00517163"/>
    <w:rsid w:val="00517454"/>
    <w:rsid w:val="00517C9B"/>
    <w:rsid w:val="005208E7"/>
    <w:rsid w:val="00520E0F"/>
    <w:rsid w:val="005212A3"/>
    <w:rsid w:val="005220A1"/>
    <w:rsid w:val="00522A05"/>
    <w:rsid w:val="00522AD0"/>
    <w:rsid w:val="00522DE4"/>
    <w:rsid w:val="0052308E"/>
    <w:rsid w:val="0052356D"/>
    <w:rsid w:val="0052363C"/>
    <w:rsid w:val="00523878"/>
    <w:rsid w:val="005238EC"/>
    <w:rsid w:val="00523A72"/>
    <w:rsid w:val="00523F96"/>
    <w:rsid w:val="00524881"/>
    <w:rsid w:val="00525B48"/>
    <w:rsid w:val="00526FB2"/>
    <w:rsid w:val="0052768E"/>
    <w:rsid w:val="00527A1F"/>
    <w:rsid w:val="00530A15"/>
    <w:rsid w:val="00531196"/>
    <w:rsid w:val="00531751"/>
    <w:rsid w:val="0053181B"/>
    <w:rsid w:val="005319DE"/>
    <w:rsid w:val="00531E80"/>
    <w:rsid w:val="00532BEF"/>
    <w:rsid w:val="00532EBA"/>
    <w:rsid w:val="00533CBE"/>
    <w:rsid w:val="0053469D"/>
    <w:rsid w:val="00534765"/>
    <w:rsid w:val="00534E18"/>
    <w:rsid w:val="0053585F"/>
    <w:rsid w:val="00536CB4"/>
    <w:rsid w:val="00536EDB"/>
    <w:rsid w:val="00536FC9"/>
    <w:rsid w:val="0054001A"/>
    <w:rsid w:val="0054057F"/>
    <w:rsid w:val="00541067"/>
    <w:rsid w:val="0054109C"/>
    <w:rsid w:val="0054142F"/>
    <w:rsid w:val="00542FC0"/>
    <w:rsid w:val="0054459A"/>
    <w:rsid w:val="00544A31"/>
    <w:rsid w:val="00544DBA"/>
    <w:rsid w:val="0054615E"/>
    <w:rsid w:val="00546555"/>
    <w:rsid w:val="005469FC"/>
    <w:rsid w:val="00551EB7"/>
    <w:rsid w:val="00552347"/>
    <w:rsid w:val="005529D2"/>
    <w:rsid w:val="00553DE4"/>
    <w:rsid w:val="0055457D"/>
    <w:rsid w:val="0055687C"/>
    <w:rsid w:val="005569DA"/>
    <w:rsid w:val="00556AEC"/>
    <w:rsid w:val="005577BA"/>
    <w:rsid w:val="0056052F"/>
    <w:rsid w:val="00560817"/>
    <w:rsid w:val="0056114C"/>
    <w:rsid w:val="00562F64"/>
    <w:rsid w:val="005635E4"/>
    <w:rsid w:val="00563DA5"/>
    <w:rsid w:val="00566A22"/>
    <w:rsid w:val="00567269"/>
    <w:rsid w:val="00570D5F"/>
    <w:rsid w:val="005713D5"/>
    <w:rsid w:val="0057158F"/>
    <w:rsid w:val="0057161B"/>
    <w:rsid w:val="00571873"/>
    <w:rsid w:val="005718D4"/>
    <w:rsid w:val="00571967"/>
    <w:rsid w:val="00571FB8"/>
    <w:rsid w:val="0057318D"/>
    <w:rsid w:val="00573746"/>
    <w:rsid w:val="00574878"/>
    <w:rsid w:val="005751EC"/>
    <w:rsid w:val="00575718"/>
    <w:rsid w:val="005772D5"/>
    <w:rsid w:val="0057753D"/>
    <w:rsid w:val="00581741"/>
    <w:rsid w:val="00581A59"/>
    <w:rsid w:val="00581F57"/>
    <w:rsid w:val="00582F46"/>
    <w:rsid w:val="00583A8B"/>
    <w:rsid w:val="005852EE"/>
    <w:rsid w:val="00586731"/>
    <w:rsid w:val="00586C5A"/>
    <w:rsid w:val="005879CF"/>
    <w:rsid w:val="00587D57"/>
    <w:rsid w:val="0059007E"/>
    <w:rsid w:val="005905A3"/>
    <w:rsid w:val="00590C5D"/>
    <w:rsid w:val="005916D8"/>
    <w:rsid w:val="0059230C"/>
    <w:rsid w:val="00592574"/>
    <w:rsid w:val="00592951"/>
    <w:rsid w:val="005929E3"/>
    <w:rsid w:val="00592E9C"/>
    <w:rsid w:val="00592FA3"/>
    <w:rsid w:val="005937D1"/>
    <w:rsid w:val="005945B9"/>
    <w:rsid w:val="00594FBD"/>
    <w:rsid w:val="00595348"/>
    <w:rsid w:val="00595356"/>
    <w:rsid w:val="00596B7B"/>
    <w:rsid w:val="0059747A"/>
    <w:rsid w:val="00597582"/>
    <w:rsid w:val="005A2B40"/>
    <w:rsid w:val="005A2E8C"/>
    <w:rsid w:val="005A430A"/>
    <w:rsid w:val="005A530D"/>
    <w:rsid w:val="005A62BF"/>
    <w:rsid w:val="005A6971"/>
    <w:rsid w:val="005A6AAE"/>
    <w:rsid w:val="005B00E7"/>
    <w:rsid w:val="005B0361"/>
    <w:rsid w:val="005B04DE"/>
    <w:rsid w:val="005B1856"/>
    <w:rsid w:val="005B2D7E"/>
    <w:rsid w:val="005B3012"/>
    <w:rsid w:val="005B37D7"/>
    <w:rsid w:val="005B4149"/>
    <w:rsid w:val="005B446E"/>
    <w:rsid w:val="005B5009"/>
    <w:rsid w:val="005B5821"/>
    <w:rsid w:val="005B5C5D"/>
    <w:rsid w:val="005B627E"/>
    <w:rsid w:val="005B63AF"/>
    <w:rsid w:val="005B6665"/>
    <w:rsid w:val="005B6CEC"/>
    <w:rsid w:val="005B7385"/>
    <w:rsid w:val="005B7A4F"/>
    <w:rsid w:val="005B7AD0"/>
    <w:rsid w:val="005C0F90"/>
    <w:rsid w:val="005C0FA9"/>
    <w:rsid w:val="005C1710"/>
    <w:rsid w:val="005C1BC9"/>
    <w:rsid w:val="005C1FD2"/>
    <w:rsid w:val="005C2096"/>
    <w:rsid w:val="005C28C6"/>
    <w:rsid w:val="005C2CE8"/>
    <w:rsid w:val="005C35EA"/>
    <w:rsid w:val="005C4421"/>
    <w:rsid w:val="005C4FC3"/>
    <w:rsid w:val="005C6B95"/>
    <w:rsid w:val="005C6BAD"/>
    <w:rsid w:val="005C79B8"/>
    <w:rsid w:val="005D0265"/>
    <w:rsid w:val="005D0EDF"/>
    <w:rsid w:val="005D1055"/>
    <w:rsid w:val="005D1BE2"/>
    <w:rsid w:val="005D3155"/>
    <w:rsid w:val="005D3E91"/>
    <w:rsid w:val="005D4509"/>
    <w:rsid w:val="005D55D4"/>
    <w:rsid w:val="005D5D04"/>
    <w:rsid w:val="005D63F4"/>
    <w:rsid w:val="005D6D30"/>
    <w:rsid w:val="005D6E88"/>
    <w:rsid w:val="005D781E"/>
    <w:rsid w:val="005E00D9"/>
    <w:rsid w:val="005E02EA"/>
    <w:rsid w:val="005E0715"/>
    <w:rsid w:val="005E3FD2"/>
    <w:rsid w:val="005E545F"/>
    <w:rsid w:val="005E5662"/>
    <w:rsid w:val="005E5CCF"/>
    <w:rsid w:val="005E5D33"/>
    <w:rsid w:val="005E617E"/>
    <w:rsid w:val="005E7B07"/>
    <w:rsid w:val="005E7DB3"/>
    <w:rsid w:val="005F1438"/>
    <w:rsid w:val="005F26B1"/>
    <w:rsid w:val="005F2C22"/>
    <w:rsid w:val="005F3CDA"/>
    <w:rsid w:val="005F4700"/>
    <w:rsid w:val="005F51CE"/>
    <w:rsid w:val="005F53E1"/>
    <w:rsid w:val="005F5D4F"/>
    <w:rsid w:val="005F6712"/>
    <w:rsid w:val="005F69AC"/>
    <w:rsid w:val="005F7F05"/>
    <w:rsid w:val="00600576"/>
    <w:rsid w:val="0060322E"/>
    <w:rsid w:val="00603D74"/>
    <w:rsid w:val="00603EAB"/>
    <w:rsid w:val="0060436E"/>
    <w:rsid w:val="00604F95"/>
    <w:rsid w:val="00605E4A"/>
    <w:rsid w:val="00605F8E"/>
    <w:rsid w:val="0060780D"/>
    <w:rsid w:val="006079F7"/>
    <w:rsid w:val="006109F0"/>
    <w:rsid w:val="00610F7A"/>
    <w:rsid w:val="0061112D"/>
    <w:rsid w:val="006124AB"/>
    <w:rsid w:val="0061290C"/>
    <w:rsid w:val="00613C67"/>
    <w:rsid w:val="0061400A"/>
    <w:rsid w:val="00614A31"/>
    <w:rsid w:val="00615D26"/>
    <w:rsid w:val="0061685D"/>
    <w:rsid w:val="00617964"/>
    <w:rsid w:val="00620E23"/>
    <w:rsid w:val="006213EE"/>
    <w:rsid w:val="00621C90"/>
    <w:rsid w:val="00621F9C"/>
    <w:rsid w:val="006220B7"/>
    <w:rsid w:val="00622387"/>
    <w:rsid w:val="00622616"/>
    <w:rsid w:val="0062455A"/>
    <w:rsid w:val="0062545E"/>
    <w:rsid w:val="00626799"/>
    <w:rsid w:val="00630B93"/>
    <w:rsid w:val="00632211"/>
    <w:rsid w:val="006323AA"/>
    <w:rsid w:val="00633CB7"/>
    <w:rsid w:val="00634324"/>
    <w:rsid w:val="00635359"/>
    <w:rsid w:val="00635F17"/>
    <w:rsid w:val="006377D4"/>
    <w:rsid w:val="00640CB9"/>
    <w:rsid w:val="00641990"/>
    <w:rsid w:val="00641E5F"/>
    <w:rsid w:val="006426AE"/>
    <w:rsid w:val="0064445C"/>
    <w:rsid w:val="006444CD"/>
    <w:rsid w:val="0064555A"/>
    <w:rsid w:val="00646543"/>
    <w:rsid w:val="006478C5"/>
    <w:rsid w:val="00647F6F"/>
    <w:rsid w:val="006502A9"/>
    <w:rsid w:val="006512ED"/>
    <w:rsid w:val="0065359F"/>
    <w:rsid w:val="00653A49"/>
    <w:rsid w:val="00654277"/>
    <w:rsid w:val="006553E3"/>
    <w:rsid w:val="006558DE"/>
    <w:rsid w:val="00655A17"/>
    <w:rsid w:val="006567FE"/>
    <w:rsid w:val="00656F6A"/>
    <w:rsid w:val="00657258"/>
    <w:rsid w:val="00657A63"/>
    <w:rsid w:val="00657BD0"/>
    <w:rsid w:val="00660280"/>
    <w:rsid w:val="006614E1"/>
    <w:rsid w:val="00661E3D"/>
    <w:rsid w:val="00661F0D"/>
    <w:rsid w:val="00662488"/>
    <w:rsid w:val="006627AB"/>
    <w:rsid w:val="0066413E"/>
    <w:rsid w:val="006641DD"/>
    <w:rsid w:val="00664290"/>
    <w:rsid w:val="00664B8D"/>
    <w:rsid w:val="00667EAE"/>
    <w:rsid w:val="00670E76"/>
    <w:rsid w:val="006710DF"/>
    <w:rsid w:val="0067236A"/>
    <w:rsid w:val="0067239F"/>
    <w:rsid w:val="00672536"/>
    <w:rsid w:val="00672BBF"/>
    <w:rsid w:val="0067322F"/>
    <w:rsid w:val="006737E0"/>
    <w:rsid w:val="0067389A"/>
    <w:rsid w:val="00674C7E"/>
    <w:rsid w:val="00674DEB"/>
    <w:rsid w:val="00675CC0"/>
    <w:rsid w:val="0067607B"/>
    <w:rsid w:val="006769FA"/>
    <w:rsid w:val="006774B6"/>
    <w:rsid w:val="00677640"/>
    <w:rsid w:val="00677C84"/>
    <w:rsid w:val="006811A9"/>
    <w:rsid w:val="0068139F"/>
    <w:rsid w:val="0068244E"/>
    <w:rsid w:val="006828BF"/>
    <w:rsid w:val="00683044"/>
    <w:rsid w:val="00683291"/>
    <w:rsid w:val="006838FE"/>
    <w:rsid w:val="00683A14"/>
    <w:rsid w:val="006856AB"/>
    <w:rsid w:val="006857B6"/>
    <w:rsid w:val="00686460"/>
    <w:rsid w:val="00687AB7"/>
    <w:rsid w:val="00690AED"/>
    <w:rsid w:val="00690FCD"/>
    <w:rsid w:val="006929DD"/>
    <w:rsid w:val="00692E93"/>
    <w:rsid w:val="00692F48"/>
    <w:rsid w:val="006934E5"/>
    <w:rsid w:val="00693EBF"/>
    <w:rsid w:val="006958EE"/>
    <w:rsid w:val="00695E55"/>
    <w:rsid w:val="006964DA"/>
    <w:rsid w:val="00696E49"/>
    <w:rsid w:val="00697356"/>
    <w:rsid w:val="00697C4F"/>
    <w:rsid w:val="006A137D"/>
    <w:rsid w:val="006A26B4"/>
    <w:rsid w:val="006A2791"/>
    <w:rsid w:val="006A2EBE"/>
    <w:rsid w:val="006A3E82"/>
    <w:rsid w:val="006A4529"/>
    <w:rsid w:val="006A4531"/>
    <w:rsid w:val="006A4767"/>
    <w:rsid w:val="006A5BF2"/>
    <w:rsid w:val="006A6749"/>
    <w:rsid w:val="006A6CF4"/>
    <w:rsid w:val="006A773B"/>
    <w:rsid w:val="006A78A6"/>
    <w:rsid w:val="006A7B24"/>
    <w:rsid w:val="006A7F62"/>
    <w:rsid w:val="006B0417"/>
    <w:rsid w:val="006B041F"/>
    <w:rsid w:val="006B16CB"/>
    <w:rsid w:val="006B2564"/>
    <w:rsid w:val="006B2CDF"/>
    <w:rsid w:val="006B2DC0"/>
    <w:rsid w:val="006B5802"/>
    <w:rsid w:val="006B72EC"/>
    <w:rsid w:val="006B75FB"/>
    <w:rsid w:val="006C0BBE"/>
    <w:rsid w:val="006C0D3D"/>
    <w:rsid w:val="006C1458"/>
    <w:rsid w:val="006C1AD1"/>
    <w:rsid w:val="006C1F91"/>
    <w:rsid w:val="006C2E64"/>
    <w:rsid w:val="006C2F18"/>
    <w:rsid w:val="006C3114"/>
    <w:rsid w:val="006C3627"/>
    <w:rsid w:val="006C3FF2"/>
    <w:rsid w:val="006C4258"/>
    <w:rsid w:val="006C43F1"/>
    <w:rsid w:val="006C510F"/>
    <w:rsid w:val="006C53A5"/>
    <w:rsid w:val="006C55EA"/>
    <w:rsid w:val="006C5DEC"/>
    <w:rsid w:val="006C6BB5"/>
    <w:rsid w:val="006D0D78"/>
    <w:rsid w:val="006D2DBA"/>
    <w:rsid w:val="006D432A"/>
    <w:rsid w:val="006D47F5"/>
    <w:rsid w:val="006D601F"/>
    <w:rsid w:val="006D614D"/>
    <w:rsid w:val="006E018C"/>
    <w:rsid w:val="006E16B4"/>
    <w:rsid w:val="006E18D3"/>
    <w:rsid w:val="006E1D80"/>
    <w:rsid w:val="006E1DB0"/>
    <w:rsid w:val="006E1ED3"/>
    <w:rsid w:val="006E2EC2"/>
    <w:rsid w:val="006E35E2"/>
    <w:rsid w:val="006E589E"/>
    <w:rsid w:val="006E6158"/>
    <w:rsid w:val="006E7632"/>
    <w:rsid w:val="006E7757"/>
    <w:rsid w:val="006F03C5"/>
    <w:rsid w:val="006F0B16"/>
    <w:rsid w:val="006F0B2F"/>
    <w:rsid w:val="006F16AF"/>
    <w:rsid w:val="006F2956"/>
    <w:rsid w:val="006F2D74"/>
    <w:rsid w:val="006F3AD3"/>
    <w:rsid w:val="006F46E7"/>
    <w:rsid w:val="006F4B34"/>
    <w:rsid w:val="006F5791"/>
    <w:rsid w:val="006F6F3C"/>
    <w:rsid w:val="00700260"/>
    <w:rsid w:val="0070073A"/>
    <w:rsid w:val="00700DCB"/>
    <w:rsid w:val="00701332"/>
    <w:rsid w:val="00701465"/>
    <w:rsid w:val="007014EC"/>
    <w:rsid w:val="007017C8"/>
    <w:rsid w:val="007035AC"/>
    <w:rsid w:val="00703A47"/>
    <w:rsid w:val="00703B92"/>
    <w:rsid w:val="007043A7"/>
    <w:rsid w:val="007055BE"/>
    <w:rsid w:val="0070609A"/>
    <w:rsid w:val="007060E2"/>
    <w:rsid w:val="00706397"/>
    <w:rsid w:val="00706699"/>
    <w:rsid w:val="00706A2A"/>
    <w:rsid w:val="00706E4D"/>
    <w:rsid w:val="0070792A"/>
    <w:rsid w:val="00710211"/>
    <w:rsid w:val="0071123B"/>
    <w:rsid w:val="00711B6A"/>
    <w:rsid w:val="00711BF8"/>
    <w:rsid w:val="00711FB5"/>
    <w:rsid w:val="007120C8"/>
    <w:rsid w:val="007125EE"/>
    <w:rsid w:val="007136D4"/>
    <w:rsid w:val="0071496B"/>
    <w:rsid w:val="00714FFC"/>
    <w:rsid w:val="007154FC"/>
    <w:rsid w:val="00715903"/>
    <w:rsid w:val="007164C3"/>
    <w:rsid w:val="00717989"/>
    <w:rsid w:val="00717AFA"/>
    <w:rsid w:val="00720F49"/>
    <w:rsid w:val="0072116F"/>
    <w:rsid w:val="0072178D"/>
    <w:rsid w:val="00721DA7"/>
    <w:rsid w:val="00722FF5"/>
    <w:rsid w:val="007230F1"/>
    <w:rsid w:val="007244E9"/>
    <w:rsid w:val="00724AB0"/>
    <w:rsid w:val="007254BE"/>
    <w:rsid w:val="00725DED"/>
    <w:rsid w:val="00726AAE"/>
    <w:rsid w:val="00726F7F"/>
    <w:rsid w:val="0072749A"/>
    <w:rsid w:val="007277E2"/>
    <w:rsid w:val="007302CF"/>
    <w:rsid w:val="00730647"/>
    <w:rsid w:val="007312E9"/>
    <w:rsid w:val="00731638"/>
    <w:rsid w:val="00731B3D"/>
    <w:rsid w:val="00732A1B"/>
    <w:rsid w:val="00732D28"/>
    <w:rsid w:val="007345F4"/>
    <w:rsid w:val="00734B9B"/>
    <w:rsid w:val="00734BF9"/>
    <w:rsid w:val="00736C6A"/>
    <w:rsid w:val="00736E1E"/>
    <w:rsid w:val="00736F2B"/>
    <w:rsid w:val="0073720E"/>
    <w:rsid w:val="007373C6"/>
    <w:rsid w:val="0074071C"/>
    <w:rsid w:val="00740738"/>
    <w:rsid w:val="00740F51"/>
    <w:rsid w:val="007419E2"/>
    <w:rsid w:val="007428F4"/>
    <w:rsid w:val="00742AD0"/>
    <w:rsid w:val="00743078"/>
    <w:rsid w:val="007430B1"/>
    <w:rsid w:val="00743D90"/>
    <w:rsid w:val="00745B78"/>
    <w:rsid w:val="00746022"/>
    <w:rsid w:val="00746E0B"/>
    <w:rsid w:val="00746F38"/>
    <w:rsid w:val="00747E5F"/>
    <w:rsid w:val="00747EBA"/>
    <w:rsid w:val="00752088"/>
    <w:rsid w:val="0075299D"/>
    <w:rsid w:val="00752C7A"/>
    <w:rsid w:val="00752C8B"/>
    <w:rsid w:val="00752EF7"/>
    <w:rsid w:val="00753491"/>
    <w:rsid w:val="00754593"/>
    <w:rsid w:val="00755B0C"/>
    <w:rsid w:val="00755D31"/>
    <w:rsid w:val="00755FD0"/>
    <w:rsid w:val="007568E3"/>
    <w:rsid w:val="00756B6A"/>
    <w:rsid w:val="00756EE9"/>
    <w:rsid w:val="0075766E"/>
    <w:rsid w:val="00760110"/>
    <w:rsid w:val="00760500"/>
    <w:rsid w:val="00760A23"/>
    <w:rsid w:val="00761317"/>
    <w:rsid w:val="00761380"/>
    <w:rsid w:val="00761459"/>
    <w:rsid w:val="007640CC"/>
    <w:rsid w:val="00764D96"/>
    <w:rsid w:val="007650A5"/>
    <w:rsid w:val="00765ACD"/>
    <w:rsid w:val="0076662E"/>
    <w:rsid w:val="00767308"/>
    <w:rsid w:val="00767774"/>
    <w:rsid w:val="00767946"/>
    <w:rsid w:val="00767D49"/>
    <w:rsid w:val="00770663"/>
    <w:rsid w:val="00770B85"/>
    <w:rsid w:val="00771A1D"/>
    <w:rsid w:val="00772A63"/>
    <w:rsid w:val="00773351"/>
    <w:rsid w:val="007736EF"/>
    <w:rsid w:val="00773B9B"/>
    <w:rsid w:val="007741E9"/>
    <w:rsid w:val="0077445A"/>
    <w:rsid w:val="0077460A"/>
    <w:rsid w:val="0077466F"/>
    <w:rsid w:val="007746E7"/>
    <w:rsid w:val="00775345"/>
    <w:rsid w:val="00775EC5"/>
    <w:rsid w:val="007760A7"/>
    <w:rsid w:val="007769B2"/>
    <w:rsid w:val="00776F0F"/>
    <w:rsid w:val="0077712F"/>
    <w:rsid w:val="007801DF"/>
    <w:rsid w:val="0078095F"/>
    <w:rsid w:val="0078097A"/>
    <w:rsid w:val="007813D8"/>
    <w:rsid w:val="00781C47"/>
    <w:rsid w:val="0078268E"/>
    <w:rsid w:val="00784140"/>
    <w:rsid w:val="007871F2"/>
    <w:rsid w:val="007916FB"/>
    <w:rsid w:val="00792B91"/>
    <w:rsid w:val="007936AF"/>
    <w:rsid w:val="0079414D"/>
    <w:rsid w:val="007942AA"/>
    <w:rsid w:val="007944F0"/>
    <w:rsid w:val="00796215"/>
    <w:rsid w:val="00797221"/>
    <w:rsid w:val="007975FD"/>
    <w:rsid w:val="00797740"/>
    <w:rsid w:val="00797E7D"/>
    <w:rsid w:val="007A24BF"/>
    <w:rsid w:val="007A278F"/>
    <w:rsid w:val="007A30FC"/>
    <w:rsid w:val="007A3F1D"/>
    <w:rsid w:val="007A4174"/>
    <w:rsid w:val="007A4D02"/>
    <w:rsid w:val="007A5CC5"/>
    <w:rsid w:val="007A776F"/>
    <w:rsid w:val="007B033D"/>
    <w:rsid w:val="007B0613"/>
    <w:rsid w:val="007B1231"/>
    <w:rsid w:val="007B137C"/>
    <w:rsid w:val="007B20C1"/>
    <w:rsid w:val="007B2197"/>
    <w:rsid w:val="007B2389"/>
    <w:rsid w:val="007B2788"/>
    <w:rsid w:val="007B3322"/>
    <w:rsid w:val="007B3548"/>
    <w:rsid w:val="007B4D0A"/>
    <w:rsid w:val="007B524E"/>
    <w:rsid w:val="007B6C3C"/>
    <w:rsid w:val="007B7116"/>
    <w:rsid w:val="007B7B62"/>
    <w:rsid w:val="007C03BD"/>
    <w:rsid w:val="007C1024"/>
    <w:rsid w:val="007C1420"/>
    <w:rsid w:val="007C18A9"/>
    <w:rsid w:val="007C28CF"/>
    <w:rsid w:val="007C3BCF"/>
    <w:rsid w:val="007C46A4"/>
    <w:rsid w:val="007C5289"/>
    <w:rsid w:val="007C6149"/>
    <w:rsid w:val="007C723F"/>
    <w:rsid w:val="007C72B4"/>
    <w:rsid w:val="007C75AC"/>
    <w:rsid w:val="007C7C2C"/>
    <w:rsid w:val="007D0345"/>
    <w:rsid w:val="007D07CB"/>
    <w:rsid w:val="007D1401"/>
    <w:rsid w:val="007D15F1"/>
    <w:rsid w:val="007D1DBB"/>
    <w:rsid w:val="007D2041"/>
    <w:rsid w:val="007D2151"/>
    <w:rsid w:val="007D2363"/>
    <w:rsid w:val="007D3F47"/>
    <w:rsid w:val="007D4841"/>
    <w:rsid w:val="007D4C3F"/>
    <w:rsid w:val="007D646E"/>
    <w:rsid w:val="007D66E4"/>
    <w:rsid w:val="007D7037"/>
    <w:rsid w:val="007D71A2"/>
    <w:rsid w:val="007D7AE6"/>
    <w:rsid w:val="007E069D"/>
    <w:rsid w:val="007E1380"/>
    <w:rsid w:val="007E13E2"/>
    <w:rsid w:val="007E16CC"/>
    <w:rsid w:val="007E19B2"/>
    <w:rsid w:val="007E19E4"/>
    <w:rsid w:val="007E2AE9"/>
    <w:rsid w:val="007E3391"/>
    <w:rsid w:val="007E4088"/>
    <w:rsid w:val="007E40CD"/>
    <w:rsid w:val="007E4C3D"/>
    <w:rsid w:val="007E6493"/>
    <w:rsid w:val="007E7081"/>
    <w:rsid w:val="007E70A8"/>
    <w:rsid w:val="007E71A2"/>
    <w:rsid w:val="007E78F9"/>
    <w:rsid w:val="007E7FC1"/>
    <w:rsid w:val="007F03BD"/>
    <w:rsid w:val="007F06C8"/>
    <w:rsid w:val="007F0D1D"/>
    <w:rsid w:val="007F1015"/>
    <w:rsid w:val="007F168C"/>
    <w:rsid w:val="007F16AC"/>
    <w:rsid w:val="007F19A0"/>
    <w:rsid w:val="007F1A37"/>
    <w:rsid w:val="007F1F54"/>
    <w:rsid w:val="007F315A"/>
    <w:rsid w:val="007F3E4F"/>
    <w:rsid w:val="007F3F59"/>
    <w:rsid w:val="007F4003"/>
    <w:rsid w:val="007F4592"/>
    <w:rsid w:val="007F4A22"/>
    <w:rsid w:val="007F50BE"/>
    <w:rsid w:val="007F5169"/>
    <w:rsid w:val="007F5636"/>
    <w:rsid w:val="007F5692"/>
    <w:rsid w:val="007F60E2"/>
    <w:rsid w:val="007F61B0"/>
    <w:rsid w:val="007F6BA4"/>
    <w:rsid w:val="007F76A4"/>
    <w:rsid w:val="007F791B"/>
    <w:rsid w:val="007F7A0D"/>
    <w:rsid w:val="00800877"/>
    <w:rsid w:val="008011F3"/>
    <w:rsid w:val="00801486"/>
    <w:rsid w:val="00801E21"/>
    <w:rsid w:val="0080201B"/>
    <w:rsid w:val="00802829"/>
    <w:rsid w:val="00802868"/>
    <w:rsid w:val="008028D3"/>
    <w:rsid w:val="00803193"/>
    <w:rsid w:val="00803647"/>
    <w:rsid w:val="00803C79"/>
    <w:rsid w:val="008050B0"/>
    <w:rsid w:val="00805C59"/>
    <w:rsid w:val="00805DB2"/>
    <w:rsid w:val="00806196"/>
    <w:rsid w:val="00807C51"/>
    <w:rsid w:val="00807F49"/>
    <w:rsid w:val="00810EBB"/>
    <w:rsid w:val="00811152"/>
    <w:rsid w:val="008119AB"/>
    <w:rsid w:val="00812096"/>
    <w:rsid w:val="00812A2D"/>
    <w:rsid w:val="008150BE"/>
    <w:rsid w:val="008152D0"/>
    <w:rsid w:val="008154BA"/>
    <w:rsid w:val="0081590A"/>
    <w:rsid w:val="00815BBC"/>
    <w:rsid w:val="0081636D"/>
    <w:rsid w:val="00817C41"/>
    <w:rsid w:val="00817E9F"/>
    <w:rsid w:val="0082089E"/>
    <w:rsid w:val="00820E31"/>
    <w:rsid w:val="0082183D"/>
    <w:rsid w:val="0082299A"/>
    <w:rsid w:val="008230CE"/>
    <w:rsid w:val="008239C9"/>
    <w:rsid w:val="008242C9"/>
    <w:rsid w:val="00824919"/>
    <w:rsid w:val="00824C03"/>
    <w:rsid w:val="00825EBC"/>
    <w:rsid w:val="00825F5C"/>
    <w:rsid w:val="00826062"/>
    <w:rsid w:val="00827ADC"/>
    <w:rsid w:val="00832369"/>
    <w:rsid w:val="00832BC5"/>
    <w:rsid w:val="00833317"/>
    <w:rsid w:val="0083390E"/>
    <w:rsid w:val="0083402F"/>
    <w:rsid w:val="00834ED9"/>
    <w:rsid w:val="00835002"/>
    <w:rsid w:val="00835027"/>
    <w:rsid w:val="00835A33"/>
    <w:rsid w:val="00836170"/>
    <w:rsid w:val="00837E20"/>
    <w:rsid w:val="00837EEB"/>
    <w:rsid w:val="008403DA"/>
    <w:rsid w:val="00840A71"/>
    <w:rsid w:val="00840F4D"/>
    <w:rsid w:val="00841017"/>
    <w:rsid w:val="00842234"/>
    <w:rsid w:val="00842A93"/>
    <w:rsid w:val="008432A1"/>
    <w:rsid w:val="008433F2"/>
    <w:rsid w:val="008447F2"/>
    <w:rsid w:val="008449C8"/>
    <w:rsid w:val="00845370"/>
    <w:rsid w:val="00845B17"/>
    <w:rsid w:val="00846DAA"/>
    <w:rsid w:val="00852258"/>
    <w:rsid w:val="00853A7B"/>
    <w:rsid w:val="00854A5A"/>
    <w:rsid w:val="00855486"/>
    <w:rsid w:val="00855758"/>
    <w:rsid w:val="00855BED"/>
    <w:rsid w:val="00856437"/>
    <w:rsid w:val="00860AE8"/>
    <w:rsid w:val="008610D0"/>
    <w:rsid w:val="00861908"/>
    <w:rsid w:val="00861DA8"/>
    <w:rsid w:val="0086303F"/>
    <w:rsid w:val="00863180"/>
    <w:rsid w:val="008635A6"/>
    <w:rsid w:val="00864C80"/>
    <w:rsid w:val="00865062"/>
    <w:rsid w:val="00865BCB"/>
    <w:rsid w:val="008661D8"/>
    <w:rsid w:val="0086681F"/>
    <w:rsid w:val="00866EDE"/>
    <w:rsid w:val="0086736D"/>
    <w:rsid w:val="0086797D"/>
    <w:rsid w:val="00867A8E"/>
    <w:rsid w:val="00867C86"/>
    <w:rsid w:val="008706F3"/>
    <w:rsid w:val="00870999"/>
    <w:rsid w:val="00870C95"/>
    <w:rsid w:val="00871055"/>
    <w:rsid w:val="00871D45"/>
    <w:rsid w:val="00872121"/>
    <w:rsid w:val="00872283"/>
    <w:rsid w:val="008729A1"/>
    <w:rsid w:val="00872F50"/>
    <w:rsid w:val="00872FAD"/>
    <w:rsid w:val="00873309"/>
    <w:rsid w:val="00873B05"/>
    <w:rsid w:val="00874202"/>
    <w:rsid w:val="0087557F"/>
    <w:rsid w:val="008759AE"/>
    <w:rsid w:val="00875B15"/>
    <w:rsid w:val="0087634F"/>
    <w:rsid w:val="008775D9"/>
    <w:rsid w:val="00877A1B"/>
    <w:rsid w:val="00877D85"/>
    <w:rsid w:val="00880EE4"/>
    <w:rsid w:val="00881434"/>
    <w:rsid w:val="008821BD"/>
    <w:rsid w:val="00882B26"/>
    <w:rsid w:val="00882BF7"/>
    <w:rsid w:val="008835F7"/>
    <w:rsid w:val="00884DFB"/>
    <w:rsid w:val="00885693"/>
    <w:rsid w:val="008857DA"/>
    <w:rsid w:val="00886A14"/>
    <w:rsid w:val="00886B29"/>
    <w:rsid w:val="008871A8"/>
    <w:rsid w:val="00887412"/>
    <w:rsid w:val="00890060"/>
    <w:rsid w:val="00890C30"/>
    <w:rsid w:val="00891315"/>
    <w:rsid w:val="00891C9C"/>
    <w:rsid w:val="00892213"/>
    <w:rsid w:val="00892762"/>
    <w:rsid w:val="00892C9F"/>
    <w:rsid w:val="0089352C"/>
    <w:rsid w:val="00893C92"/>
    <w:rsid w:val="0089438A"/>
    <w:rsid w:val="008945E1"/>
    <w:rsid w:val="008947A9"/>
    <w:rsid w:val="008947F0"/>
    <w:rsid w:val="00894A91"/>
    <w:rsid w:val="0089610C"/>
    <w:rsid w:val="0089659B"/>
    <w:rsid w:val="00896737"/>
    <w:rsid w:val="008A0C2E"/>
    <w:rsid w:val="008A0D0E"/>
    <w:rsid w:val="008A1185"/>
    <w:rsid w:val="008A1258"/>
    <w:rsid w:val="008A1335"/>
    <w:rsid w:val="008A177E"/>
    <w:rsid w:val="008A1A4D"/>
    <w:rsid w:val="008A1D8A"/>
    <w:rsid w:val="008A25DA"/>
    <w:rsid w:val="008A2908"/>
    <w:rsid w:val="008A34D5"/>
    <w:rsid w:val="008A4554"/>
    <w:rsid w:val="008A4608"/>
    <w:rsid w:val="008A559D"/>
    <w:rsid w:val="008A5D11"/>
    <w:rsid w:val="008B0660"/>
    <w:rsid w:val="008B1342"/>
    <w:rsid w:val="008B26D7"/>
    <w:rsid w:val="008B35B9"/>
    <w:rsid w:val="008B56D2"/>
    <w:rsid w:val="008B5A20"/>
    <w:rsid w:val="008B7642"/>
    <w:rsid w:val="008B7711"/>
    <w:rsid w:val="008B7913"/>
    <w:rsid w:val="008B7CD3"/>
    <w:rsid w:val="008C0BA2"/>
    <w:rsid w:val="008C1301"/>
    <w:rsid w:val="008C1A4F"/>
    <w:rsid w:val="008C1C32"/>
    <w:rsid w:val="008C391C"/>
    <w:rsid w:val="008C43DA"/>
    <w:rsid w:val="008C4567"/>
    <w:rsid w:val="008C4700"/>
    <w:rsid w:val="008C770B"/>
    <w:rsid w:val="008C794B"/>
    <w:rsid w:val="008D2191"/>
    <w:rsid w:val="008D2FC6"/>
    <w:rsid w:val="008D329C"/>
    <w:rsid w:val="008D4CEF"/>
    <w:rsid w:val="008D5088"/>
    <w:rsid w:val="008D5229"/>
    <w:rsid w:val="008D5EF7"/>
    <w:rsid w:val="008D656B"/>
    <w:rsid w:val="008D6B69"/>
    <w:rsid w:val="008D7297"/>
    <w:rsid w:val="008E07D4"/>
    <w:rsid w:val="008E143A"/>
    <w:rsid w:val="008E2B90"/>
    <w:rsid w:val="008E2EA6"/>
    <w:rsid w:val="008E3122"/>
    <w:rsid w:val="008E3F01"/>
    <w:rsid w:val="008E406B"/>
    <w:rsid w:val="008E4118"/>
    <w:rsid w:val="008E4A0F"/>
    <w:rsid w:val="008E5331"/>
    <w:rsid w:val="008E6D25"/>
    <w:rsid w:val="008E6DB8"/>
    <w:rsid w:val="008F1180"/>
    <w:rsid w:val="008F1E58"/>
    <w:rsid w:val="008F249C"/>
    <w:rsid w:val="008F3107"/>
    <w:rsid w:val="008F3701"/>
    <w:rsid w:val="008F46D5"/>
    <w:rsid w:val="008F4E9F"/>
    <w:rsid w:val="008F614D"/>
    <w:rsid w:val="008F61C1"/>
    <w:rsid w:val="008F7E1B"/>
    <w:rsid w:val="00900008"/>
    <w:rsid w:val="00900052"/>
    <w:rsid w:val="0090010A"/>
    <w:rsid w:val="00900C8B"/>
    <w:rsid w:val="00900CB1"/>
    <w:rsid w:val="00900EF0"/>
    <w:rsid w:val="00900F68"/>
    <w:rsid w:val="009010CF"/>
    <w:rsid w:val="00901538"/>
    <w:rsid w:val="00901A8F"/>
    <w:rsid w:val="0090242E"/>
    <w:rsid w:val="0090298B"/>
    <w:rsid w:val="0090313C"/>
    <w:rsid w:val="00903BE3"/>
    <w:rsid w:val="009043AC"/>
    <w:rsid w:val="00904ACE"/>
    <w:rsid w:val="009050FB"/>
    <w:rsid w:val="009053F9"/>
    <w:rsid w:val="0090554B"/>
    <w:rsid w:val="0090600A"/>
    <w:rsid w:val="0090691B"/>
    <w:rsid w:val="0090738F"/>
    <w:rsid w:val="009076E5"/>
    <w:rsid w:val="00907965"/>
    <w:rsid w:val="0091028D"/>
    <w:rsid w:val="00910799"/>
    <w:rsid w:val="00910FCC"/>
    <w:rsid w:val="009129EF"/>
    <w:rsid w:val="00913047"/>
    <w:rsid w:val="00913607"/>
    <w:rsid w:val="009136E3"/>
    <w:rsid w:val="00914E65"/>
    <w:rsid w:val="00914EE5"/>
    <w:rsid w:val="00915482"/>
    <w:rsid w:val="00916EEC"/>
    <w:rsid w:val="00920EB7"/>
    <w:rsid w:val="0092205C"/>
    <w:rsid w:val="00923283"/>
    <w:rsid w:val="009235D1"/>
    <w:rsid w:val="009238E6"/>
    <w:rsid w:val="009244B2"/>
    <w:rsid w:val="00925612"/>
    <w:rsid w:val="00925958"/>
    <w:rsid w:val="00926B9E"/>
    <w:rsid w:val="00926CEE"/>
    <w:rsid w:val="00927181"/>
    <w:rsid w:val="009272A9"/>
    <w:rsid w:val="00927BBD"/>
    <w:rsid w:val="009305C9"/>
    <w:rsid w:val="00931311"/>
    <w:rsid w:val="00931336"/>
    <w:rsid w:val="0093154E"/>
    <w:rsid w:val="0093194A"/>
    <w:rsid w:val="00932EA1"/>
    <w:rsid w:val="00933479"/>
    <w:rsid w:val="00933890"/>
    <w:rsid w:val="00934C8D"/>
    <w:rsid w:val="00935712"/>
    <w:rsid w:val="00935AA2"/>
    <w:rsid w:val="00935BE1"/>
    <w:rsid w:val="009360E0"/>
    <w:rsid w:val="009364A0"/>
    <w:rsid w:val="00936BB1"/>
    <w:rsid w:val="00937FB0"/>
    <w:rsid w:val="00940090"/>
    <w:rsid w:val="00940199"/>
    <w:rsid w:val="00940201"/>
    <w:rsid w:val="0094064A"/>
    <w:rsid w:val="0094087B"/>
    <w:rsid w:val="00942D56"/>
    <w:rsid w:val="009432BF"/>
    <w:rsid w:val="009453D8"/>
    <w:rsid w:val="009467C6"/>
    <w:rsid w:val="00947285"/>
    <w:rsid w:val="009507F5"/>
    <w:rsid w:val="00950FEF"/>
    <w:rsid w:val="00952FCC"/>
    <w:rsid w:val="009535AD"/>
    <w:rsid w:val="00953936"/>
    <w:rsid w:val="00953E0D"/>
    <w:rsid w:val="00954010"/>
    <w:rsid w:val="009542B6"/>
    <w:rsid w:val="00954429"/>
    <w:rsid w:val="00954C66"/>
    <w:rsid w:val="009553AF"/>
    <w:rsid w:val="00955BEB"/>
    <w:rsid w:val="00955BED"/>
    <w:rsid w:val="00960ECA"/>
    <w:rsid w:val="00960F2B"/>
    <w:rsid w:val="009619A9"/>
    <w:rsid w:val="0096235B"/>
    <w:rsid w:val="0096291C"/>
    <w:rsid w:val="00962B53"/>
    <w:rsid w:val="00963489"/>
    <w:rsid w:val="00964A73"/>
    <w:rsid w:val="00964D88"/>
    <w:rsid w:val="00964E08"/>
    <w:rsid w:val="00965268"/>
    <w:rsid w:val="009653B5"/>
    <w:rsid w:val="0096567F"/>
    <w:rsid w:val="00965962"/>
    <w:rsid w:val="00965A62"/>
    <w:rsid w:val="00965B7C"/>
    <w:rsid w:val="009663FC"/>
    <w:rsid w:val="009671F8"/>
    <w:rsid w:val="009711E4"/>
    <w:rsid w:val="00971316"/>
    <w:rsid w:val="0097169B"/>
    <w:rsid w:val="00971A39"/>
    <w:rsid w:val="00971AB9"/>
    <w:rsid w:val="0097204E"/>
    <w:rsid w:val="0097333A"/>
    <w:rsid w:val="009734EE"/>
    <w:rsid w:val="009736AF"/>
    <w:rsid w:val="009743A5"/>
    <w:rsid w:val="0097469C"/>
    <w:rsid w:val="00974A62"/>
    <w:rsid w:val="00974B1B"/>
    <w:rsid w:val="00974F17"/>
    <w:rsid w:val="009750A3"/>
    <w:rsid w:val="009756F4"/>
    <w:rsid w:val="00975FF5"/>
    <w:rsid w:val="009760FE"/>
    <w:rsid w:val="00977336"/>
    <w:rsid w:val="0097747D"/>
    <w:rsid w:val="0097747E"/>
    <w:rsid w:val="009774C5"/>
    <w:rsid w:val="00980294"/>
    <w:rsid w:val="00981D3D"/>
    <w:rsid w:val="00983305"/>
    <w:rsid w:val="009849B4"/>
    <w:rsid w:val="00984CEB"/>
    <w:rsid w:val="00985382"/>
    <w:rsid w:val="009854B2"/>
    <w:rsid w:val="00986A7A"/>
    <w:rsid w:val="00987DFB"/>
    <w:rsid w:val="0099013A"/>
    <w:rsid w:val="00990463"/>
    <w:rsid w:val="00990C4E"/>
    <w:rsid w:val="00992029"/>
    <w:rsid w:val="009920EC"/>
    <w:rsid w:val="00992128"/>
    <w:rsid w:val="00992CF6"/>
    <w:rsid w:val="0099448C"/>
    <w:rsid w:val="009945E1"/>
    <w:rsid w:val="009948EB"/>
    <w:rsid w:val="00994F49"/>
    <w:rsid w:val="009950D4"/>
    <w:rsid w:val="009955D8"/>
    <w:rsid w:val="00995D11"/>
    <w:rsid w:val="009970FB"/>
    <w:rsid w:val="009A04CC"/>
    <w:rsid w:val="009A05F0"/>
    <w:rsid w:val="009A15C5"/>
    <w:rsid w:val="009A1600"/>
    <w:rsid w:val="009A18E0"/>
    <w:rsid w:val="009A34C4"/>
    <w:rsid w:val="009A4730"/>
    <w:rsid w:val="009A49A0"/>
    <w:rsid w:val="009A4AA9"/>
    <w:rsid w:val="009A581F"/>
    <w:rsid w:val="009A629A"/>
    <w:rsid w:val="009A7594"/>
    <w:rsid w:val="009B0053"/>
    <w:rsid w:val="009B0590"/>
    <w:rsid w:val="009B09D9"/>
    <w:rsid w:val="009B154F"/>
    <w:rsid w:val="009B1DE7"/>
    <w:rsid w:val="009B1EC6"/>
    <w:rsid w:val="009B2CD8"/>
    <w:rsid w:val="009B2D78"/>
    <w:rsid w:val="009B3570"/>
    <w:rsid w:val="009B3880"/>
    <w:rsid w:val="009B3894"/>
    <w:rsid w:val="009B3D5D"/>
    <w:rsid w:val="009B4069"/>
    <w:rsid w:val="009B44D7"/>
    <w:rsid w:val="009B47B3"/>
    <w:rsid w:val="009B5114"/>
    <w:rsid w:val="009B5222"/>
    <w:rsid w:val="009B572A"/>
    <w:rsid w:val="009B589D"/>
    <w:rsid w:val="009B5CCE"/>
    <w:rsid w:val="009B6511"/>
    <w:rsid w:val="009B69BE"/>
    <w:rsid w:val="009B6C22"/>
    <w:rsid w:val="009C2649"/>
    <w:rsid w:val="009C2B40"/>
    <w:rsid w:val="009C2C6F"/>
    <w:rsid w:val="009C33FC"/>
    <w:rsid w:val="009C4B14"/>
    <w:rsid w:val="009C4C5A"/>
    <w:rsid w:val="009C5990"/>
    <w:rsid w:val="009C5D9C"/>
    <w:rsid w:val="009C672A"/>
    <w:rsid w:val="009C67BD"/>
    <w:rsid w:val="009D06A2"/>
    <w:rsid w:val="009D079B"/>
    <w:rsid w:val="009D15D7"/>
    <w:rsid w:val="009D1AA9"/>
    <w:rsid w:val="009D2BF6"/>
    <w:rsid w:val="009D2D8F"/>
    <w:rsid w:val="009D350C"/>
    <w:rsid w:val="009D4B5C"/>
    <w:rsid w:val="009D4B76"/>
    <w:rsid w:val="009D4F22"/>
    <w:rsid w:val="009D5022"/>
    <w:rsid w:val="009D691B"/>
    <w:rsid w:val="009D6B50"/>
    <w:rsid w:val="009D6ED1"/>
    <w:rsid w:val="009E0B70"/>
    <w:rsid w:val="009E0F7F"/>
    <w:rsid w:val="009E1186"/>
    <w:rsid w:val="009E1273"/>
    <w:rsid w:val="009E1379"/>
    <w:rsid w:val="009E1742"/>
    <w:rsid w:val="009E19DC"/>
    <w:rsid w:val="009E1D6F"/>
    <w:rsid w:val="009E2503"/>
    <w:rsid w:val="009E25C9"/>
    <w:rsid w:val="009E2872"/>
    <w:rsid w:val="009E2CB4"/>
    <w:rsid w:val="009E3746"/>
    <w:rsid w:val="009E37D8"/>
    <w:rsid w:val="009E4148"/>
    <w:rsid w:val="009E481B"/>
    <w:rsid w:val="009E667B"/>
    <w:rsid w:val="009F0FC4"/>
    <w:rsid w:val="009F10FC"/>
    <w:rsid w:val="009F13E4"/>
    <w:rsid w:val="009F2CDC"/>
    <w:rsid w:val="009F306C"/>
    <w:rsid w:val="009F322D"/>
    <w:rsid w:val="009F4B1D"/>
    <w:rsid w:val="009F6065"/>
    <w:rsid w:val="009F652B"/>
    <w:rsid w:val="009F67A3"/>
    <w:rsid w:val="009F7935"/>
    <w:rsid w:val="009F7D02"/>
    <w:rsid w:val="00A005E9"/>
    <w:rsid w:val="00A007FD"/>
    <w:rsid w:val="00A00899"/>
    <w:rsid w:val="00A00A58"/>
    <w:rsid w:val="00A01205"/>
    <w:rsid w:val="00A01C5A"/>
    <w:rsid w:val="00A01E78"/>
    <w:rsid w:val="00A038F7"/>
    <w:rsid w:val="00A03C11"/>
    <w:rsid w:val="00A03EE2"/>
    <w:rsid w:val="00A04710"/>
    <w:rsid w:val="00A05C79"/>
    <w:rsid w:val="00A06288"/>
    <w:rsid w:val="00A068A6"/>
    <w:rsid w:val="00A108DD"/>
    <w:rsid w:val="00A109C0"/>
    <w:rsid w:val="00A10B85"/>
    <w:rsid w:val="00A11785"/>
    <w:rsid w:val="00A12287"/>
    <w:rsid w:val="00A128F0"/>
    <w:rsid w:val="00A12A96"/>
    <w:rsid w:val="00A12B06"/>
    <w:rsid w:val="00A12B36"/>
    <w:rsid w:val="00A14486"/>
    <w:rsid w:val="00A1582C"/>
    <w:rsid w:val="00A20B68"/>
    <w:rsid w:val="00A20CA7"/>
    <w:rsid w:val="00A20D67"/>
    <w:rsid w:val="00A21544"/>
    <w:rsid w:val="00A21769"/>
    <w:rsid w:val="00A2261D"/>
    <w:rsid w:val="00A238E8"/>
    <w:rsid w:val="00A253E1"/>
    <w:rsid w:val="00A25657"/>
    <w:rsid w:val="00A25A7A"/>
    <w:rsid w:val="00A26CF7"/>
    <w:rsid w:val="00A26DF0"/>
    <w:rsid w:val="00A271A4"/>
    <w:rsid w:val="00A300F4"/>
    <w:rsid w:val="00A30BAD"/>
    <w:rsid w:val="00A30D74"/>
    <w:rsid w:val="00A30E1E"/>
    <w:rsid w:val="00A31404"/>
    <w:rsid w:val="00A31EA4"/>
    <w:rsid w:val="00A32175"/>
    <w:rsid w:val="00A32C97"/>
    <w:rsid w:val="00A33C87"/>
    <w:rsid w:val="00A3401F"/>
    <w:rsid w:val="00A349C2"/>
    <w:rsid w:val="00A3673B"/>
    <w:rsid w:val="00A37AF4"/>
    <w:rsid w:val="00A37BC3"/>
    <w:rsid w:val="00A37DF0"/>
    <w:rsid w:val="00A40FBF"/>
    <w:rsid w:val="00A420D3"/>
    <w:rsid w:val="00A42C92"/>
    <w:rsid w:val="00A43153"/>
    <w:rsid w:val="00A4337F"/>
    <w:rsid w:val="00A45D1C"/>
    <w:rsid w:val="00A46B8A"/>
    <w:rsid w:val="00A46D32"/>
    <w:rsid w:val="00A47D73"/>
    <w:rsid w:val="00A507EB"/>
    <w:rsid w:val="00A51780"/>
    <w:rsid w:val="00A532C6"/>
    <w:rsid w:val="00A535B7"/>
    <w:rsid w:val="00A550C5"/>
    <w:rsid w:val="00A55238"/>
    <w:rsid w:val="00A557E7"/>
    <w:rsid w:val="00A572BB"/>
    <w:rsid w:val="00A57C68"/>
    <w:rsid w:val="00A600FD"/>
    <w:rsid w:val="00A60C9A"/>
    <w:rsid w:val="00A61E58"/>
    <w:rsid w:val="00A6215B"/>
    <w:rsid w:val="00A62572"/>
    <w:rsid w:val="00A62E47"/>
    <w:rsid w:val="00A6356F"/>
    <w:rsid w:val="00A635C4"/>
    <w:rsid w:val="00A6573E"/>
    <w:rsid w:val="00A6592A"/>
    <w:rsid w:val="00A66447"/>
    <w:rsid w:val="00A66B17"/>
    <w:rsid w:val="00A6725C"/>
    <w:rsid w:val="00A67FEE"/>
    <w:rsid w:val="00A7161D"/>
    <w:rsid w:val="00A71AD9"/>
    <w:rsid w:val="00A72330"/>
    <w:rsid w:val="00A725A3"/>
    <w:rsid w:val="00A72EC1"/>
    <w:rsid w:val="00A74071"/>
    <w:rsid w:val="00A7444C"/>
    <w:rsid w:val="00A74DEB"/>
    <w:rsid w:val="00A754C3"/>
    <w:rsid w:val="00A75AF8"/>
    <w:rsid w:val="00A76171"/>
    <w:rsid w:val="00A7639D"/>
    <w:rsid w:val="00A76593"/>
    <w:rsid w:val="00A772C8"/>
    <w:rsid w:val="00A80704"/>
    <w:rsid w:val="00A80F3B"/>
    <w:rsid w:val="00A81256"/>
    <w:rsid w:val="00A814DB"/>
    <w:rsid w:val="00A81518"/>
    <w:rsid w:val="00A81D63"/>
    <w:rsid w:val="00A82D82"/>
    <w:rsid w:val="00A82EC7"/>
    <w:rsid w:val="00A82F2F"/>
    <w:rsid w:val="00A8352C"/>
    <w:rsid w:val="00A83E39"/>
    <w:rsid w:val="00A84043"/>
    <w:rsid w:val="00A84894"/>
    <w:rsid w:val="00A84BA6"/>
    <w:rsid w:val="00A8602E"/>
    <w:rsid w:val="00A868B3"/>
    <w:rsid w:val="00A86A7E"/>
    <w:rsid w:val="00A86C4A"/>
    <w:rsid w:val="00A90077"/>
    <w:rsid w:val="00A9043F"/>
    <w:rsid w:val="00A906D3"/>
    <w:rsid w:val="00A9216A"/>
    <w:rsid w:val="00A92FC0"/>
    <w:rsid w:val="00A92FD0"/>
    <w:rsid w:val="00A930E9"/>
    <w:rsid w:val="00A93E70"/>
    <w:rsid w:val="00A955BD"/>
    <w:rsid w:val="00A95B13"/>
    <w:rsid w:val="00A96AC6"/>
    <w:rsid w:val="00A96B31"/>
    <w:rsid w:val="00A97412"/>
    <w:rsid w:val="00A97683"/>
    <w:rsid w:val="00A97B15"/>
    <w:rsid w:val="00AA0CA0"/>
    <w:rsid w:val="00AA1159"/>
    <w:rsid w:val="00AA1673"/>
    <w:rsid w:val="00AA16BA"/>
    <w:rsid w:val="00AA1895"/>
    <w:rsid w:val="00AA1936"/>
    <w:rsid w:val="00AA2429"/>
    <w:rsid w:val="00AA3EAB"/>
    <w:rsid w:val="00AA6841"/>
    <w:rsid w:val="00AA727F"/>
    <w:rsid w:val="00AA7EC3"/>
    <w:rsid w:val="00AB043C"/>
    <w:rsid w:val="00AB0991"/>
    <w:rsid w:val="00AB2638"/>
    <w:rsid w:val="00AB285E"/>
    <w:rsid w:val="00AB2F87"/>
    <w:rsid w:val="00AB485B"/>
    <w:rsid w:val="00AB5D2B"/>
    <w:rsid w:val="00AB6709"/>
    <w:rsid w:val="00AC0575"/>
    <w:rsid w:val="00AC094A"/>
    <w:rsid w:val="00AC0F47"/>
    <w:rsid w:val="00AC16F5"/>
    <w:rsid w:val="00AC1D8A"/>
    <w:rsid w:val="00AC2231"/>
    <w:rsid w:val="00AC2237"/>
    <w:rsid w:val="00AC2978"/>
    <w:rsid w:val="00AC2E35"/>
    <w:rsid w:val="00AC39F4"/>
    <w:rsid w:val="00AC5704"/>
    <w:rsid w:val="00AC79E5"/>
    <w:rsid w:val="00AD0DF4"/>
    <w:rsid w:val="00AD20C0"/>
    <w:rsid w:val="00AD2709"/>
    <w:rsid w:val="00AD366C"/>
    <w:rsid w:val="00AD37CF"/>
    <w:rsid w:val="00AD7108"/>
    <w:rsid w:val="00AE00AD"/>
    <w:rsid w:val="00AE1809"/>
    <w:rsid w:val="00AE19EF"/>
    <w:rsid w:val="00AE1A8E"/>
    <w:rsid w:val="00AE2245"/>
    <w:rsid w:val="00AE3FB4"/>
    <w:rsid w:val="00AE45FB"/>
    <w:rsid w:val="00AE4800"/>
    <w:rsid w:val="00AE6BCA"/>
    <w:rsid w:val="00AE6FA8"/>
    <w:rsid w:val="00AE7BC4"/>
    <w:rsid w:val="00AE7D1D"/>
    <w:rsid w:val="00AF0D17"/>
    <w:rsid w:val="00AF1106"/>
    <w:rsid w:val="00AF1DA7"/>
    <w:rsid w:val="00AF249F"/>
    <w:rsid w:val="00AF2B00"/>
    <w:rsid w:val="00AF2B3D"/>
    <w:rsid w:val="00AF34E4"/>
    <w:rsid w:val="00AF38CF"/>
    <w:rsid w:val="00AF3AC3"/>
    <w:rsid w:val="00AF3D6B"/>
    <w:rsid w:val="00AF3EB8"/>
    <w:rsid w:val="00AF4627"/>
    <w:rsid w:val="00AF5276"/>
    <w:rsid w:val="00AF60C8"/>
    <w:rsid w:val="00AF6697"/>
    <w:rsid w:val="00AF6DF0"/>
    <w:rsid w:val="00AF6DF6"/>
    <w:rsid w:val="00AF6F60"/>
    <w:rsid w:val="00AF75AF"/>
    <w:rsid w:val="00AF75BC"/>
    <w:rsid w:val="00AF7979"/>
    <w:rsid w:val="00B00517"/>
    <w:rsid w:val="00B007BB"/>
    <w:rsid w:val="00B00946"/>
    <w:rsid w:val="00B009EA"/>
    <w:rsid w:val="00B0151A"/>
    <w:rsid w:val="00B01B38"/>
    <w:rsid w:val="00B01F6A"/>
    <w:rsid w:val="00B03581"/>
    <w:rsid w:val="00B03AAE"/>
    <w:rsid w:val="00B03D24"/>
    <w:rsid w:val="00B040FE"/>
    <w:rsid w:val="00B048CA"/>
    <w:rsid w:val="00B04C75"/>
    <w:rsid w:val="00B05A92"/>
    <w:rsid w:val="00B0603C"/>
    <w:rsid w:val="00B0675B"/>
    <w:rsid w:val="00B10549"/>
    <w:rsid w:val="00B108C7"/>
    <w:rsid w:val="00B11190"/>
    <w:rsid w:val="00B121D9"/>
    <w:rsid w:val="00B12713"/>
    <w:rsid w:val="00B129C4"/>
    <w:rsid w:val="00B13666"/>
    <w:rsid w:val="00B13F6A"/>
    <w:rsid w:val="00B1402C"/>
    <w:rsid w:val="00B147A0"/>
    <w:rsid w:val="00B14B3E"/>
    <w:rsid w:val="00B14FF4"/>
    <w:rsid w:val="00B15249"/>
    <w:rsid w:val="00B15D25"/>
    <w:rsid w:val="00B15D7B"/>
    <w:rsid w:val="00B16C9D"/>
    <w:rsid w:val="00B17B31"/>
    <w:rsid w:val="00B20EE8"/>
    <w:rsid w:val="00B215B0"/>
    <w:rsid w:val="00B216CF"/>
    <w:rsid w:val="00B2374F"/>
    <w:rsid w:val="00B248D9"/>
    <w:rsid w:val="00B255A3"/>
    <w:rsid w:val="00B26414"/>
    <w:rsid w:val="00B26A53"/>
    <w:rsid w:val="00B27203"/>
    <w:rsid w:val="00B277BD"/>
    <w:rsid w:val="00B279EA"/>
    <w:rsid w:val="00B30951"/>
    <w:rsid w:val="00B30FAF"/>
    <w:rsid w:val="00B314EF"/>
    <w:rsid w:val="00B319D3"/>
    <w:rsid w:val="00B31D10"/>
    <w:rsid w:val="00B31D22"/>
    <w:rsid w:val="00B32263"/>
    <w:rsid w:val="00B3337C"/>
    <w:rsid w:val="00B34AF6"/>
    <w:rsid w:val="00B36ADC"/>
    <w:rsid w:val="00B37138"/>
    <w:rsid w:val="00B402D9"/>
    <w:rsid w:val="00B40992"/>
    <w:rsid w:val="00B40BD1"/>
    <w:rsid w:val="00B431FC"/>
    <w:rsid w:val="00B43396"/>
    <w:rsid w:val="00B438C9"/>
    <w:rsid w:val="00B43D22"/>
    <w:rsid w:val="00B447FE"/>
    <w:rsid w:val="00B449C4"/>
    <w:rsid w:val="00B452BB"/>
    <w:rsid w:val="00B45A3D"/>
    <w:rsid w:val="00B45C09"/>
    <w:rsid w:val="00B45F09"/>
    <w:rsid w:val="00B46530"/>
    <w:rsid w:val="00B47571"/>
    <w:rsid w:val="00B47F95"/>
    <w:rsid w:val="00B50254"/>
    <w:rsid w:val="00B50506"/>
    <w:rsid w:val="00B50520"/>
    <w:rsid w:val="00B50968"/>
    <w:rsid w:val="00B5125F"/>
    <w:rsid w:val="00B51305"/>
    <w:rsid w:val="00B51961"/>
    <w:rsid w:val="00B51DAB"/>
    <w:rsid w:val="00B5296F"/>
    <w:rsid w:val="00B529CA"/>
    <w:rsid w:val="00B52DDC"/>
    <w:rsid w:val="00B53362"/>
    <w:rsid w:val="00B5360C"/>
    <w:rsid w:val="00B53AAA"/>
    <w:rsid w:val="00B55B96"/>
    <w:rsid w:val="00B560F0"/>
    <w:rsid w:val="00B56AF3"/>
    <w:rsid w:val="00B56D91"/>
    <w:rsid w:val="00B57063"/>
    <w:rsid w:val="00B6053D"/>
    <w:rsid w:val="00B6125F"/>
    <w:rsid w:val="00B6146A"/>
    <w:rsid w:val="00B6284D"/>
    <w:rsid w:val="00B64611"/>
    <w:rsid w:val="00B64C95"/>
    <w:rsid w:val="00B64D84"/>
    <w:rsid w:val="00B659E0"/>
    <w:rsid w:val="00B66B37"/>
    <w:rsid w:val="00B67C60"/>
    <w:rsid w:val="00B71A5D"/>
    <w:rsid w:val="00B722BB"/>
    <w:rsid w:val="00B72B28"/>
    <w:rsid w:val="00B7375F"/>
    <w:rsid w:val="00B739E5"/>
    <w:rsid w:val="00B74042"/>
    <w:rsid w:val="00B74369"/>
    <w:rsid w:val="00B74AA5"/>
    <w:rsid w:val="00B75D80"/>
    <w:rsid w:val="00B75F57"/>
    <w:rsid w:val="00B76F0D"/>
    <w:rsid w:val="00B778B6"/>
    <w:rsid w:val="00B807B9"/>
    <w:rsid w:val="00B810E4"/>
    <w:rsid w:val="00B81198"/>
    <w:rsid w:val="00B81AA6"/>
    <w:rsid w:val="00B81C15"/>
    <w:rsid w:val="00B820C7"/>
    <w:rsid w:val="00B8456F"/>
    <w:rsid w:val="00B8489C"/>
    <w:rsid w:val="00B84933"/>
    <w:rsid w:val="00B84BE1"/>
    <w:rsid w:val="00B86A02"/>
    <w:rsid w:val="00B86FA4"/>
    <w:rsid w:val="00B90105"/>
    <w:rsid w:val="00B90644"/>
    <w:rsid w:val="00B90C36"/>
    <w:rsid w:val="00B917A9"/>
    <w:rsid w:val="00B9226A"/>
    <w:rsid w:val="00B92EAB"/>
    <w:rsid w:val="00B93A56"/>
    <w:rsid w:val="00B93D40"/>
    <w:rsid w:val="00B95029"/>
    <w:rsid w:val="00B96764"/>
    <w:rsid w:val="00B972A1"/>
    <w:rsid w:val="00B972F5"/>
    <w:rsid w:val="00BA013A"/>
    <w:rsid w:val="00BA1252"/>
    <w:rsid w:val="00BA1508"/>
    <w:rsid w:val="00BA214B"/>
    <w:rsid w:val="00BA223E"/>
    <w:rsid w:val="00BA2DAC"/>
    <w:rsid w:val="00BA31F9"/>
    <w:rsid w:val="00BA3563"/>
    <w:rsid w:val="00BA504E"/>
    <w:rsid w:val="00BA578C"/>
    <w:rsid w:val="00BA5AF5"/>
    <w:rsid w:val="00BA5F6F"/>
    <w:rsid w:val="00BA68C6"/>
    <w:rsid w:val="00BB0074"/>
    <w:rsid w:val="00BB0287"/>
    <w:rsid w:val="00BB121C"/>
    <w:rsid w:val="00BB13FB"/>
    <w:rsid w:val="00BB1AE3"/>
    <w:rsid w:val="00BB24D0"/>
    <w:rsid w:val="00BB2752"/>
    <w:rsid w:val="00BB375E"/>
    <w:rsid w:val="00BB3C16"/>
    <w:rsid w:val="00BB47F5"/>
    <w:rsid w:val="00BB531E"/>
    <w:rsid w:val="00BB6A63"/>
    <w:rsid w:val="00BB7165"/>
    <w:rsid w:val="00BB74C5"/>
    <w:rsid w:val="00BB74D2"/>
    <w:rsid w:val="00BC08A6"/>
    <w:rsid w:val="00BC0B49"/>
    <w:rsid w:val="00BC1329"/>
    <w:rsid w:val="00BC173E"/>
    <w:rsid w:val="00BC1E6A"/>
    <w:rsid w:val="00BC1F98"/>
    <w:rsid w:val="00BC2FC4"/>
    <w:rsid w:val="00BC3113"/>
    <w:rsid w:val="00BC32C7"/>
    <w:rsid w:val="00BC3699"/>
    <w:rsid w:val="00BC6746"/>
    <w:rsid w:val="00BC6A7D"/>
    <w:rsid w:val="00BC73AF"/>
    <w:rsid w:val="00BC7841"/>
    <w:rsid w:val="00BD1971"/>
    <w:rsid w:val="00BD2AE1"/>
    <w:rsid w:val="00BD3046"/>
    <w:rsid w:val="00BD3258"/>
    <w:rsid w:val="00BD3DAC"/>
    <w:rsid w:val="00BD46C1"/>
    <w:rsid w:val="00BD47C2"/>
    <w:rsid w:val="00BD47CE"/>
    <w:rsid w:val="00BD497F"/>
    <w:rsid w:val="00BD58F9"/>
    <w:rsid w:val="00BD6CE9"/>
    <w:rsid w:val="00BD792F"/>
    <w:rsid w:val="00BE10F6"/>
    <w:rsid w:val="00BE1A73"/>
    <w:rsid w:val="00BE1F57"/>
    <w:rsid w:val="00BE2954"/>
    <w:rsid w:val="00BE32BA"/>
    <w:rsid w:val="00BE4174"/>
    <w:rsid w:val="00BE4DD8"/>
    <w:rsid w:val="00BE5190"/>
    <w:rsid w:val="00BE5A2F"/>
    <w:rsid w:val="00BE5F0C"/>
    <w:rsid w:val="00BE6C7E"/>
    <w:rsid w:val="00BE7150"/>
    <w:rsid w:val="00BE7ACD"/>
    <w:rsid w:val="00BF16A7"/>
    <w:rsid w:val="00BF1C5C"/>
    <w:rsid w:val="00BF1D28"/>
    <w:rsid w:val="00BF446D"/>
    <w:rsid w:val="00BF64D3"/>
    <w:rsid w:val="00BF67D2"/>
    <w:rsid w:val="00BF6DEE"/>
    <w:rsid w:val="00BF76F2"/>
    <w:rsid w:val="00BF7F5F"/>
    <w:rsid w:val="00C008E2"/>
    <w:rsid w:val="00C0371D"/>
    <w:rsid w:val="00C04C3B"/>
    <w:rsid w:val="00C0581D"/>
    <w:rsid w:val="00C058C4"/>
    <w:rsid w:val="00C062F5"/>
    <w:rsid w:val="00C06C48"/>
    <w:rsid w:val="00C06DE0"/>
    <w:rsid w:val="00C1067B"/>
    <w:rsid w:val="00C11EFD"/>
    <w:rsid w:val="00C11F5C"/>
    <w:rsid w:val="00C12BEC"/>
    <w:rsid w:val="00C1394E"/>
    <w:rsid w:val="00C13B46"/>
    <w:rsid w:val="00C142C7"/>
    <w:rsid w:val="00C14417"/>
    <w:rsid w:val="00C1524F"/>
    <w:rsid w:val="00C153DE"/>
    <w:rsid w:val="00C155C2"/>
    <w:rsid w:val="00C15A30"/>
    <w:rsid w:val="00C160F5"/>
    <w:rsid w:val="00C16109"/>
    <w:rsid w:val="00C1644A"/>
    <w:rsid w:val="00C16650"/>
    <w:rsid w:val="00C16F25"/>
    <w:rsid w:val="00C1748B"/>
    <w:rsid w:val="00C17AA0"/>
    <w:rsid w:val="00C202B0"/>
    <w:rsid w:val="00C208AB"/>
    <w:rsid w:val="00C208DE"/>
    <w:rsid w:val="00C217F5"/>
    <w:rsid w:val="00C22F28"/>
    <w:rsid w:val="00C245C6"/>
    <w:rsid w:val="00C25C00"/>
    <w:rsid w:val="00C260D9"/>
    <w:rsid w:val="00C26B8B"/>
    <w:rsid w:val="00C26DA1"/>
    <w:rsid w:val="00C26E53"/>
    <w:rsid w:val="00C2767D"/>
    <w:rsid w:val="00C3053E"/>
    <w:rsid w:val="00C30B43"/>
    <w:rsid w:val="00C3150D"/>
    <w:rsid w:val="00C31911"/>
    <w:rsid w:val="00C31A9E"/>
    <w:rsid w:val="00C32F20"/>
    <w:rsid w:val="00C32F5D"/>
    <w:rsid w:val="00C35B3B"/>
    <w:rsid w:val="00C36BC9"/>
    <w:rsid w:val="00C36C18"/>
    <w:rsid w:val="00C376B2"/>
    <w:rsid w:val="00C4013E"/>
    <w:rsid w:val="00C4033F"/>
    <w:rsid w:val="00C40437"/>
    <w:rsid w:val="00C40578"/>
    <w:rsid w:val="00C428E5"/>
    <w:rsid w:val="00C435BD"/>
    <w:rsid w:val="00C43B4E"/>
    <w:rsid w:val="00C43B8E"/>
    <w:rsid w:val="00C4457D"/>
    <w:rsid w:val="00C4528F"/>
    <w:rsid w:val="00C47C61"/>
    <w:rsid w:val="00C515F3"/>
    <w:rsid w:val="00C517B4"/>
    <w:rsid w:val="00C52312"/>
    <w:rsid w:val="00C5280B"/>
    <w:rsid w:val="00C5370B"/>
    <w:rsid w:val="00C547B0"/>
    <w:rsid w:val="00C55C6B"/>
    <w:rsid w:val="00C56538"/>
    <w:rsid w:val="00C56F7D"/>
    <w:rsid w:val="00C570F7"/>
    <w:rsid w:val="00C572E4"/>
    <w:rsid w:val="00C578D0"/>
    <w:rsid w:val="00C57E93"/>
    <w:rsid w:val="00C60805"/>
    <w:rsid w:val="00C60A8D"/>
    <w:rsid w:val="00C60CEE"/>
    <w:rsid w:val="00C618B5"/>
    <w:rsid w:val="00C625E1"/>
    <w:rsid w:val="00C62B17"/>
    <w:rsid w:val="00C633C3"/>
    <w:rsid w:val="00C64EF1"/>
    <w:rsid w:val="00C64F2B"/>
    <w:rsid w:val="00C6501C"/>
    <w:rsid w:val="00C650D2"/>
    <w:rsid w:val="00C6654F"/>
    <w:rsid w:val="00C67084"/>
    <w:rsid w:val="00C67756"/>
    <w:rsid w:val="00C67E50"/>
    <w:rsid w:val="00C7073F"/>
    <w:rsid w:val="00C70928"/>
    <w:rsid w:val="00C709EE"/>
    <w:rsid w:val="00C71072"/>
    <w:rsid w:val="00C711B4"/>
    <w:rsid w:val="00C7122F"/>
    <w:rsid w:val="00C71C35"/>
    <w:rsid w:val="00C71FB6"/>
    <w:rsid w:val="00C73371"/>
    <w:rsid w:val="00C7337E"/>
    <w:rsid w:val="00C734CD"/>
    <w:rsid w:val="00C73588"/>
    <w:rsid w:val="00C737A5"/>
    <w:rsid w:val="00C73937"/>
    <w:rsid w:val="00C73EB5"/>
    <w:rsid w:val="00C74119"/>
    <w:rsid w:val="00C7474D"/>
    <w:rsid w:val="00C748DF"/>
    <w:rsid w:val="00C74D9D"/>
    <w:rsid w:val="00C7681F"/>
    <w:rsid w:val="00C76BA6"/>
    <w:rsid w:val="00C76F45"/>
    <w:rsid w:val="00C775FC"/>
    <w:rsid w:val="00C80495"/>
    <w:rsid w:val="00C8123C"/>
    <w:rsid w:val="00C82132"/>
    <w:rsid w:val="00C82DA4"/>
    <w:rsid w:val="00C847B2"/>
    <w:rsid w:val="00C84BF2"/>
    <w:rsid w:val="00C8521C"/>
    <w:rsid w:val="00C8756A"/>
    <w:rsid w:val="00C87661"/>
    <w:rsid w:val="00C87C7F"/>
    <w:rsid w:val="00C87D32"/>
    <w:rsid w:val="00C905C8"/>
    <w:rsid w:val="00C90DBA"/>
    <w:rsid w:val="00C91113"/>
    <w:rsid w:val="00C912D0"/>
    <w:rsid w:val="00C91538"/>
    <w:rsid w:val="00C93079"/>
    <w:rsid w:val="00C9393D"/>
    <w:rsid w:val="00C93D1A"/>
    <w:rsid w:val="00C93FD9"/>
    <w:rsid w:val="00C94534"/>
    <w:rsid w:val="00C95252"/>
    <w:rsid w:val="00C96310"/>
    <w:rsid w:val="00C9641D"/>
    <w:rsid w:val="00C97291"/>
    <w:rsid w:val="00C97AE0"/>
    <w:rsid w:val="00CA0DFD"/>
    <w:rsid w:val="00CA121D"/>
    <w:rsid w:val="00CA33C0"/>
    <w:rsid w:val="00CA3E4A"/>
    <w:rsid w:val="00CA3FB4"/>
    <w:rsid w:val="00CA50E1"/>
    <w:rsid w:val="00CA5123"/>
    <w:rsid w:val="00CA534C"/>
    <w:rsid w:val="00CA6A07"/>
    <w:rsid w:val="00CA6B58"/>
    <w:rsid w:val="00CA7E68"/>
    <w:rsid w:val="00CA7EE1"/>
    <w:rsid w:val="00CB0099"/>
    <w:rsid w:val="00CB044F"/>
    <w:rsid w:val="00CB04DF"/>
    <w:rsid w:val="00CB06BC"/>
    <w:rsid w:val="00CB0FFB"/>
    <w:rsid w:val="00CB2B96"/>
    <w:rsid w:val="00CB352D"/>
    <w:rsid w:val="00CB39B4"/>
    <w:rsid w:val="00CB3CE3"/>
    <w:rsid w:val="00CB3EF3"/>
    <w:rsid w:val="00CB41F6"/>
    <w:rsid w:val="00CB4538"/>
    <w:rsid w:val="00CB4656"/>
    <w:rsid w:val="00CB4A00"/>
    <w:rsid w:val="00CB573B"/>
    <w:rsid w:val="00CB5A5B"/>
    <w:rsid w:val="00CB5B45"/>
    <w:rsid w:val="00CB6163"/>
    <w:rsid w:val="00CB6733"/>
    <w:rsid w:val="00CB71E8"/>
    <w:rsid w:val="00CB7552"/>
    <w:rsid w:val="00CC0D0A"/>
    <w:rsid w:val="00CC2402"/>
    <w:rsid w:val="00CC2C2E"/>
    <w:rsid w:val="00CC2F96"/>
    <w:rsid w:val="00CC68A3"/>
    <w:rsid w:val="00CC694B"/>
    <w:rsid w:val="00CC75C5"/>
    <w:rsid w:val="00CC763B"/>
    <w:rsid w:val="00CC77DA"/>
    <w:rsid w:val="00CD0436"/>
    <w:rsid w:val="00CD0695"/>
    <w:rsid w:val="00CD06AA"/>
    <w:rsid w:val="00CD0B8B"/>
    <w:rsid w:val="00CD11F0"/>
    <w:rsid w:val="00CD21C4"/>
    <w:rsid w:val="00CD3131"/>
    <w:rsid w:val="00CD3430"/>
    <w:rsid w:val="00CD3E5F"/>
    <w:rsid w:val="00CD4193"/>
    <w:rsid w:val="00CD4614"/>
    <w:rsid w:val="00CD61C1"/>
    <w:rsid w:val="00CD69B7"/>
    <w:rsid w:val="00CD6F98"/>
    <w:rsid w:val="00CD73B1"/>
    <w:rsid w:val="00CD761E"/>
    <w:rsid w:val="00CD7BEA"/>
    <w:rsid w:val="00CE0737"/>
    <w:rsid w:val="00CE0CBB"/>
    <w:rsid w:val="00CE1093"/>
    <w:rsid w:val="00CE10BD"/>
    <w:rsid w:val="00CE1CD0"/>
    <w:rsid w:val="00CE1F95"/>
    <w:rsid w:val="00CE2B3F"/>
    <w:rsid w:val="00CE31D9"/>
    <w:rsid w:val="00CE3A7B"/>
    <w:rsid w:val="00CE3E1E"/>
    <w:rsid w:val="00CE575B"/>
    <w:rsid w:val="00CE5DFB"/>
    <w:rsid w:val="00CE6C75"/>
    <w:rsid w:val="00CE6D3D"/>
    <w:rsid w:val="00CE6FCD"/>
    <w:rsid w:val="00CE71EE"/>
    <w:rsid w:val="00CE7A04"/>
    <w:rsid w:val="00CF027A"/>
    <w:rsid w:val="00CF05F8"/>
    <w:rsid w:val="00CF0BAC"/>
    <w:rsid w:val="00CF0C7A"/>
    <w:rsid w:val="00CF1FF8"/>
    <w:rsid w:val="00CF26D9"/>
    <w:rsid w:val="00CF3864"/>
    <w:rsid w:val="00CF50C8"/>
    <w:rsid w:val="00CF5411"/>
    <w:rsid w:val="00CF59BF"/>
    <w:rsid w:val="00CF648E"/>
    <w:rsid w:val="00CF6586"/>
    <w:rsid w:val="00CF78BD"/>
    <w:rsid w:val="00CF7DB0"/>
    <w:rsid w:val="00D01054"/>
    <w:rsid w:val="00D0160E"/>
    <w:rsid w:val="00D0186E"/>
    <w:rsid w:val="00D0196A"/>
    <w:rsid w:val="00D01B6C"/>
    <w:rsid w:val="00D02C37"/>
    <w:rsid w:val="00D0401F"/>
    <w:rsid w:val="00D05890"/>
    <w:rsid w:val="00D06130"/>
    <w:rsid w:val="00D06C66"/>
    <w:rsid w:val="00D07E94"/>
    <w:rsid w:val="00D07ECF"/>
    <w:rsid w:val="00D1021A"/>
    <w:rsid w:val="00D10C3D"/>
    <w:rsid w:val="00D118A4"/>
    <w:rsid w:val="00D11A97"/>
    <w:rsid w:val="00D1338B"/>
    <w:rsid w:val="00D13847"/>
    <w:rsid w:val="00D13D75"/>
    <w:rsid w:val="00D164EF"/>
    <w:rsid w:val="00D1723F"/>
    <w:rsid w:val="00D17929"/>
    <w:rsid w:val="00D204AC"/>
    <w:rsid w:val="00D20969"/>
    <w:rsid w:val="00D210B3"/>
    <w:rsid w:val="00D21F1B"/>
    <w:rsid w:val="00D21F34"/>
    <w:rsid w:val="00D21FE7"/>
    <w:rsid w:val="00D23691"/>
    <w:rsid w:val="00D24536"/>
    <w:rsid w:val="00D24AC9"/>
    <w:rsid w:val="00D252B6"/>
    <w:rsid w:val="00D2539B"/>
    <w:rsid w:val="00D2559F"/>
    <w:rsid w:val="00D25B07"/>
    <w:rsid w:val="00D2717D"/>
    <w:rsid w:val="00D2760B"/>
    <w:rsid w:val="00D27D23"/>
    <w:rsid w:val="00D27EB5"/>
    <w:rsid w:val="00D301A0"/>
    <w:rsid w:val="00D31E0D"/>
    <w:rsid w:val="00D320D2"/>
    <w:rsid w:val="00D325CA"/>
    <w:rsid w:val="00D3265F"/>
    <w:rsid w:val="00D32C65"/>
    <w:rsid w:val="00D334C4"/>
    <w:rsid w:val="00D3402A"/>
    <w:rsid w:val="00D353A8"/>
    <w:rsid w:val="00D35B81"/>
    <w:rsid w:val="00D35C6D"/>
    <w:rsid w:val="00D37030"/>
    <w:rsid w:val="00D370FB"/>
    <w:rsid w:val="00D37365"/>
    <w:rsid w:val="00D37A82"/>
    <w:rsid w:val="00D37DE8"/>
    <w:rsid w:val="00D40D5C"/>
    <w:rsid w:val="00D40E8B"/>
    <w:rsid w:val="00D417C8"/>
    <w:rsid w:val="00D42828"/>
    <w:rsid w:val="00D43E25"/>
    <w:rsid w:val="00D444D3"/>
    <w:rsid w:val="00D44D28"/>
    <w:rsid w:val="00D45525"/>
    <w:rsid w:val="00D47217"/>
    <w:rsid w:val="00D50590"/>
    <w:rsid w:val="00D50BA7"/>
    <w:rsid w:val="00D50ECD"/>
    <w:rsid w:val="00D516DA"/>
    <w:rsid w:val="00D51728"/>
    <w:rsid w:val="00D52B35"/>
    <w:rsid w:val="00D53F4C"/>
    <w:rsid w:val="00D54388"/>
    <w:rsid w:val="00D5495B"/>
    <w:rsid w:val="00D55CA1"/>
    <w:rsid w:val="00D56F90"/>
    <w:rsid w:val="00D6072D"/>
    <w:rsid w:val="00D61040"/>
    <w:rsid w:val="00D6143F"/>
    <w:rsid w:val="00D62180"/>
    <w:rsid w:val="00D62CFD"/>
    <w:rsid w:val="00D633D0"/>
    <w:rsid w:val="00D63445"/>
    <w:rsid w:val="00D634DA"/>
    <w:rsid w:val="00D63544"/>
    <w:rsid w:val="00D63A6B"/>
    <w:rsid w:val="00D63A89"/>
    <w:rsid w:val="00D64221"/>
    <w:rsid w:val="00D64969"/>
    <w:rsid w:val="00D663BE"/>
    <w:rsid w:val="00D66DFE"/>
    <w:rsid w:val="00D67E22"/>
    <w:rsid w:val="00D7073D"/>
    <w:rsid w:val="00D71104"/>
    <w:rsid w:val="00D71536"/>
    <w:rsid w:val="00D71545"/>
    <w:rsid w:val="00D718E1"/>
    <w:rsid w:val="00D73A5D"/>
    <w:rsid w:val="00D73EE7"/>
    <w:rsid w:val="00D74021"/>
    <w:rsid w:val="00D74E90"/>
    <w:rsid w:val="00D76269"/>
    <w:rsid w:val="00D76CD3"/>
    <w:rsid w:val="00D7795F"/>
    <w:rsid w:val="00D77B67"/>
    <w:rsid w:val="00D81033"/>
    <w:rsid w:val="00D813AD"/>
    <w:rsid w:val="00D817C1"/>
    <w:rsid w:val="00D8321C"/>
    <w:rsid w:val="00D84C11"/>
    <w:rsid w:val="00D852B4"/>
    <w:rsid w:val="00D853CA"/>
    <w:rsid w:val="00D859D1"/>
    <w:rsid w:val="00D878C4"/>
    <w:rsid w:val="00D90335"/>
    <w:rsid w:val="00D9290C"/>
    <w:rsid w:val="00D932B5"/>
    <w:rsid w:val="00D93ECE"/>
    <w:rsid w:val="00D946DE"/>
    <w:rsid w:val="00D94B96"/>
    <w:rsid w:val="00D94BDA"/>
    <w:rsid w:val="00D9581F"/>
    <w:rsid w:val="00D97EC1"/>
    <w:rsid w:val="00DA0A2E"/>
    <w:rsid w:val="00DA0D7C"/>
    <w:rsid w:val="00DA1172"/>
    <w:rsid w:val="00DA1205"/>
    <w:rsid w:val="00DA2527"/>
    <w:rsid w:val="00DA31AE"/>
    <w:rsid w:val="00DA3342"/>
    <w:rsid w:val="00DA334E"/>
    <w:rsid w:val="00DA3F18"/>
    <w:rsid w:val="00DA4D82"/>
    <w:rsid w:val="00DA50EE"/>
    <w:rsid w:val="00DA5A83"/>
    <w:rsid w:val="00DA6042"/>
    <w:rsid w:val="00DA6437"/>
    <w:rsid w:val="00DA77D6"/>
    <w:rsid w:val="00DB1704"/>
    <w:rsid w:val="00DB18C0"/>
    <w:rsid w:val="00DB2749"/>
    <w:rsid w:val="00DB448F"/>
    <w:rsid w:val="00DB54E3"/>
    <w:rsid w:val="00DB7436"/>
    <w:rsid w:val="00DB745D"/>
    <w:rsid w:val="00DC0283"/>
    <w:rsid w:val="00DC032C"/>
    <w:rsid w:val="00DC09E5"/>
    <w:rsid w:val="00DC0BFE"/>
    <w:rsid w:val="00DC12A9"/>
    <w:rsid w:val="00DC214B"/>
    <w:rsid w:val="00DC2643"/>
    <w:rsid w:val="00DC28BF"/>
    <w:rsid w:val="00DC2B1C"/>
    <w:rsid w:val="00DC2E67"/>
    <w:rsid w:val="00DC3D1F"/>
    <w:rsid w:val="00DC4D7B"/>
    <w:rsid w:val="00DC6342"/>
    <w:rsid w:val="00DC6701"/>
    <w:rsid w:val="00DD0013"/>
    <w:rsid w:val="00DD019D"/>
    <w:rsid w:val="00DD0709"/>
    <w:rsid w:val="00DD0848"/>
    <w:rsid w:val="00DD0874"/>
    <w:rsid w:val="00DD2222"/>
    <w:rsid w:val="00DD2EB5"/>
    <w:rsid w:val="00DD3F6D"/>
    <w:rsid w:val="00DD4619"/>
    <w:rsid w:val="00DD4D65"/>
    <w:rsid w:val="00DD56C7"/>
    <w:rsid w:val="00DD6D4C"/>
    <w:rsid w:val="00DD6D4E"/>
    <w:rsid w:val="00DD755E"/>
    <w:rsid w:val="00DD774A"/>
    <w:rsid w:val="00DD7836"/>
    <w:rsid w:val="00DD78A0"/>
    <w:rsid w:val="00DD7E21"/>
    <w:rsid w:val="00DE2430"/>
    <w:rsid w:val="00DE2576"/>
    <w:rsid w:val="00DE3A52"/>
    <w:rsid w:val="00DE3BDC"/>
    <w:rsid w:val="00DE3E3D"/>
    <w:rsid w:val="00DE4B2C"/>
    <w:rsid w:val="00DE4CF5"/>
    <w:rsid w:val="00DE5086"/>
    <w:rsid w:val="00DE5519"/>
    <w:rsid w:val="00DE601A"/>
    <w:rsid w:val="00DE60A2"/>
    <w:rsid w:val="00DE7205"/>
    <w:rsid w:val="00DE75BE"/>
    <w:rsid w:val="00DF038C"/>
    <w:rsid w:val="00DF0DD7"/>
    <w:rsid w:val="00DF134C"/>
    <w:rsid w:val="00DF1E7E"/>
    <w:rsid w:val="00DF25F1"/>
    <w:rsid w:val="00DF2A74"/>
    <w:rsid w:val="00DF3165"/>
    <w:rsid w:val="00DF3452"/>
    <w:rsid w:val="00DF49D7"/>
    <w:rsid w:val="00DF6505"/>
    <w:rsid w:val="00DF67E1"/>
    <w:rsid w:val="00DF6C12"/>
    <w:rsid w:val="00DF7A91"/>
    <w:rsid w:val="00DF7BA5"/>
    <w:rsid w:val="00E01667"/>
    <w:rsid w:val="00E0194A"/>
    <w:rsid w:val="00E01A25"/>
    <w:rsid w:val="00E02376"/>
    <w:rsid w:val="00E026F3"/>
    <w:rsid w:val="00E02CD2"/>
    <w:rsid w:val="00E0319D"/>
    <w:rsid w:val="00E03C60"/>
    <w:rsid w:val="00E04EB1"/>
    <w:rsid w:val="00E04FFC"/>
    <w:rsid w:val="00E0544D"/>
    <w:rsid w:val="00E0579E"/>
    <w:rsid w:val="00E05F2C"/>
    <w:rsid w:val="00E060DD"/>
    <w:rsid w:val="00E06792"/>
    <w:rsid w:val="00E0716F"/>
    <w:rsid w:val="00E07328"/>
    <w:rsid w:val="00E1018E"/>
    <w:rsid w:val="00E108A0"/>
    <w:rsid w:val="00E10F80"/>
    <w:rsid w:val="00E13362"/>
    <w:rsid w:val="00E1348A"/>
    <w:rsid w:val="00E137D6"/>
    <w:rsid w:val="00E142C8"/>
    <w:rsid w:val="00E147FC"/>
    <w:rsid w:val="00E14CF3"/>
    <w:rsid w:val="00E15351"/>
    <w:rsid w:val="00E153BF"/>
    <w:rsid w:val="00E158EA"/>
    <w:rsid w:val="00E15DAE"/>
    <w:rsid w:val="00E16A75"/>
    <w:rsid w:val="00E172D5"/>
    <w:rsid w:val="00E176B2"/>
    <w:rsid w:val="00E204E1"/>
    <w:rsid w:val="00E228AE"/>
    <w:rsid w:val="00E22944"/>
    <w:rsid w:val="00E23847"/>
    <w:rsid w:val="00E25083"/>
    <w:rsid w:val="00E2522B"/>
    <w:rsid w:val="00E25875"/>
    <w:rsid w:val="00E25884"/>
    <w:rsid w:val="00E25DC9"/>
    <w:rsid w:val="00E26C5A"/>
    <w:rsid w:val="00E26DF1"/>
    <w:rsid w:val="00E27594"/>
    <w:rsid w:val="00E308EF"/>
    <w:rsid w:val="00E31114"/>
    <w:rsid w:val="00E328E1"/>
    <w:rsid w:val="00E32944"/>
    <w:rsid w:val="00E339FA"/>
    <w:rsid w:val="00E33AF1"/>
    <w:rsid w:val="00E341BD"/>
    <w:rsid w:val="00E3429B"/>
    <w:rsid w:val="00E344F4"/>
    <w:rsid w:val="00E34F7D"/>
    <w:rsid w:val="00E37855"/>
    <w:rsid w:val="00E37DAD"/>
    <w:rsid w:val="00E40545"/>
    <w:rsid w:val="00E405EB"/>
    <w:rsid w:val="00E40826"/>
    <w:rsid w:val="00E427EC"/>
    <w:rsid w:val="00E42C66"/>
    <w:rsid w:val="00E42F76"/>
    <w:rsid w:val="00E43189"/>
    <w:rsid w:val="00E4371A"/>
    <w:rsid w:val="00E43AF9"/>
    <w:rsid w:val="00E4442C"/>
    <w:rsid w:val="00E448C8"/>
    <w:rsid w:val="00E453B5"/>
    <w:rsid w:val="00E45CE1"/>
    <w:rsid w:val="00E463F4"/>
    <w:rsid w:val="00E46586"/>
    <w:rsid w:val="00E46641"/>
    <w:rsid w:val="00E469E4"/>
    <w:rsid w:val="00E46A7F"/>
    <w:rsid w:val="00E470EB"/>
    <w:rsid w:val="00E47ECB"/>
    <w:rsid w:val="00E50069"/>
    <w:rsid w:val="00E50BF4"/>
    <w:rsid w:val="00E50BFB"/>
    <w:rsid w:val="00E512E3"/>
    <w:rsid w:val="00E521C6"/>
    <w:rsid w:val="00E532ED"/>
    <w:rsid w:val="00E53307"/>
    <w:rsid w:val="00E53D08"/>
    <w:rsid w:val="00E54E38"/>
    <w:rsid w:val="00E55B64"/>
    <w:rsid w:val="00E55DFB"/>
    <w:rsid w:val="00E5633B"/>
    <w:rsid w:val="00E563D3"/>
    <w:rsid w:val="00E56617"/>
    <w:rsid w:val="00E56972"/>
    <w:rsid w:val="00E56B13"/>
    <w:rsid w:val="00E56BB3"/>
    <w:rsid w:val="00E57155"/>
    <w:rsid w:val="00E57D86"/>
    <w:rsid w:val="00E6167A"/>
    <w:rsid w:val="00E62C6D"/>
    <w:rsid w:val="00E630D4"/>
    <w:rsid w:val="00E63156"/>
    <w:rsid w:val="00E63206"/>
    <w:rsid w:val="00E6382E"/>
    <w:rsid w:val="00E64C54"/>
    <w:rsid w:val="00E65A53"/>
    <w:rsid w:val="00E66989"/>
    <w:rsid w:val="00E67639"/>
    <w:rsid w:val="00E7003C"/>
    <w:rsid w:val="00E70A06"/>
    <w:rsid w:val="00E70AFF"/>
    <w:rsid w:val="00E70CE4"/>
    <w:rsid w:val="00E70CFE"/>
    <w:rsid w:val="00E72021"/>
    <w:rsid w:val="00E72B62"/>
    <w:rsid w:val="00E75040"/>
    <w:rsid w:val="00E75BEC"/>
    <w:rsid w:val="00E7604B"/>
    <w:rsid w:val="00E76548"/>
    <w:rsid w:val="00E76DE6"/>
    <w:rsid w:val="00E771DD"/>
    <w:rsid w:val="00E77B1A"/>
    <w:rsid w:val="00E805BF"/>
    <w:rsid w:val="00E80F68"/>
    <w:rsid w:val="00E8127D"/>
    <w:rsid w:val="00E819F0"/>
    <w:rsid w:val="00E82EE7"/>
    <w:rsid w:val="00E83478"/>
    <w:rsid w:val="00E846FE"/>
    <w:rsid w:val="00E84E04"/>
    <w:rsid w:val="00E85741"/>
    <w:rsid w:val="00E86979"/>
    <w:rsid w:val="00E8789F"/>
    <w:rsid w:val="00E91623"/>
    <w:rsid w:val="00E92104"/>
    <w:rsid w:val="00E92290"/>
    <w:rsid w:val="00E924AA"/>
    <w:rsid w:val="00E92FCC"/>
    <w:rsid w:val="00E937B8"/>
    <w:rsid w:val="00E95F11"/>
    <w:rsid w:val="00E9638B"/>
    <w:rsid w:val="00E97344"/>
    <w:rsid w:val="00EA102B"/>
    <w:rsid w:val="00EA13DB"/>
    <w:rsid w:val="00EA2176"/>
    <w:rsid w:val="00EA23C4"/>
    <w:rsid w:val="00EA27A4"/>
    <w:rsid w:val="00EA2B6E"/>
    <w:rsid w:val="00EA3225"/>
    <w:rsid w:val="00EA5BB5"/>
    <w:rsid w:val="00EA5F7B"/>
    <w:rsid w:val="00EA6754"/>
    <w:rsid w:val="00EA728C"/>
    <w:rsid w:val="00EA73C6"/>
    <w:rsid w:val="00EA7C49"/>
    <w:rsid w:val="00EB0356"/>
    <w:rsid w:val="00EB1756"/>
    <w:rsid w:val="00EB1C9F"/>
    <w:rsid w:val="00EB1DD0"/>
    <w:rsid w:val="00EB2138"/>
    <w:rsid w:val="00EB242D"/>
    <w:rsid w:val="00EB25BB"/>
    <w:rsid w:val="00EB2A1E"/>
    <w:rsid w:val="00EB3234"/>
    <w:rsid w:val="00EB36FC"/>
    <w:rsid w:val="00EB3F3C"/>
    <w:rsid w:val="00EB5453"/>
    <w:rsid w:val="00EB5524"/>
    <w:rsid w:val="00EB5939"/>
    <w:rsid w:val="00EB604D"/>
    <w:rsid w:val="00EB63D1"/>
    <w:rsid w:val="00EB6844"/>
    <w:rsid w:val="00EB7146"/>
    <w:rsid w:val="00EB74B5"/>
    <w:rsid w:val="00EB7696"/>
    <w:rsid w:val="00EB77CB"/>
    <w:rsid w:val="00EB7C2E"/>
    <w:rsid w:val="00EC2797"/>
    <w:rsid w:val="00EC2DA4"/>
    <w:rsid w:val="00EC2E78"/>
    <w:rsid w:val="00EC386F"/>
    <w:rsid w:val="00EC3F84"/>
    <w:rsid w:val="00EC43DB"/>
    <w:rsid w:val="00EC44ED"/>
    <w:rsid w:val="00EC5B9D"/>
    <w:rsid w:val="00EC619B"/>
    <w:rsid w:val="00EC7369"/>
    <w:rsid w:val="00EC7E11"/>
    <w:rsid w:val="00EC7E58"/>
    <w:rsid w:val="00ED1891"/>
    <w:rsid w:val="00ED1DA5"/>
    <w:rsid w:val="00ED2DF6"/>
    <w:rsid w:val="00ED3458"/>
    <w:rsid w:val="00ED38B9"/>
    <w:rsid w:val="00ED4650"/>
    <w:rsid w:val="00ED47C9"/>
    <w:rsid w:val="00ED48A4"/>
    <w:rsid w:val="00ED62F8"/>
    <w:rsid w:val="00ED677B"/>
    <w:rsid w:val="00ED6DB2"/>
    <w:rsid w:val="00EE0B48"/>
    <w:rsid w:val="00EE0B5B"/>
    <w:rsid w:val="00EE1E18"/>
    <w:rsid w:val="00EE1E67"/>
    <w:rsid w:val="00EE2960"/>
    <w:rsid w:val="00EE2A80"/>
    <w:rsid w:val="00EE34D8"/>
    <w:rsid w:val="00EE357F"/>
    <w:rsid w:val="00EE3B23"/>
    <w:rsid w:val="00EE3F38"/>
    <w:rsid w:val="00EE4093"/>
    <w:rsid w:val="00EE4A9B"/>
    <w:rsid w:val="00EE4CE9"/>
    <w:rsid w:val="00EE542E"/>
    <w:rsid w:val="00EE5B31"/>
    <w:rsid w:val="00EE5EDE"/>
    <w:rsid w:val="00EE614F"/>
    <w:rsid w:val="00EE65AB"/>
    <w:rsid w:val="00EE67CE"/>
    <w:rsid w:val="00EE7274"/>
    <w:rsid w:val="00EE74AE"/>
    <w:rsid w:val="00EF0378"/>
    <w:rsid w:val="00EF06C5"/>
    <w:rsid w:val="00EF0EB8"/>
    <w:rsid w:val="00EF1AF0"/>
    <w:rsid w:val="00EF20B9"/>
    <w:rsid w:val="00EF2403"/>
    <w:rsid w:val="00EF2667"/>
    <w:rsid w:val="00EF47CB"/>
    <w:rsid w:val="00EF4AB2"/>
    <w:rsid w:val="00EF4D63"/>
    <w:rsid w:val="00EF5A58"/>
    <w:rsid w:val="00EF5C7B"/>
    <w:rsid w:val="00EF5F2C"/>
    <w:rsid w:val="00EF6077"/>
    <w:rsid w:val="00EF7E97"/>
    <w:rsid w:val="00F00FDA"/>
    <w:rsid w:val="00F01558"/>
    <w:rsid w:val="00F02EF9"/>
    <w:rsid w:val="00F0555B"/>
    <w:rsid w:val="00F05AA4"/>
    <w:rsid w:val="00F062D4"/>
    <w:rsid w:val="00F06650"/>
    <w:rsid w:val="00F0700D"/>
    <w:rsid w:val="00F07530"/>
    <w:rsid w:val="00F104CC"/>
    <w:rsid w:val="00F1076C"/>
    <w:rsid w:val="00F10BB5"/>
    <w:rsid w:val="00F1134A"/>
    <w:rsid w:val="00F12DB0"/>
    <w:rsid w:val="00F136B7"/>
    <w:rsid w:val="00F1385C"/>
    <w:rsid w:val="00F14A19"/>
    <w:rsid w:val="00F14A81"/>
    <w:rsid w:val="00F1596E"/>
    <w:rsid w:val="00F167CC"/>
    <w:rsid w:val="00F179D5"/>
    <w:rsid w:val="00F2007F"/>
    <w:rsid w:val="00F206D1"/>
    <w:rsid w:val="00F209E6"/>
    <w:rsid w:val="00F21814"/>
    <w:rsid w:val="00F22094"/>
    <w:rsid w:val="00F22137"/>
    <w:rsid w:val="00F24CB9"/>
    <w:rsid w:val="00F24EF3"/>
    <w:rsid w:val="00F24F7B"/>
    <w:rsid w:val="00F258A0"/>
    <w:rsid w:val="00F25B10"/>
    <w:rsid w:val="00F2673F"/>
    <w:rsid w:val="00F26D5F"/>
    <w:rsid w:val="00F2720A"/>
    <w:rsid w:val="00F27453"/>
    <w:rsid w:val="00F30344"/>
    <w:rsid w:val="00F30709"/>
    <w:rsid w:val="00F311E8"/>
    <w:rsid w:val="00F3193C"/>
    <w:rsid w:val="00F32510"/>
    <w:rsid w:val="00F33022"/>
    <w:rsid w:val="00F333F7"/>
    <w:rsid w:val="00F33436"/>
    <w:rsid w:val="00F34545"/>
    <w:rsid w:val="00F34F9C"/>
    <w:rsid w:val="00F35730"/>
    <w:rsid w:val="00F35B21"/>
    <w:rsid w:val="00F35C22"/>
    <w:rsid w:val="00F373F4"/>
    <w:rsid w:val="00F37E37"/>
    <w:rsid w:val="00F41F6B"/>
    <w:rsid w:val="00F43EE7"/>
    <w:rsid w:val="00F4437E"/>
    <w:rsid w:val="00F45636"/>
    <w:rsid w:val="00F45C08"/>
    <w:rsid w:val="00F46458"/>
    <w:rsid w:val="00F465B3"/>
    <w:rsid w:val="00F47448"/>
    <w:rsid w:val="00F474AF"/>
    <w:rsid w:val="00F4763A"/>
    <w:rsid w:val="00F476FD"/>
    <w:rsid w:val="00F47F2C"/>
    <w:rsid w:val="00F47F40"/>
    <w:rsid w:val="00F5093B"/>
    <w:rsid w:val="00F51A22"/>
    <w:rsid w:val="00F52C1F"/>
    <w:rsid w:val="00F52DFF"/>
    <w:rsid w:val="00F53299"/>
    <w:rsid w:val="00F53EB9"/>
    <w:rsid w:val="00F54042"/>
    <w:rsid w:val="00F54364"/>
    <w:rsid w:val="00F54F96"/>
    <w:rsid w:val="00F55024"/>
    <w:rsid w:val="00F5518C"/>
    <w:rsid w:val="00F553D9"/>
    <w:rsid w:val="00F5570A"/>
    <w:rsid w:val="00F55C59"/>
    <w:rsid w:val="00F57E35"/>
    <w:rsid w:val="00F6001C"/>
    <w:rsid w:val="00F61193"/>
    <w:rsid w:val="00F618AC"/>
    <w:rsid w:val="00F61A2D"/>
    <w:rsid w:val="00F61FF6"/>
    <w:rsid w:val="00F62127"/>
    <w:rsid w:val="00F6231A"/>
    <w:rsid w:val="00F62BE2"/>
    <w:rsid w:val="00F62DC4"/>
    <w:rsid w:val="00F64B0F"/>
    <w:rsid w:val="00F64B1F"/>
    <w:rsid w:val="00F65016"/>
    <w:rsid w:val="00F650C9"/>
    <w:rsid w:val="00F65929"/>
    <w:rsid w:val="00F65BC0"/>
    <w:rsid w:val="00F6705B"/>
    <w:rsid w:val="00F672C1"/>
    <w:rsid w:val="00F703B9"/>
    <w:rsid w:val="00F7099B"/>
    <w:rsid w:val="00F70A08"/>
    <w:rsid w:val="00F70A2C"/>
    <w:rsid w:val="00F712DD"/>
    <w:rsid w:val="00F713F3"/>
    <w:rsid w:val="00F71BC1"/>
    <w:rsid w:val="00F7207C"/>
    <w:rsid w:val="00F728D5"/>
    <w:rsid w:val="00F72A9C"/>
    <w:rsid w:val="00F72BFA"/>
    <w:rsid w:val="00F72DEA"/>
    <w:rsid w:val="00F72E3B"/>
    <w:rsid w:val="00F73B45"/>
    <w:rsid w:val="00F7458F"/>
    <w:rsid w:val="00F768C1"/>
    <w:rsid w:val="00F76FC3"/>
    <w:rsid w:val="00F80090"/>
    <w:rsid w:val="00F80F00"/>
    <w:rsid w:val="00F818E1"/>
    <w:rsid w:val="00F81C23"/>
    <w:rsid w:val="00F81E2D"/>
    <w:rsid w:val="00F820D8"/>
    <w:rsid w:val="00F824D4"/>
    <w:rsid w:val="00F825F6"/>
    <w:rsid w:val="00F826B9"/>
    <w:rsid w:val="00F82EF0"/>
    <w:rsid w:val="00F8310F"/>
    <w:rsid w:val="00F84308"/>
    <w:rsid w:val="00F84A30"/>
    <w:rsid w:val="00F84C31"/>
    <w:rsid w:val="00F856D8"/>
    <w:rsid w:val="00F8637C"/>
    <w:rsid w:val="00F86DB2"/>
    <w:rsid w:val="00F87FD6"/>
    <w:rsid w:val="00F90618"/>
    <w:rsid w:val="00F91353"/>
    <w:rsid w:val="00F91395"/>
    <w:rsid w:val="00F9292A"/>
    <w:rsid w:val="00F92EA4"/>
    <w:rsid w:val="00F930A7"/>
    <w:rsid w:val="00F930CD"/>
    <w:rsid w:val="00F93171"/>
    <w:rsid w:val="00F93296"/>
    <w:rsid w:val="00F933B4"/>
    <w:rsid w:val="00F93D27"/>
    <w:rsid w:val="00F94218"/>
    <w:rsid w:val="00F94474"/>
    <w:rsid w:val="00F947F4"/>
    <w:rsid w:val="00F96B3B"/>
    <w:rsid w:val="00F973A1"/>
    <w:rsid w:val="00F97537"/>
    <w:rsid w:val="00FA05EE"/>
    <w:rsid w:val="00FA1DF0"/>
    <w:rsid w:val="00FA250E"/>
    <w:rsid w:val="00FA2840"/>
    <w:rsid w:val="00FA2BCE"/>
    <w:rsid w:val="00FA308F"/>
    <w:rsid w:val="00FA3218"/>
    <w:rsid w:val="00FA3C74"/>
    <w:rsid w:val="00FA4A55"/>
    <w:rsid w:val="00FA53A8"/>
    <w:rsid w:val="00FA6A9C"/>
    <w:rsid w:val="00FA70A9"/>
    <w:rsid w:val="00FA7224"/>
    <w:rsid w:val="00FA77F1"/>
    <w:rsid w:val="00FB055A"/>
    <w:rsid w:val="00FB2A6F"/>
    <w:rsid w:val="00FB3767"/>
    <w:rsid w:val="00FB378D"/>
    <w:rsid w:val="00FB4453"/>
    <w:rsid w:val="00FB4C26"/>
    <w:rsid w:val="00FB560B"/>
    <w:rsid w:val="00FB581A"/>
    <w:rsid w:val="00FB5F8E"/>
    <w:rsid w:val="00FB6335"/>
    <w:rsid w:val="00FC0335"/>
    <w:rsid w:val="00FC37E6"/>
    <w:rsid w:val="00FC4709"/>
    <w:rsid w:val="00FC5DB3"/>
    <w:rsid w:val="00FC753D"/>
    <w:rsid w:val="00FC75D3"/>
    <w:rsid w:val="00FC76B5"/>
    <w:rsid w:val="00FC79ED"/>
    <w:rsid w:val="00FC7D33"/>
    <w:rsid w:val="00FC7F0A"/>
    <w:rsid w:val="00FD03BE"/>
    <w:rsid w:val="00FD0DA6"/>
    <w:rsid w:val="00FD0EC2"/>
    <w:rsid w:val="00FD1B34"/>
    <w:rsid w:val="00FD1CB7"/>
    <w:rsid w:val="00FD265C"/>
    <w:rsid w:val="00FD3DDB"/>
    <w:rsid w:val="00FD40BD"/>
    <w:rsid w:val="00FD5B82"/>
    <w:rsid w:val="00FD790D"/>
    <w:rsid w:val="00FE011E"/>
    <w:rsid w:val="00FE1459"/>
    <w:rsid w:val="00FE17B8"/>
    <w:rsid w:val="00FE1F1C"/>
    <w:rsid w:val="00FE2880"/>
    <w:rsid w:val="00FE2CF3"/>
    <w:rsid w:val="00FE3579"/>
    <w:rsid w:val="00FE3AF5"/>
    <w:rsid w:val="00FE3D97"/>
    <w:rsid w:val="00FE4114"/>
    <w:rsid w:val="00FE4147"/>
    <w:rsid w:val="00FE43C1"/>
    <w:rsid w:val="00FE4939"/>
    <w:rsid w:val="00FE4B91"/>
    <w:rsid w:val="00FE52E6"/>
    <w:rsid w:val="00FE558D"/>
    <w:rsid w:val="00FE5CF8"/>
    <w:rsid w:val="00FE6429"/>
    <w:rsid w:val="00FE6D09"/>
    <w:rsid w:val="00FE6D43"/>
    <w:rsid w:val="00FE7966"/>
    <w:rsid w:val="00FF1E8A"/>
    <w:rsid w:val="00FF26FB"/>
    <w:rsid w:val="00FF27AC"/>
    <w:rsid w:val="00FF44BF"/>
    <w:rsid w:val="00FF5A51"/>
    <w:rsid w:val="00FF75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FC057"/>
  <w15:chartTrackingRefBased/>
  <w15:docId w15:val="{AFEB4356-E88B-4AF9-B1E8-A3D070EE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913"/>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6B2564"/>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D417C8"/>
    <w:pPr>
      <w:keepNext/>
      <w:keepLines/>
      <w:spacing w:before="160" w:after="80"/>
      <w:outlineLvl w:val="1"/>
    </w:pPr>
    <w:rPr>
      <w:rFonts w:eastAsiaTheme="majorEastAsia" w:cstheme="majorBidi"/>
      <w:b/>
      <w:color w:val="000000" w:themeColor="text1"/>
      <w:sz w:val="28"/>
      <w:szCs w:val="32"/>
    </w:rPr>
  </w:style>
  <w:style w:type="paragraph" w:styleId="Heading3">
    <w:name w:val="heading 3"/>
    <w:aliases w:val="Studies"/>
    <w:basedOn w:val="Normal"/>
    <w:next w:val="Normal"/>
    <w:link w:val="Heading3Char"/>
    <w:uiPriority w:val="9"/>
    <w:unhideWhenUsed/>
    <w:qFormat/>
    <w:rsid w:val="00D417C8"/>
    <w:pPr>
      <w:keepNext/>
      <w:keepLines/>
      <w:spacing w:before="160" w:after="80"/>
      <w:outlineLvl w:val="2"/>
    </w:pPr>
    <w:rPr>
      <w:rFonts w:eastAsiaTheme="majorEastAsia" w:cstheme="majorBidi"/>
      <w:b/>
      <w:color w:val="000000" w:themeColor="text1"/>
      <w:szCs w:val="28"/>
    </w:rPr>
  </w:style>
  <w:style w:type="paragraph" w:styleId="Heading4">
    <w:name w:val="heading 4"/>
    <w:aliases w:val="Sub Section"/>
    <w:basedOn w:val="Normal"/>
    <w:next w:val="Normal"/>
    <w:link w:val="Heading4Char"/>
    <w:uiPriority w:val="9"/>
    <w:unhideWhenUsed/>
    <w:qFormat/>
    <w:rsid w:val="005937D1"/>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A20B68"/>
    <w:pPr>
      <w:keepNext/>
      <w:keepLines/>
      <w:spacing w:before="80" w:after="40"/>
      <w:ind w:left="72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A4AA9"/>
    <w:pPr>
      <w:keepNext/>
      <w:keepLines/>
      <w:spacing w:before="40" w:after="0"/>
      <w:outlineLvl w:val="5"/>
    </w:pPr>
    <w:rPr>
      <w:rFonts w:eastAsiaTheme="majorEastAsia" w:cstheme="majorBidi"/>
      <w:b/>
      <w:iCs/>
      <w:color w:val="000000" w:themeColor="text1"/>
    </w:rPr>
  </w:style>
  <w:style w:type="paragraph" w:styleId="Heading7">
    <w:name w:val="heading 7"/>
    <w:basedOn w:val="Normal"/>
    <w:next w:val="Normal"/>
    <w:link w:val="Heading7Char"/>
    <w:uiPriority w:val="9"/>
    <w:semiHidden/>
    <w:unhideWhenUsed/>
    <w:qFormat/>
    <w:rsid w:val="0059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64"/>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D417C8"/>
    <w:rPr>
      <w:rFonts w:ascii="Times New Roman" w:eastAsiaTheme="majorEastAsia" w:hAnsi="Times New Roman" w:cstheme="majorBidi"/>
      <w:b/>
      <w:color w:val="000000" w:themeColor="text1"/>
      <w:sz w:val="28"/>
      <w:szCs w:val="32"/>
    </w:rPr>
  </w:style>
  <w:style w:type="character" w:customStyle="1" w:styleId="Heading3Char">
    <w:name w:val="Heading 3 Char"/>
    <w:aliases w:val="Studies Char"/>
    <w:basedOn w:val="DefaultParagraphFont"/>
    <w:link w:val="Heading3"/>
    <w:uiPriority w:val="9"/>
    <w:rsid w:val="00D417C8"/>
    <w:rPr>
      <w:rFonts w:ascii="Times New Roman" w:eastAsiaTheme="majorEastAsia" w:hAnsi="Times New Roman" w:cstheme="majorBidi"/>
      <w:b/>
      <w:color w:val="000000" w:themeColor="text1"/>
      <w:sz w:val="22"/>
      <w:szCs w:val="28"/>
    </w:rPr>
  </w:style>
  <w:style w:type="character" w:customStyle="1" w:styleId="Heading4Char">
    <w:name w:val="Heading 4 Char"/>
    <w:aliases w:val="Sub Section Char"/>
    <w:basedOn w:val="DefaultParagraphFont"/>
    <w:link w:val="Heading4"/>
    <w:uiPriority w:val="9"/>
    <w:rsid w:val="005937D1"/>
    <w:rPr>
      <w:rFonts w:ascii="Times New Roman" w:eastAsiaTheme="majorEastAsia" w:hAnsi="Times New Roman" w:cstheme="majorBidi"/>
      <w:b/>
      <w:iCs/>
      <w:color w:val="000000" w:themeColor="text1"/>
      <w:sz w:val="22"/>
    </w:rPr>
  </w:style>
  <w:style w:type="character" w:customStyle="1" w:styleId="Heading5Char">
    <w:name w:val="Heading 5 Char"/>
    <w:basedOn w:val="DefaultParagraphFont"/>
    <w:link w:val="Heading5"/>
    <w:uiPriority w:val="9"/>
    <w:rsid w:val="00A20B68"/>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rsid w:val="009A4AA9"/>
    <w:rPr>
      <w:rFonts w:ascii="Times New Roman" w:eastAsiaTheme="majorEastAsia" w:hAnsi="Times New Roman" w:cstheme="majorBidi"/>
      <w:b/>
      <w:iCs/>
      <w:color w:val="000000" w:themeColor="text1"/>
      <w:sz w:val="22"/>
    </w:rPr>
  </w:style>
  <w:style w:type="character" w:customStyle="1" w:styleId="Heading7Char">
    <w:name w:val="Heading 7 Char"/>
    <w:basedOn w:val="DefaultParagraphFont"/>
    <w:link w:val="Heading7"/>
    <w:uiPriority w:val="9"/>
    <w:semiHidden/>
    <w:rsid w:val="0059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30C"/>
    <w:rPr>
      <w:rFonts w:eastAsiaTheme="majorEastAsia" w:cstheme="majorBidi"/>
      <w:color w:val="272727" w:themeColor="text1" w:themeTint="D8"/>
    </w:rPr>
  </w:style>
  <w:style w:type="paragraph" w:styleId="Title">
    <w:name w:val="Title"/>
    <w:basedOn w:val="Normal"/>
    <w:next w:val="Normal"/>
    <w:link w:val="TitleChar"/>
    <w:uiPriority w:val="10"/>
    <w:qFormat/>
    <w:rsid w:val="0059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30C"/>
    <w:pPr>
      <w:spacing w:before="160"/>
      <w:jc w:val="center"/>
    </w:pPr>
    <w:rPr>
      <w:i/>
      <w:iCs/>
      <w:color w:val="404040" w:themeColor="text1" w:themeTint="BF"/>
    </w:rPr>
  </w:style>
  <w:style w:type="character" w:customStyle="1" w:styleId="QuoteChar">
    <w:name w:val="Quote Char"/>
    <w:basedOn w:val="DefaultParagraphFont"/>
    <w:link w:val="Quote"/>
    <w:uiPriority w:val="29"/>
    <w:rsid w:val="0059230C"/>
    <w:rPr>
      <w:i/>
      <w:iCs/>
      <w:color w:val="404040" w:themeColor="text1" w:themeTint="BF"/>
    </w:rPr>
  </w:style>
  <w:style w:type="paragraph" w:styleId="ListParagraph">
    <w:name w:val="List Paragraph"/>
    <w:basedOn w:val="Normal"/>
    <w:uiPriority w:val="34"/>
    <w:qFormat/>
    <w:rsid w:val="0059230C"/>
    <w:pPr>
      <w:ind w:left="720"/>
      <w:contextualSpacing/>
    </w:pPr>
  </w:style>
  <w:style w:type="character" w:styleId="IntenseEmphasis">
    <w:name w:val="Intense Emphasis"/>
    <w:basedOn w:val="DefaultParagraphFont"/>
    <w:uiPriority w:val="21"/>
    <w:qFormat/>
    <w:rsid w:val="0059230C"/>
    <w:rPr>
      <w:i/>
      <w:iCs/>
      <w:color w:val="2F5496" w:themeColor="accent1" w:themeShade="BF"/>
    </w:rPr>
  </w:style>
  <w:style w:type="paragraph" w:styleId="IntenseQuote">
    <w:name w:val="Intense Quote"/>
    <w:basedOn w:val="Normal"/>
    <w:next w:val="Normal"/>
    <w:link w:val="IntenseQuoteChar"/>
    <w:uiPriority w:val="30"/>
    <w:qFormat/>
    <w:rsid w:val="00592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30C"/>
    <w:rPr>
      <w:i/>
      <w:iCs/>
      <w:color w:val="2F5496" w:themeColor="accent1" w:themeShade="BF"/>
    </w:rPr>
  </w:style>
  <w:style w:type="character" w:styleId="IntenseReference">
    <w:name w:val="Intense Reference"/>
    <w:basedOn w:val="DefaultParagraphFont"/>
    <w:uiPriority w:val="32"/>
    <w:qFormat/>
    <w:rsid w:val="0059230C"/>
    <w:rPr>
      <w:b/>
      <w:bCs/>
      <w:smallCaps/>
      <w:color w:val="2F5496" w:themeColor="accent1" w:themeShade="BF"/>
      <w:spacing w:val="5"/>
    </w:rPr>
  </w:style>
  <w:style w:type="paragraph" w:styleId="PlainText">
    <w:name w:val="Plain Text"/>
    <w:basedOn w:val="Normal"/>
    <w:link w:val="PlainTextChar"/>
    <w:uiPriority w:val="99"/>
    <w:unhideWhenUsed/>
    <w:rsid w:val="008821BD"/>
    <w:pPr>
      <w:spacing w:after="0" w:line="240" w:lineRule="auto"/>
    </w:pPr>
    <w:rPr>
      <w:rFonts w:ascii="Calibri" w:eastAsia="Times New Roman" w:hAnsi="Calibri"/>
      <w:szCs w:val="21"/>
    </w:rPr>
  </w:style>
  <w:style w:type="character" w:customStyle="1" w:styleId="PlainTextChar">
    <w:name w:val="Plain Text Char"/>
    <w:basedOn w:val="DefaultParagraphFont"/>
    <w:link w:val="PlainText"/>
    <w:uiPriority w:val="99"/>
    <w:rsid w:val="008821BD"/>
    <w:rPr>
      <w:rFonts w:ascii="Calibri" w:eastAsia="Times New Roman" w:hAnsi="Calibri"/>
      <w:sz w:val="22"/>
      <w:szCs w:val="21"/>
    </w:rPr>
  </w:style>
  <w:style w:type="paragraph" w:styleId="FootnoteText">
    <w:name w:val="footnote text"/>
    <w:basedOn w:val="Normal"/>
    <w:link w:val="FootnoteTextChar"/>
    <w:uiPriority w:val="99"/>
    <w:unhideWhenUsed/>
    <w:rsid w:val="002F6AE3"/>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rsid w:val="002F6AE3"/>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8821BD"/>
    <w:rPr>
      <w:vertAlign w:val="superscript"/>
    </w:rPr>
  </w:style>
  <w:style w:type="character" w:styleId="Hyperlink">
    <w:name w:val="Hyperlink"/>
    <w:basedOn w:val="DefaultParagraphFont"/>
    <w:uiPriority w:val="99"/>
    <w:unhideWhenUsed/>
    <w:rsid w:val="008821BD"/>
    <w:rPr>
      <w:color w:val="0000FF"/>
      <w:u w:val="single"/>
    </w:rPr>
  </w:style>
  <w:style w:type="character" w:styleId="Emphasis">
    <w:name w:val="Emphasis"/>
    <w:basedOn w:val="DefaultParagraphFont"/>
    <w:uiPriority w:val="20"/>
    <w:qFormat/>
    <w:rsid w:val="00E05F2C"/>
    <w:rPr>
      <w:i/>
      <w:iCs/>
    </w:rPr>
  </w:style>
  <w:style w:type="paragraph" w:styleId="NormalWeb">
    <w:name w:val="Normal (Web)"/>
    <w:basedOn w:val="Normal"/>
    <w:link w:val="NormalWebChar"/>
    <w:uiPriority w:val="99"/>
    <w:unhideWhenUsed/>
    <w:rsid w:val="009E37D8"/>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025CDB"/>
    <w:rPr>
      <w:b/>
      <w:bCs/>
    </w:rPr>
  </w:style>
  <w:style w:type="character" w:customStyle="1" w:styleId="NormalWebChar">
    <w:name w:val="Normal (Web) Char"/>
    <w:basedOn w:val="DefaultParagraphFont"/>
    <w:link w:val="NormalWeb"/>
    <w:uiPriority w:val="99"/>
    <w:locked/>
    <w:rsid w:val="007942AA"/>
    <w:rPr>
      <w:rFonts w:ascii="Times New Roman" w:eastAsia="Times New Roman" w:hAnsi="Times New Roman" w:cs="Times New Roman"/>
      <w:kern w:val="0"/>
      <w14:ligatures w14:val="none"/>
    </w:rPr>
  </w:style>
  <w:style w:type="character" w:customStyle="1" w:styleId="WPChar">
    <w:name w:val="WP Char"/>
    <w:basedOn w:val="NormalWebChar"/>
    <w:link w:val="WP"/>
    <w:locked/>
    <w:rsid w:val="00855486"/>
    <w:rPr>
      <w:rFonts w:ascii="Times New Roman" w:eastAsia="Times New Roman" w:hAnsi="Times New Roman" w:cstheme="minorHAnsi"/>
      <w:kern w:val="0"/>
      <w:sz w:val="22"/>
      <w:szCs w:val="22"/>
      <w14:ligatures w14:val="none"/>
    </w:rPr>
  </w:style>
  <w:style w:type="paragraph" w:customStyle="1" w:styleId="WP">
    <w:name w:val="WP"/>
    <w:basedOn w:val="NormalWeb"/>
    <w:link w:val="WPChar"/>
    <w:autoRedefine/>
    <w:qFormat/>
    <w:rsid w:val="00855486"/>
    <w:rPr>
      <w:rFonts w:asciiTheme="minorHAnsi" w:hAnsiTheme="minorHAnsi" w:cstheme="minorHAnsi"/>
      <w:szCs w:val="22"/>
    </w:rPr>
  </w:style>
  <w:style w:type="table" w:styleId="TableGrid">
    <w:name w:val="Table Grid"/>
    <w:basedOn w:val="TableNormal"/>
    <w:uiPriority w:val="39"/>
    <w:rsid w:val="00017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9743A5"/>
  </w:style>
  <w:style w:type="paragraph" w:styleId="Header">
    <w:name w:val="header"/>
    <w:basedOn w:val="Normal"/>
    <w:link w:val="HeaderChar"/>
    <w:uiPriority w:val="99"/>
    <w:unhideWhenUsed/>
    <w:rsid w:val="009E2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503"/>
  </w:style>
  <w:style w:type="paragraph" w:styleId="Footer">
    <w:name w:val="footer"/>
    <w:basedOn w:val="Normal"/>
    <w:link w:val="FooterChar"/>
    <w:uiPriority w:val="99"/>
    <w:unhideWhenUsed/>
    <w:rsid w:val="009E2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503"/>
  </w:style>
  <w:style w:type="paragraph" w:styleId="Revision">
    <w:name w:val="Revision"/>
    <w:hidden/>
    <w:uiPriority w:val="99"/>
    <w:semiHidden/>
    <w:rsid w:val="007D2151"/>
    <w:pPr>
      <w:spacing w:after="0" w:line="240" w:lineRule="auto"/>
    </w:pPr>
  </w:style>
  <w:style w:type="character" w:styleId="CommentReference">
    <w:name w:val="annotation reference"/>
    <w:basedOn w:val="DefaultParagraphFont"/>
    <w:uiPriority w:val="99"/>
    <w:semiHidden/>
    <w:unhideWhenUsed/>
    <w:rsid w:val="007D2151"/>
    <w:rPr>
      <w:sz w:val="16"/>
      <w:szCs w:val="16"/>
    </w:rPr>
  </w:style>
  <w:style w:type="paragraph" w:styleId="CommentText">
    <w:name w:val="annotation text"/>
    <w:basedOn w:val="Normal"/>
    <w:link w:val="CommentTextChar"/>
    <w:uiPriority w:val="99"/>
    <w:unhideWhenUsed/>
    <w:rsid w:val="007D2151"/>
    <w:pPr>
      <w:spacing w:line="240" w:lineRule="auto"/>
    </w:pPr>
    <w:rPr>
      <w:sz w:val="20"/>
      <w:szCs w:val="20"/>
    </w:rPr>
  </w:style>
  <w:style w:type="character" w:customStyle="1" w:styleId="CommentTextChar">
    <w:name w:val="Comment Text Char"/>
    <w:basedOn w:val="DefaultParagraphFont"/>
    <w:link w:val="CommentText"/>
    <w:uiPriority w:val="99"/>
    <w:rsid w:val="007D2151"/>
    <w:rPr>
      <w:sz w:val="20"/>
      <w:szCs w:val="20"/>
    </w:rPr>
  </w:style>
  <w:style w:type="paragraph" w:styleId="CommentSubject">
    <w:name w:val="annotation subject"/>
    <w:basedOn w:val="CommentText"/>
    <w:next w:val="CommentText"/>
    <w:link w:val="CommentSubjectChar"/>
    <w:uiPriority w:val="99"/>
    <w:semiHidden/>
    <w:unhideWhenUsed/>
    <w:rsid w:val="007D2151"/>
    <w:rPr>
      <w:b/>
      <w:bCs/>
    </w:rPr>
  </w:style>
  <w:style w:type="character" w:customStyle="1" w:styleId="CommentSubjectChar">
    <w:name w:val="Comment Subject Char"/>
    <w:basedOn w:val="CommentTextChar"/>
    <w:link w:val="CommentSubject"/>
    <w:uiPriority w:val="99"/>
    <w:semiHidden/>
    <w:rsid w:val="007D2151"/>
    <w:rPr>
      <w:b/>
      <w:bCs/>
      <w:sz w:val="20"/>
      <w:szCs w:val="20"/>
    </w:rPr>
  </w:style>
  <w:style w:type="paragraph" w:customStyle="1" w:styleId="pf0">
    <w:name w:val="pf0"/>
    <w:basedOn w:val="Normal"/>
    <w:rsid w:val="00ED38B9"/>
    <w:pPr>
      <w:spacing w:before="100" w:beforeAutospacing="1" w:after="100" w:afterAutospacing="1" w:line="240" w:lineRule="auto"/>
    </w:pPr>
    <w:rPr>
      <w:rFonts w:eastAsia="Times New Roman" w:cs="Times New Roman"/>
      <w:kern w:val="0"/>
      <w14:ligatures w14:val="none"/>
    </w:rPr>
  </w:style>
  <w:style w:type="character" w:customStyle="1" w:styleId="cf01">
    <w:name w:val="cf01"/>
    <w:basedOn w:val="DefaultParagraphFont"/>
    <w:rsid w:val="00ED38B9"/>
    <w:rPr>
      <w:rFonts w:ascii="Segoe UI" w:hAnsi="Segoe UI" w:cs="Segoe UI" w:hint="default"/>
      <w:sz w:val="18"/>
      <w:szCs w:val="18"/>
    </w:rPr>
  </w:style>
  <w:style w:type="character" w:styleId="HTMLCode">
    <w:name w:val="HTML Code"/>
    <w:basedOn w:val="DefaultParagraphFont"/>
    <w:uiPriority w:val="99"/>
    <w:semiHidden/>
    <w:unhideWhenUsed/>
    <w:rsid w:val="001F7FC6"/>
    <w:rPr>
      <w:rFonts w:ascii="Courier New" w:eastAsia="Times New Roman" w:hAnsi="Courier New" w:cs="Courier New"/>
      <w:sz w:val="20"/>
      <w:szCs w:val="20"/>
    </w:rPr>
  </w:style>
  <w:style w:type="paragraph" w:styleId="Index1">
    <w:name w:val="index 1"/>
    <w:basedOn w:val="Normal"/>
    <w:next w:val="Normal"/>
    <w:autoRedefine/>
    <w:uiPriority w:val="99"/>
    <w:semiHidden/>
    <w:unhideWhenUsed/>
    <w:rsid w:val="009D2BF6"/>
    <w:pPr>
      <w:spacing w:after="0" w:line="240" w:lineRule="auto"/>
      <w:ind w:left="220" w:hanging="220"/>
    </w:pPr>
  </w:style>
  <w:style w:type="paragraph" w:styleId="TOCHeading">
    <w:name w:val="TOC Heading"/>
    <w:basedOn w:val="Heading1"/>
    <w:next w:val="Normal"/>
    <w:uiPriority w:val="39"/>
    <w:unhideWhenUsed/>
    <w:qFormat/>
    <w:rsid w:val="008721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92762"/>
    <w:pPr>
      <w:spacing w:before="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72121"/>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72121"/>
    <w:pPr>
      <w:spacing w:after="0"/>
      <w:ind w:left="440"/>
    </w:pPr>
    <w:rPr>
      <w:rFonts w:asciiTheme="minorHAnsi" w:hAnsiTheme="minorHAnsi" w:cstheme="minorHAnsi"/>
      <w:i/>
      <w:iCs/>
      <w:sz w:val="20"/>
      <w:szCs w:val="20"/>
    </w:rPr>
  </w:style>
  <w:style w:type="paragraph" w:customStyle="1" w:styleId="ds-markdown-paragraph">
    <w:name w:val="ds-markdown-paragraph"/>
    <w:basedOn w:val="Normal"/>
    <w:rsid w:val="00AE3FB4"/>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B659E0"/>
    <w:rPr>
      <w:color w:val="605E5C"/>
      <w:shd w:val="clear" w:color="auto" w:fill="E1DFDD"/>
    </w:rPr>
  </w:style>
  <w:style w:type="paragraph" w:customStyle="1" w:styleId="FigureCaption">
    <w:name w:val="Figure Caption"/>
    <w:basedOn w:val="Normal"/>
    <w:next w:val="Normal"/>
    <w:link w:val="FigureCaptionChar"/>
    <w:qFormat/>
    <w:rsid w:val="00ED48A4"/>
    <w:pPr>
      <w:keepNext/>
      <w:keepLines/>
      <w:spacing w:before="180" w:line="240" w:lineRule="auto"/>
      <w:ind w:left="720" w:right="720"/>
      <w:jc w:val="both"/>
    </w:pPr>
    <w:rPr>
      <w:i/>
      <w:color w:val="000000" w:themeColor="text1"/>
      <w:sz w:val="20"/>
    </w:rPr>
  </w:style>
  <w:style w:type="character" w:customStyle="1" w:styleId="FigureCaptionChar">
    <w:name w:val="Figure Caption Char"/>
    <w:basedOn w:val="Heading1Char"/>
    <w:link w:val="FigureCaption"/>
    <w:rsid w:val="00ED48A4"/>
    <w:rPr>
      <w:rFonts w:ascii="Times New Roman" w:eastAsiaTheme="majorEastAsia" w:hAnsi="Times New Roman" w:cstheme="majorBidi"/>
      <w:b w:val="0"/>
      <w:i/>
      <w:color w:val="000000" w:themeColor="text1"/>
      <w:sz w:val="20"/>
      <w:szCs w:val="40"/>
    </w:rPr>
  </w:style>
  <w:style w:type="paragraph" w:customStyle="1" w:styleId="Figure">
    <w:name w:val="Figure"/>
    <w:basedOn w:val="NormalWeb"/>
    <w:link w:val="FigureChar"/>
    <w:qFormat/>
    <w:rsid w:val="00C3150D"/>
    <w:pPr>
      <w:spacing w:before="0" w:beforeAutospacing="0" w:after="0" w:afterAutospacing="0"/>
      <w:jc w:val="center"/>
    </w:pPr>
    <w:rPr>
      <w:rFonts w:ascii="Calibri" w:hAnsi="Calibri" w:cstheme="minorBidi"/>
      <w:noProof/>
      <w:kern w:val="2"/>
      <w:szCs w:val="21"/>
      <w14:ligatures w14:val="standardContextual"/>
    </w:rPr>
  </w:style>
  <w:style w:type="character" w:customStyle="1" w:styleId="FigureChar">
    <w:name w:val="Figure Char"/>
    <w:basedOn w:val="NormalWebChar"/>
    <w:link w:val="Figure"/>
    <w:rsid w:val="00C3150D"/>
    <w:rPr>
      <w:rFonts w:ascii="Calibri" w:eastAsia="Times New Roman" w:hAnsi="Calibri" w:cs="Times New Roman"/>
      <w:noProof/>
      <w:kern w:val="0"/>
      <w:sz w:val="22"/>
      <w:szCs w:val="21"/>
      <w14:ligatures w14:val="none"/>
    </w:rPr>
  </w:style>
  <w:style w:type="paragraph" w:customStyle="1" w:styleId="HighlightedStatResults">
    <w:name w:val="Highlighted Stat Results"/>
    <w:basedOn w:val="BodyText"/>
    <w:next w:val="Normal"/>
    <w:link w:val="HighlightedStatResultsChar"/>
    <w:qFormat/>
    <w:rsid w:val="001A54B4"/>
    <w:pPr>
      <w:pBdr>
        <w:top w:val="single" w:sz="4" w:space="1" w:color="auto"/>
        <w:left w:val="single" w:sz="4" w:space="4" w:color="auto"/>
        <w:bottom w:val="single" w:sz="4" w:space="1" w:color="auto"/>
        <w:right w:val="single" w:sz="4" w:space="4" w:color="auto"/>
      </w:pBdr>
      <w:shd w:val="pct10" w:color="000000" w:themeColor="text1" w:fill="auto"/>
      <w:spacing w:before="60" w:after="60" w:line="240" w:lineRule="auto"/>
      <w:ind w:left="360" w:right="360"/>
    </w:pPr>
  </w:style>
  <w:style w:type="paragraph" w:styleId="BodyText">
    <w:name w:val="Body Text"/>
    <w:basedOn w:val="Normal"/>
    <w:link w:val="BodyTextChar"/>
    <w:uiPriority w:val="99"/>
    <w:semiHidden/>
    <w:unhideWhenUsed/>
    <w:rsid w:val="00BE10F6"/>
  </w:style>
  <w:style w:type="character" w:customStyle="1" w:styleId="BodyTextChar">
    <w:name w:val="Body Text Char"/>
    <w:basedOn w:val="DefaultParagraphFont"/>
    <w:link w:val="BodyText"/>
    <w:uiPriority w:val="99"/>
    <w:semiHidden/>
    <w:rsid w:val="00BE10F6"/>
    <w:rPr>
      <w:rFonts w:ascii="Times New Roman" w:hAnsi="Times New Roman"/>
      <w:sz w:val="22"/>
    </w:rPr>
  </w:style>
  <w:style w:type="character" w:customStyle="1" w:styleId="HighlightedStatResultsChar">
    <w:name w:val="Highlighted Stat Results Char"/>
    <w:basedOn w:val="BodyTextChar"/>
    <w:link w:val="HighlightedStatResults"/>
    <w:rsid w:val="001A54B4"/>
    <w:rPr>
      <w:rFonts w:ascii="Times New Roman" w:hAnsi="Times New Roman"/>
      <w:sz w:val="22"/>
      <w:shd w:val="pct10" w:color="000000" w:themeColor="text1" w:fill="auto"/>
    </w:rPr>
  </w:style>
  <w:style w:type="paragraph" w:customStyle="1" w:styleId="BoxBullets">
    <w:name w:val="Box Bullets"/>
    <w:basedOn w:val="HighlightedStatResults"/>
    <w:next w:val="HighlightedStatResults"/>
    <w:link w:val="BoxBulletsChar"/>
    <w:rsid w:val="00BF64D3"/>
    <w:pPr>
      <w:numPr>
        <w:numId w:val="1"/>
      </w:numPr>
      <w:ind w:left="360"/>
    </w:pPr>
    <w:rPr>
      <w:bCs/>
    </w:rPr>
  </w:style>
  <w:style w:type="character" w:customStyle="1" w:styleId="BoxBulletsChar">
    <w:name w:val="Box Bullets Char"/>
    <w:basedOn w:val="HighlightedStatResultsChar"/>
    <w:link w:val="BoxBullets"/>
    <w:rsid w:val="00BF64D3"/>
    <w:rPr>
      <w:rFonts w:ascii="Times New Roman" w:hAnsi="Times New Roman"/>
      <w:bCs/>
      <w:sz w:val="22"/>
      <w:shd w:val="pct10" w:color="000000" w:themeColor="text1" w:fill="auto"/>
    </w:rPr>
  </w:style>
  <w:style w:type="character" w:styleId="FollowedHyperlink">
    <w:name w:val="FollowedHyperlink"/>
    <w:basedOn w:val="DefaultParagraphFont"/>
    <w:uiPriority w:val="99"/>
    <w:semiHidden/>
    <w:unhideWhenUsed/>
    <w:rsid w:val="00AA0CA0"/>
    <w:rPr>
      <w:color w:val="954F72" w:themeColor="followedHyperlink"/>
      <w:u w:val="single"/>
    </w:rPr>
  </w:style>
  <w:style w:type="paragraph" w:styleId="TOC4">
    <w:name w:val="toc 4"/>
    <w:basedOn w:val="Normal"/>
    <w:next w:val="Normal"/>
    <w:autoRedefine/>
    <w:uiPriority w:val="39"/>
    <w:unhideWhenUsed/>
    <w:rsid w:val="00D44D28"/>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D44D28"/>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D44D28"/>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D44D28"/>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D44D28"/>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D44D28"/>
    <w:pPr>
      <w:spacing w:after="0"/>
      <w:ind w:left="1760"/>
    </w:pPr>
    <w:rPr>
      <w:rFonts w:asciiTheme="minorHAnsi" w:hAnsiTheme="minorHAnsi" w:cstheme="minorHAnsi"/>
      <w:sz w:val="18"/>
      <w:szCs w:val="18"/>
    </w:rPr>
  </w:style>
  <w:style w:type="character" w:customStyle="1" w:styleId="katex">
    <w:name w:val="katex"/>
    <w:basedOn w:val="DefaultParagraphFont"/>
    <w:rsid w:val="002861EB"/>
  </w:style>
  <w:style w:type="paragraph" w:styleId="HTMLPreformatted">
    <w:name w:val="HTML Preformatted"/>
    <w:basedOn w:val="Normal"/>
    <w:link w:val="HTMLPreformattedChar"/>
    <w:uiPriority w:val="99"/>
    <w:semiHidden/>
    <w:unhideWhenUsed/>
    <w:rsid w:val="00286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61EB"/>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2861EB"/>
  </w:style>
  <w:style w:type="character" w:customStyle="1" w:styleId="mord">
    <w:name w:val="mord"/>
    <w:basedOn w:val="DefaultParagraphFont"/>
    <w:rsid w:val="002861EB"/>
  </w:style>
  <w:style w:type="character" w:customStyle="1" w:styleId="mrel">
    <w:name w:val="mrel"/>
    <w:basedOn w:val="DefaultParagraphFont"/>
    <w:rsid w:val="002861EB"/>
  </w:style>
  <w:style w:type="character" w:customStyle="1" w:styleId="vlist-s">
    <w:name w:val="vlist-s"/>
    <w:basedOn w:val="DefaultParagraphFont"/>
    <w:rsid w:val="002861EB"/>
  </w:style>
  <w:style w:type="table" w:styleId="GridTable4-Accent1">
    <w:name w:val="Grid Table 4 Accent 1"/>
    <w:basedOn w:val="TableNormal"/>
    <w:uiPriority w:val="49"/>
    <w:rsid w:val="002861EB"/>
    <w:pPr>
      <w:spacing w:after="0" w:line="240" w:lineRule="auto"/>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bin">
    <w:name w:val="mbin"/>
    <w:basedOn w:val="DefaultParagraphFont"/>
    <w:rsid w:val="002861EB"/>
  </w:style>
  <w:style w:type="table" w:styleId="TableGridLight">
    <w:name w:val="Grid Table Light"/>
    <w:basedOn w:val="TableNormal"/>
    <w:uiPriority w:val="40"/>
    <w:rsid w:val="002861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p">
    <w:name w:val="mop"/>
    <w:basedOn w:val="DefaultParagraphFont"/>
    <w:rsid w:val="002861EB"/>
  </w:style>
  <w:style w:type="character" w:customStyle="1" w:styleId="mopen">
    <w:name w:val="mopen"/>
    <w:basedOn w:val="DefaultParagraphFont"/>
    <w:rsid w:val="002861EB"/>
  </w:style>
  <w:style w:type="character" w:customStyle="1" w:styleId="mclose">
    <w:name w:val="mclose"/>
    <w:basedOn w:val="DefaultParagraphFont"/>
    <w:rsid w:val="002861EB"/>
  </w:style>
  <w:style w:type="paragraph" w:styleId="EndnoteText">
    <w:name w:val="endnote text"/>
    <w:basedOn w:val="Normal"/>
    <w:link w:val="EndnoteTextChar"/>
    <w:uiPriority w:val="99"/>
    <w:semiHidden/>
    <w:unhideWhenUsed/>
    <w:rsid w:val="002861EB"/>
    <w:pPr>
      <w:spacing w:after="0" w:line="240" w:lineRule="auto"/>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2861EB"/>
    <w:rPr>
      <w:sz w:val="20"/>
      <w:szCs w:val="20"/>
    </w:rPr>
  </w:style>
  <w:style w:type="character" w:styleId="EndnoteReference">
    <w:name w:val="endnote reference"/>
    <w:basedOn w:val="DefaultParagraphFont"/>
    <w:uiPriority w:val="99"/>
    <w:semiHidden/>
    <w:unhideWhenUsed/>
    <w:rsid w:val="002861EB"/>
    <w:rPr>
      <w:vertAlign w:val="superscript"/>
    </w:rPr>
  </w:style>
  <w:style w:type="character" w:customStyle="1" w:styleId="cf11">
    <w:name w:val="cf11"/>
    <w:basedOn w:val="DefaultParagraphFont"/>
    <w:rsid w:val="0016091F"/>
    <w:rPr>
      <w:rFonts w:ascii="Segoe UI" w:hAnsi="Segoe UI" w:cs="Segoe UI" w:hint="default"/>
      <w:sz w:val="18"/>
      <w:szCs w:val="18"/>
    </w:rPr>
  </w:style>
  <w:style w:type="paragraph" w:customStyle="1" w:styleId="TableTitle">
    <w:name w:val="Table Title"/>
    <w:basedOn w:val="Normal"/>
    <w:link w:val="TableTitleChar"/>
    <w:qFormat/>
    <w:rsid w:val="009364A0"/>
    <w:pPr>
      <w:ind w:left="720"/>
    </w:pPr>
    <w:rPr>
      <w:b/>
      <w:sz w:val="20"/>
    </w:rPr>
  </w:style>
  <w:style w:type="character" w:customStyle="1" w:styleId="TableTitleChar">
    <w:name w:val="Table Title Char"/>
    <w:basedOn w:val="DefaultParagraphFont"/>
    <w:link w:val="TableTitle"/>
    <w:rsid w:val="009364A0"/>
    <w:rPr>
      <w:rFonts w:ascii="Times New Roman" w:hAnsi="Times New Roman"/>
      <w:b/>
      <w:sz w:val="20"/>
    </w:rPr>
  </w:style>
  <w:style w:type="paragraph" w:customStyle="1" w:styleId="TableNote">
    <w:name w:val="Table Note"/>
    <w:basedOn w:val="TableTitle"/>
    <w:link w:val="TableNoteChar"/>
    <w:qFormat/>
    <w:rsid w:val="00ED48A4"/>
    <w:pPr>
      <w:spacing w:before="180"/>
      <w:ind w:right="720"/>
      <w:jc w:val="both"/>
    </w:pPr>
    <w:rPr>
      <w:b w:val="0"/>
      <w:i/>
      <w:sz w:val="18"/>
    </w:rPr>
  </w:style>
  <w:style w:type="character" w:customStyle="1" w:styleId="TableNoteChar">
    <w:name w:val="Table Note Char"/>
    <w:basedOn w:val="TableTitleChar"/>
    <w:link w:val="TableNote"/>
    <w:rsid w:val="00ED48A4"/>
    <w:rPr>
      <w:rFonts w:ascii="Times New Roman" w:hAnsi="Times New Roman"/>
      <w:b w:val="0"/>
      <w:i/>
      <w:sz w:val="18"/>
    </w:rPr>
  </w:style>
  <w:style w:type="character" w:customStyle="1" w:styleId="hljs-punctuation">
    <w:name w:val="hljs-punctuation"/>
    <w:basedOn w:val="DefaultParagraphFont"/>
    <w:rsid w:val="00D24AC9"/>
  </w:style>
  <w:style w:type="character" w:customStyle="1" w:styleId="hljs-number">
    <w:name w:val="hljs-number"/>
    <w:basedOn w:val="DefaultParagraphFont"/>
    <w:rsid w:val="00D24AC9"/>
  </w:style>
  <w:style w:type="character" w:customStyle="1" w:styleId="hljs-literal">
    <w:name w:val="hljs-literal"/>
    <w:basedOn w:val="DefaultParagraphFont"/>
    <w:rsid w:val="00D2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788">
      <w:bodyDiv w:val="1"/>
      <w:marLeft w:val="0"/>
      <w:marRight w:val="0"/>
      <w:marTop w:val="0"/>
      <w:marBottom w:val="0"/>
      <w:divBdr>
        <w:top w:val="none" w:sz="0" w:space="0" w:color="auto"/>
        <w:left w:val="none" w:sz="0" w:space="0" w:color="auto"/>
        <w:bottom w:val="none" w:sz="0" w:space="0" w:color="auto"/>
        <w:right w:val="none" w:sz="0" w:space="0" w:color="auto"/>
      </w:divBdr>
    </w:div>
    <w:div w:id="21902799">
      <w:bodyDiv w:val="1"/>
      <w:marLeft w:val="0"/>
      <w:marRight w:val="0"/>
      <w:marTop w:val="0"/>
      <w:marBottom w:val="0"/>
      <w:divBdr>
        <w:top w:val="none" w:sz="0" w:space="0" w:color="auto"/>
        <w:left w:val="none" w:sz="0" w:space="0" w:color="auto"/>
        <w:bottom w:val="none" w:sz="0" w:space="0" w:color="auto"/>
        <w:right w:val="none" w:sz="0" w:space="0" w:color="auto"/>
      </w:divBdr>
    </w:div>
    <w:div w:id="49035163">
      <w:bodyDiv w:val="1"/>
      <w:marLeft w:val="0"/>
      <w:marRight w:val="0"/>
      <w:marTop w:val="0"/>
      <w:marBottom w:val="0"/>
      <w:divBdr>
        <w:top w:val="none" w:sz="0" w:space="0" w:color="auto"/>
        <w:left w:val="none" w:sz="0" w:space="0" w:color="auto"/>
        <w:bottom w:val="none" w:sz="0" w:space="0" w:color="auto"/>
        <w:right w:val="none" w:sz="0" w:space="0" w:color="auto"/>
      </w:divBdr>
    </w:div>
    <w:div w:id="97677110">
      <w:bodyDiv w:val="1"/>
      <w:marLeft w:val="0"/>
      <w:marRight w:val="0"/>
      <w:marTop w:val="0"/>
      <w:marBottom w:val="0"/>
      <w:divBdr>
        <w:top w:val="none" w:sz="0" w:space="0" w:color="auto"/>
        <w:left w:val="none" w:sz="0" w:space="0" w:color="auto"/>
        <w:bottom w:val="none" w:sz="0" w:space="0" w:color="auto"/>
        <w:right w:val="none" w:sz="0" w:space="0" w:color="auto"/>
      </w:divBdr>
    </w:div>
    <w:div w:id="99569495">
      <w:bodyDiv w:val="1"/>
      <w:marLeft w:val="0"/>
      <w:marRight w:val="0"/>
      <w:marTop w:val="0"/>
      <w:marBottom w:val="0"/>
      <w:divBdr>
        <w:top w:val="none" w:sz="0" w:space="0" w:color="auto"/>
        <w:left w:val="none" w:sz="0" w:space="0" w:color="auto"/>
        <w:bottom w:val="none" w:sz="0" w:space="0" w:color="auto"/>
        <w:right w:val="none" w:sz="0" w:space="0" w:color="auto"/>
      </w:divBdr>
    </w:div>
    <w:div w:id="108084490">
      <w:bodyDiv w:val="1"/>
      <w:marLeft w:val="0"/>
      <w:marRight w:val="0"/>
      <w:marTop w:val="0"/>
      <w:marBottom w:val="0"/>
      <w:divBdr>
        <w:top w:val="none" w:sz="0" w:space="0" w:color="auto"/>
        <w:left w:val="none" w:sz="0" w:space="0" w:color="auto"/>
        <w:bottom w:val="none" w:sz="0" w:space="0" w:color="auto"/>
        <w:right w:val="none" w:sz="0" w:space="0" w:color="auto"/>
      </w:divBdr>
    </w:div>
    <w:div w:id="135341536">
      <w:bodyDiv w:val="1"/>
      <w:marLeft w:val="0"/>
      <w:marRight w:val="0"/>
      <w:marTop w:val="0"/>
      <w:marBottom w:val="0"/>
      <w:divBdr>
        <w:top w:val="none" w:sz="0" w:space="0" w:color="auto"/>
        <w:left w:val="none" w:sz="0" w:space="0" w:color="auto"/>
        <w:bottom w:val="none" w:sz="0" w:space="0" w:color="auto"/>
        <w:right w:val="none" w:sz="0" w:space="0" w:color="auto"/>
      </w:divBdr>
    </w:div>
    <w:div w:id="148642797">
      <w:bodyDiv w:val="1"/>
      <w:marLeft w:val="0"/>
      <w:marRight w:val="0"/>
      <w:marTop w:val="0"/>
      <w:marBottom w:val="0"/>
      <w:divBdr>
        <w:top w:val="none" w:sz="0" w:space="0" w:color="auto"/>
        <w:left w:val="none" w:sz="0" w:space="0" w:color="auto"/>
        <w:bottom w:val="none" w:sz="0" w:space="0" w:color="auto"/>
        <w:right w:val="none" w:sz="0" w:space="0" w:color="auto"/>
      </w:divBdr>
    </w:div>
    <w:div w:id="190846623">
      <w:bodyDiv w:val="1"/>
      <w:marLeft w:val="0"/>
      <w:marRight w:val="0"/>
      <w:marTop w:val="0"/>
      <w:marBottom w:val="0"/>
      <w:divBdr>
        <w:top w:val="none" w:sz="0" w:space="0" w:color="auto"/>
        <w:left w:val="none" w:sz="0" w:space="0" w:color="auto"/>
        <w:bottom w:val="none" w:sz="0" w:space="0" w:color="auto"/>
        <w:right w:val="none" w:sz="0" w:space="0" w:color="auto"/>
      </w:divBdr>
    </w:div>
    <w:div w:id="214051785">
      <w:bodyDiv w:val="1"/>
      <w:marLeft w:val="0"/>
      <w:marRight w:val="0"/>
      <w:marTop w:val="0"/>
      <w:marBottom w:val="0"/>
      <w:divBdr>
        <w:top w:val="none" w:sz="0" w:space="0" w:color="auto"/>
        <w:left w:val="none" w:sz="0" w:space="0" w:color="auto"/>
        <w:bottom w:val="none" w:sz="0" w:space="0" w:color="auto"/>
        <w:right w:val="none" w:sz="0" w:space="0" w:color="auto"/>
      </w:divBdr>
    </w:div>
    <w:div w:id="220603267">
      <w:bodyDiv w:val="1"/>
      <w:marLeft w:val="0"/>
      <w:marRight w:val="0"/>
      <w:marTop w:val="0"/>
      <w:marBottom w:val="0"/>
      <w:divBdr>
        <w:top w:val="none" w:sz="0" w:space="0" w:color="auto"/>
        <w:left w:val="none" w:sz="0" w:space="0" w:color="auto"/>
        <w:bottom w:val="none" w:sz="0" w:space="0" w:color="auto"/>
        <w:right w:val="none" w:sz="0" w:space="0" w:color="auto"/>
      </w:divBdr>
    </w:div>
    <w:div w:id="226653597">
      <w:bodyDiv w:val="1"/>
      <w:marLeft w:val="0"/>
      <w:marRight w:val="0"/>
      <w:marTop w:val="0"/>
      <w:marBottom w:val="0"/>
      <w:divBdr>
        <w:top w:val="none" w:sz="0" w:space="0" w:color="auto"/>
        <w:left w:val="none" w:sz="0" w:space="0" w:color="auto"/>
        <w:bottom w:val="none" w:sz="0" w:space="0" w:color="auto"/>
        <w:right w:val="none" w:sz="0" w:space="0" w:color="auto"/>
      </w:divBdr>
    </w:div>
    <w:div w:id="261763044">
      <w:bodyDiv w:val="1"/>
      <w:marLeft w:val="0"/>
      <w:marRight w:val="0"/>
      <w:marTop w:val="0"/>
      <w:marBottom w:val="0"/>
      <w:divBdr>
        <w:top w:val="none" w:sz="0" w:space="0" w:color="auto"/>
        <w:left w:val="none" w:sz="0" w:space="0" w:color="auto"/>
        <w:bottom w:val="none" w:sz="0" w:space="0" w:color="auto"/>
        <w:right w:val="none" w:sz="0" w:space="0" w:color="auto"/>
      </w:divBdr>
    </w:div>
    <w:div w:id="355231556">
      <w:bodyDiv w:val="1"/>
      <w:marLeft w:val="0"/>
      <w:marRight w:val="0"/>
      <w:marTop w:val="0"/>
      <w:marBottom w:val="0"/>
      <w:divBdr>
        <w:top w:val="none" w:sz="0" w:space="0" w:color="auto"/>
        <w:left w:val="none" w:sz="0" w:space="0" w:color="auto"/>
        <w:bottom w:val="none" w:sz="0" w:space="0" w:color="auto"/>
        <w:right w:val="none" w:sz="0" w:space="0" w:color="auto"/>
      </w:divBdr>
    </w:div>
    <w:div w:id="375355804">
      <w:bodyDiv w:val="1"/>
      <w:marLeft w:val="0"/>
      <w:marRight w:val="0"/>
      <w:marTop w:val="0"/>
      <w:marBottom w:val="0"/>
      <w:divBdr>
        <w:top w:val="none" w:sz="0" w:space="0" w:color="auto"/>
        <w:left w:val="none" w:sz="0" w:space="0" w:color="auto"/>
        <w:bottom w:val="none" w:sz="0" w:space="0" w:color="auto"/>
        <w:right w:val="none" w:sz="0" w:space="0" w:color="auto"/>
      </w:divBdr>
    </w:div>
    <w:div w:id="375544461">
      <w:bodyDiv w:val="1"/>
      <w:marLeft w:val="0"/>
      <w:marRight w:val="0"/>
      <w:marTop w:val="0"/>
      <w:marBottom w:val="0"/>
      <w:divBdr>
        <w:top w:val="none" w:sz="0" w:space="0" w:color="auto"/>
        <w:left w:val="none" w:sz="0" w:space="0" w:color="auto"/>
        <w:bottom w:val="none" w:sz="0" w:space="0" w:color="auto"/>
        <w:right w:val="none" w:sz="0" w:space="0" w:color="auto"/>
      </w:divBdr>
    </w:div>
    <w:div w:id="462233782">
      <w:bodyDiv w:val="1"/>
      <w:marLeft w:val="0"/>
      <w:marRight w:val="0"/>
      <w:marTop w:val="0"/>
      <w:marBottom w:val="0"/>
      <w:divBdr>
        <w:top w:val="none" w:sz="0" w:space="0" w:color="auto"/>
        <w:left w:val="none" w:sz="0" w:space="0" w:color="auto"/>
        <w:bottom w:val="none" w:sz="0" w:space="0" w:color="auto"/>
        <w:right w:val="none" w:sz="0" w:space="0" w:color="auto"/>
      </w:divBdr>
    </w:div>
    <w:div w:id="472525503">
      <w:bodyDiv w:val="1"/>
      <w:marLeft w:val="0"/>
      <w:marRight w:val="0"/>
      <w:marTop w:val="0"/>
      <w:marBottom w:val="0"/>
      <w:divBdr>
        <w:top w:val="none" w:sz="0" w:space="0" w:color="auto"/>
        <w:left w:val="none" w:sz="0" w:space="0" w:color="auto"/>
        <w:bottom w:val="none" w:sz="0" w:space="0" w:color="auto"/>
        <w:right w:val="none" w:sz="0" w:space="0" w:color="auto"/>
      </w:divBdr>
    </w:div>
    <w:div w:id="484669083">
      <w:bodyDiv w:val="1"/>
      <w:marLeft w:val="0"/>
      <w:marRight w:val="0"/>
      <w:marTop w:val="0"/>
      <w:marBottom w:val="0"/>
      <w:divBdr>
        <w:top w:val="none" w:sz="0" w:space="0" w:color="auto"/>
        <w:left w:val="none" w:sz="0" w:space="0" w:color="auto"/>
        <w:bottom w:val="none" w:sz="0" w:space="0" w:color="auto"/>
        <w:right w:val="none" w:sz="0" w:space="0" w:color="auto"/>
      </w:divBdr>
    </w:div>
    <w:div w:id="505946757">
      <w:bodyDiv w:val="1"/>
      <w:marLeft w:val="0"/>
      <w:marRight w:val="0"/>
      <w:marTop w:val="0"/>
      <w:marBottom w:val="0"/>
      <w:divBdr>
        <w:top w:val="none" w:sz="0" w:space="0" w:color="auto"/>
        <w:left w:val="none" w:sz="0" w:space="0" w:color="auto"/>
        <w:bottom w:val="none" w:sz="0" w:space="0" w:color="auto"/>
        <w:right w:val="none" w:sz="0" w:space="0" w:color="auto"/>
      </w:divBdr>
    </w:div>
    <w:div w:id="509150876">
      <w:bodyDiv w:val="1"/>
      <w:marLeft w:val="0"/>
      <w:marRight w:val="0"/>
      <w:marTop w:val="0"/>
      <w:marBottom w:val="0"/>
      <w:divBdr>
        <w:top w:val="none" w:sz="0" w:space="0" w:color="auto"/>
        <w:left w:val="none" w:sz="0" w:space="0" w:color="auto"/>
        <w:bottom w:val="none" w:sz="0" w:space="0" w:color="auto"/>
        <w:right w:val="none" w:sz="0" w:space="0" w:color="auto"/>
      </w:divBdr>
    </w:div>
    <w:div w:id="558521419">
      <w:bodyDiv w:val="1"/>
      <w:marLeft w:val="0"/>
      <w:marRight w:val="0"/>
      <w:marTop w:val="0"/>
      <w:marBottom w:val="0"/>
      <w:divBdr>
        <w:top w:val="none" w:sz="0" w:space="0" w:color="auto"/>
        <w:left w:val="none" w:sz="0" w:space="0" w:color="auto"/>
        <w:bottom w:val="none" w:sz="0" w:space="0" w:color="auto"/>
        <w:right w:val="none" w:sz="0" w:space="0" w:color="auto"/>
      </w:divBdr>
    </w:div>
    <w:div w:id="566375673">
      <w:bodyDiv w:val="1"/>
      <w:marLeft w:val="0"/>
      <w:marRight w:val="0"/>
      <w:marTop w:val="0"/>
      <w:marBottom w:val="0"/>
      <w:divBdr>
        <w:top w:val="none" w:sz="0" w:space="0" w:color="auto"/>
        <w:left w:val="none" w:sz="0" w:space="0" w:color="auto"/>
        <w:bottom w:val="none" w:sz="0" w:space="0" w:color="auto"/>
        <w:right w:val="none" w:sz="0" w:space="0" w:color="auto"/>
      </w:divBdr>
    </w:div>
    <w:div w:id="577137761">
      <w:bodyDiv w:val="1"/>
      <w:marLeft w:val="0"/>
      <w:marRight w:val="0"/>
      <w:marTop w:val="0"/>
      <w:marBottom w:val="0"/>
      <w:divBdr>
        <w:top w:val="none" w:sz="0" w:space="0" w:color="auto"/>
        <w:left w:val="none" w:sz="0" w:space="0" w:color="auto"/>
        <w:bottom w:val="none" w:sz="0" w:space="0" w:color="auto"/>
        <w:right w:val="none" w:sz="0" w:space="0" w:color="auto"/>
      </w:divBdr>
    </w:div>
    <w:div w:id="622005812">
      <w:bodyDiv w:val="1"/>
      <w:marLeft w:val="0"/>
      <w:marRight w:val="0"/>
      <w:marTop w:val="0"/>
      <w:marBottom w:val="0"/>
      <w:divBdr>
        <w:top w:val="none" w:sz="0" w:space="0" w:color="auto"/>
        <w:left w:val="none" w:sz="0" w:space="0" w:color="auto"/>
        <w:bottom w:val="none" w:sz="0" w:space="0" w:color="auto"/>
        <w:right w:val="none" w:sz="0" w:space="0" w:color="auto"/>
      </w:divBdr>
    </w:div>
    <w:div w:id="624508603">
      <w:bodyDiv w:val="1"/>
      <w:marLeft w:val="0"/>
      <w:marRight w:val="0"/>
      <w:marTop w:val="0"/>
      <w:marBottom w:val="0"/>
      <w:divBdr>
        <w:top w:val="none" w:sz="0" w:space="0" w:color="auto"/>
        <w:left w:val="none" w:sz="0" w:space="0" w:color="auto"/>
        <w:bottom w:val="none" w:sz="0" w:space="0" w:color="auto"/>
        <w:right w:val="none" w:sz="0" w:space="0" w:color="auto"/>
      </w:divBdr>
    </w:div>
    <w:div w:id="625816850">
      <w:bodyDiv w:val="1"/>
      <w:marLeft w:val="0"/>
      <w:marRight w:val="0"/>
      <w:marTop w:val="0"/>
      <w:marBottom w:val="0"/>
      <w:divBdr>
        <w:top w:val="none" w:sz="0" w:space="0" w:color="auto"/>
        <w:left w:val="none" w:sz="0" w:space="0" w:color="auto"/>
        <w:bottom w:val="none" w:sz="0" w:space="0" w:color="auto"/>
        <w:right w:val="none" w:sz="0" w:space="0" w:color="auto"/>
      </w:divBdr>
    </w:div>
    <w:div w:id="664628258">
      <w:bodyDiv w:val="1"/>
      <w:marLeft w:val="0"/>
      <w:marRight w:val="0"/>
      <w:marTop w:val="0"/>
      <w:marBottom w:val="0"/>
      <w:divBdr>
        <w:top w:val="none" w:sz="0" w:space="0" w:color="auto"/>
        <w:left w:val="none" w:sz="0" w:space="0" w:color="auto"/>
        <w:bottom w:val="none" w:sz="0" w:space="0" w:color="auto"/>
        <w:right w:val="none" w:sz="0" w:space="0" w:color="auto"/>
      </w:divBdr>
    </w:div>
    <w:div w:id="670959291">
      <w:bodyDiv w:val="1"/>
      <w:marLeft w:val="0"/>
      <w:marRight w:val="0"/>
      <w:marTop w:val="0"/>
      <w:marBottom w:val="0"/>
      <w:divBdr>
        <w:top w:val="none" w:sz="0" w:space="0" w:color="auto"/>
        <w:left w:val="none" w:sz="0" w:space="0" w:color="auto"/>
        <w:bottom w:val="none" w:sz="0" w:space="0" w:color="auto"/>
        <w:right w:val="none" w:sz="0" w:space="0" w:color="auto"/>
      </w:divBdr>
    </w:div>
    <w:div w:id="705452528">
      <w:bodyDiv w:val="1"/>
      <w:marLeft w:val="0"/>
      <w:marRight w:val="0"/>
      <w:marTop w:val="0"/>
      <w:marBottom w:val="0"/>
      <w:divBdr>
        <w:top w:val="none" w:sz="0" w:space="0" w:color="auto"/>
        <w:left w:val="none" w:sz="0" w:space="0" w:color="auto"/>
        <w:bottom w:val="none" w:sz="0" w:space="0" w:color="auto"/>
        <w:right w:val="none" w:sz="0" w:space="0" w:color="auto"/>
      </w:divBdr>
    </w:div>
    <w:div w:id="719941829">
      <w:bodyDiv w:val="1"/>
      <w:marLeft w:val="0"/>
      <w:marRight w:val="0"/>
      <w:marTop w:val="0"/>
      <w:marBottom w:val="0"/>
      <w:divBdr>
        <w:top w:val="none" w:sz="0" w:space="0" w:color="auto"/>
        <w:left w:val="none" w:sz="0" w:space="0" w:color="auto"/>
        <w:bottom w:val="none" w:sz="0" w:space="0" w:color="auto"/>
        <w:right w:val="none" w:sz="0" w:space="0" w:color="auto"/>
      </w:divBdr>
    </w:div>
    <w:div w:id="738672929">
      <w:bodyDiv w:val="1"/>
      <w:marLeft w:val="0"/>
      <w:marRight w:val="0"/>
      <w:marTop w:val="0"/>
      <w:marBottom w:val="0"/>
      <w:divBdr>
        <w:top w:val="none" w:sz="0" w:space="0" w:color="auto"/>
        <w:left w:val="none" w:sz="0" w:space="0" w:color="auto"/>
        <w:bottom w:val="none" w:sz="0" w:space="0" w:color="auto"/>
        <w:right w:val="none" w:sz="0" w:space="0" w:color="auto"/>
      </w:divBdr>
    </w:div>
    <w:div w:id="763919549">
      <w:bodyDiv w:val="1"/>
      <w:marLeft w:val="0"/>
      <w:marRight w:val="0"/>
      <w:marTop w:val="0"/>
      <w:marBottom w:val="0"/>
      <w:divBdr>
        <w:top w:val="none" w:sz="0" w:space="0" w:color="auto"/>
        <w:left w:val="none" w:sz="0" w:space="0" w:color="auto"/>
        <w:bottom w:val="none" w:sz="0" w:space="0" w:color="auto"/>
        <w:right w:val="none" w:sz="0" w:space="0" w:color="auto"/>
      </w:divBdr>
    </w:div>
    <w:div w:id="783505112">
      <w:bodyDiv w:val="1"/>
      <w:marLeft w:val="0"/>
      <w:marRight w:val="0"/>
      <w:marTop w:val="0"/>
      <w:marBottom w:val="0"/>
      <w:divBdr>
        <w:top w:val="none" w:sz="0" w:space="0" w:color="auto"/>
        <w:left w:val="none" w:sz="0" w:space="0" w:color="auto"/>
        <w:bottom w:val="none" w:sz="0" w:space="0" w:color="auto"/>
        <w:right w:val="none" w:sz="0" w:space="0" w:color="auto"/>
      </w:divBdr>
    </w:div>
    <w:div w:id="785124132">
      <w:bodyDiv w:val="1"/>
      <w:marLeft w:val="0"/>
      <w:marRight w:val="0"/>
      <w:marTop w:val="0"/>
      <w:marBottom w:val="0"/>
      <w:divBdr>
        <w:top w:val="none" w:sz="0" w:space="0" w:color="auto"/>
        <w:left w:val="none" w:sz="0" w:space="0" w:color="auto"/>
        <w:bottom w:val="none" w:sz="0" w:space="0" w:color="auto"/>
        <w:right w:val="none" w:sz="0" w:space="0" w:color="auto"/>
      </w:divBdr>
    </w:div>
    <w:div w:id="826939043">
      <w:bodyDiv w:val="1"/>
      <w:marLeft w:val="0"/>
      <w:marRight w:val="0"/>
      <w:marTop w:val="0"/>
      <w:marBottom w:val="0"/>
      <w:divBdr>
        <w:top w:val="none" w:sz="0" w:space="0" w:color="auto"/>
        <w:left w:val="none" w:sz="0" w:space="0" w:color="auto"/>
        <w:bottom w:val="none" w:sz="0" w:space="0" w:color="auto"/>
        <w:right w:val="none" w:sz="0" w:space="0" w:color="auto"/>
      </w:divBdr>
    </w:div>
    <w:div w:id="830290605">
      <w:bodyDiv w:val="1"/>
      <w:marLeft w:val="0"/>
      <w:marRight w:val="0"/>
      <w:marTop w:val="0"/>
      <w:marBottom w:val="0"/>
      <w:divBdr>
        <w:top w:val="none" w:sz="0" w:space="0" w:color="auto"/>
        <w:left w:val="none" w:sz="0" w:space="0" w:color="auto"/>
        <w:bottom w:val="none" w:sz="0" w:space="0" w:color="auto"/>
        <w:right w:val="none" w:sz="0" w:space="0" w:color="auto"/>
      </w:divBdr>
      <w:divsChild>
        <w:div w:id="540291210">
          <w:marLeft w:val="0"/>
          <w:marRight w:val="0"/>
          <w:marTop w:val="0"/>
          <w:marBottom w:val="0"/>
          <w:divBdr>
            <w:top w:val="none" w:sz="0" w:space="0" w:color="auto"/>
            <w:left w:val="none" w:sz="0" w:space="0" w:color="auto"/>
            <w:bottom w:val="none" w:sz="0" w:space="0" w:color="auto"/>
            <w:right w:val="none" w:sz="0" w:space="0" w:color="auto"/>
          </w:divBdr>
        </w:div>
      </w:divsChild>
    </w:div>
    <w:div w:id="830876328">
      <w:bodyDiv w:val="1"/>
      <w:marLeft w:val="0"/>
      <w:marRight w:val="0"/>
      <w:marTop w:val="0"/>
      <w:marBottom w:val="0"/>
      <w:divBdr>
        <w:top w:val="none" w:sz="0" w:space="0" w:color="auto"/>
        <w:left w:val="none" w:sz="0" w:space="0" w:color="auto"/>
        <w:bottom w:val="none" w:sz="0" w:space="0" w:color="auto"/>
        <w:right w:val="none" w:sz="0" w:space="0" w:color="auto"/>
      </w:divBdr>
    </w:div>
    <w:div w:id="843742455">
      <w:bodyDiv w:val="1"/>
      <w:marLeft w:val="0"/>
      <w:marRight w:val="0"/>
      <w:marTop w:val="0"/>
      <w:marBottom w:val="0"/>
      <w:divBdr>
        <w:top w:val="none" w:sz="0" w:space="0" w:color="auto"/>
        <w:left w:val="none" w:sz="0" w:space="0" w:color="auto"/>
        <w:bottom w:val="none" w:sz="0" w:space="0" w:color="auto"/>
        <w:right w:val="none" w:sz="0" w:space="0" w:color="auto"/>
      </w:divBdr>
    </w:div>
    <w:div w:id="902300476">
      <w:bodyDiv w:val="1"/>
      <w:marLeft w:val="0"/>
      <w:marRight w:val="0"/>
      <w:marTop w:val="0"/>
      <w:marBottom w:val="0"/>
      <w:divBdr>
        <w:top w:val="none" w:sz="0" w:space="0" w:color="auto"/>
        <w:left w:val="none" w:sz="0" w:space="0" w:color="auto"/>
        <w:bottom w:val="none" w:sz="0" w:space="0" w:color="auto"/>
        <w:right w:val="none" w:sz="0" w:space="0" w:color="auto"/>
      </w:divBdr>
      <w:divsChild>
        <w:div w:id="28336126">
          <w:marLeft w:val="0"/>
          <w:marRight w:val="0"/>
          <w:marTop w:val="0"/>
          <w:marBottom w:val="0"/>
          <w:divBdr>
            <w:top w:val="none" w:sz="0" w:space="0" w:color="auto"/>
            <w:left w:val="none" w:sz="0" w:space="0" w:color="auto"/>
            <w:bottom w:val="none" w:sz="0" w:space="0" w:color="auto"/>
            <w:right w:val="none" w:sz="0" w:space="0" w:color="auto"/>
          </w:divBdr>
          <w:divsChild>
            <w:div w:id="313722146">
              <w:marLeft w:val="0"/>
              <w:marRight w:val="0"/>
              <w:marTop w:val="0"/>
              <w:marBottom w:val="0"/>
              <w:divBdr>
                <w:top w:val="none" w:sz="0" w:space="0" w:color="auto"/>
                <w:left w:val="none" w:sz="0" w:space="0" w:color="auto"/>
                <w:bottom w:val="none" w:sz="0" w:space="0" w:color="auto"/>
                <w:right w:val="none" w:sz="0" w:space="0" w:color="auto"/>
              </w:divBdr>
              <w:divsChild>
                <w:div w:id="972758776">
                  <w:marLeft w:val="0"/>
                  <w:marRight w:val="0"/>
                  <w:marTop w:val="0"/>
                  <w:marBottom w:val="0"/>
                  <w:divBdr>
                    <w:top w:val="none" w:sz="0" w:space="0" w:color="auto"/>
                    <w:left w:val="none" w:sz="0" w:space="0" w:color="auto"/>
                    <w:bottom w:val="none" w:sz="0" w:space="0" w:color="auto"/>
                    <w:right w:val="none" w:sz="0" w:space="0" w:color="auto"/>
                  </w:divBdr>
                  <w:divsChild>
                    <w:div w:id="1406217547">
                      <w:marLeft w:val="0"/>
                      <w:marRight w:val="0"/>
                      <w:marTop w:val="0"/>
                      <w:marBottom w:val="0"/>
                      <w:divBdr>
                        <w:top w:val="none" w:sz="0" w:space="0" w:color="auto"/>
                        <w:left w:val="none" w:sz="0" w:space="0" w:color="auto"/>
                        <w:bottom w:val="none" w:sz="0" w:space="0" w:color="auto"/>
                        <w:right w:val="none" w:sz="0" w:space="0" w:color="auto"/>
                      </w:divBdr>
                      <w:divsChild>
                        <w:div w:id="2081320653">
                          <w:marLeft w:val="0"/>
                          <w:marRight w:val="0"/>
                          <w:marTop w:val="0"/>
                          <w:marBottom w:val="0"/>
                          <w:divBdr>
                            <w:top w:val="none" w:sz="0" w:space="0" w:color="auto"/>
                            <w:left w:val="none" w:sz="0" w:space="0" w:color="auto"/>
                            <w:bottom w:val="none" w:sz="0" w:space="0" w:color="auto"/>
                            <w:right w:val="none" w:sz="0" w:space="0" w:color="auto"/>
                          </w:divBdr>
                          <w:divsChild>
                            <w:div w:id="1077942640">
                              <w:marLeft w:val="0"/>
                              <w:marRight w:val="0"/>
                              <w:marTop w:val="0"/>
                              <w:marBottom w:val="0"/>
                              <w:divBdr>
                                <w:top w:val="none" w:sz="0" w:space="0" w:color="auto"/>
                                <w:left w:val="none" w:sz="0" w:space="0" w:color="auto"/>
                                <w:bottom w:val="none" w:sz="0" w:space="0" w:color="auto"/>
                                <w:right w:val="none" w:sz="0" w:space="0" w:color="auto"/>
                              </w:divBdr>
                              <w:divsChild>
                                <w:div w:id="14966832">
                                  <w:marLeft w:val="0"/>
                                  <w:marRight w:val="0"/>
                                  <w:marTop w:val="0"/>
                                  <w:marBottom w:val="0"/>
                                  <w:divBdr>
                                    <w:top w:val="none" w:sz="0" w:space="0" w:color="auto"/>
                                    <w:left w:val="none" w:sz="0" w:space="0" w:color="auto"/>
                                    <w:bottom w:val="none" w:sz="0" w:space="0" w:color="auto"/>
                                    <w:right w:val="none" w:sz="0" w:space="0" w:color="auto"/>
                                  </w:divBdr>
                                  <w:divsChild>
                                    <w:div w:id="18820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79104">
      <w:bodyDiv w:val="1"/>
      <w:marLeft w:val="0"/>
      <w:marRight w:val="0"/>
      <w:marTop w:val="0"/>
      <w:marBottom w:val="0"/>
      <w:divBdr>
        <w:top w:val="none" w:sz="0" w:space="0" w:color="auto"/>
        <w:left w:val="none" w:sz="0" w:space="0" w:color="auto"/>
        <w:bottom w:val="none" w:sz="0" w:space="0" w:color="auto"/>
        <w:right w:val="none" w:sz="0" w:space="0" w:color="auto"/>
      </w:divBdr>
    </w:div>
    <w:div w:id="976647740">
      <w:bodyDiv w:val="1"/>
      <w:marLeft w:val="0"/>
      <w:marRight w:val="0"/>
      <w:marTop w:val="0"/>
      <w:marBottom w:val="0"/>
      <w:divBdr>
        <w:top w:val="none" w:sz="0" w:space="0" w:color="auto"/>
        <w:left w:val="none" w:sz="0" w:space="0" w:color="auto"/>
        <w:bottom w:val="none" w:sz="0" w:space="0" w:color="auto"/>
        <w:right w:val="none" w:sz="0" w:space="0" w:color="auto"/>
      </w:divBdr>
    </w:div>
    <w:div w:id="999506165">
      <w:bodyDiv w:val="1"/>
      <w:marLeft w:val="0"/>
      <w:marRight w:val="0"/>
      <w:marTop w:val="0"/>
      <w:marBottom w:val="0"/>
      <w:divBdr>
        <w:top w:val="none" w:sz="0" w:space="0" w:color="auto"/>
        <w:left w:val="none" w:sz="0" w:space="0" w:color="auto"/>
        <w:bottom w:val="none" w:sz="0" w:space="0" w:color="auto"/>
        <w:right w:val="none" w:sz="0" w:space="0" w:color="auto"/>
      </w:divBdr>
    </w:div>
    <w:div w:id="1088697738">
      <w:bodyDiv w:val="1"/>
      <w:marLeft w:val="0"/>
      <w:marRight w:val="0"/>
      <w:marTop w:val="0"/>
      <w:marBottom w:val="0"/>
      <w:divBdr>
        <w:top w:val="none" w:sz="0" w:space="0" w:color="auto"/>
        <w:left w:val="none" w:sz="0" w:space="0" w:color="auto"/>
        <w:bottom w:val="none" w:sz="0" w:space="0" w:color="auto"/>
        <w:right w:val="none" w:sz="0" w:space="0" w:color="auto"/>
      </w:divBdr>
    </w:div>
    <w:div w:id="1119959840">
      <w:bodyDiv w:val="1"/>
      <w:marLeft w:val="0"/>
      <w:marRight w:val="0"/>
      <w:marTop w:val="0"/>
      <w:marBottom w:val="0"/>
      <w:divBdr>
        <w:top w:val="none" w:sz="0" w:space="0" w:color="auto"/>
        <w:left w:val="none" w:sz="0" w:space="0" w:color="auto"/>
        <w:bottom w:val="none" w:sz="0" w:space="0" w:color="auto"/>
        <w:right w:val="none" w:sz="0" w:space="0" w:color="auto"/>
      </w:divBdr>
    </w:div>
    <w:div w:id="1123843569">
      <w:bodyDiv w:val="1"/>
      <w:marLeft w:val="0"/>
      <w:marRight w:val="0"/>
      <w:marTop w:val="0"/>
      <w:marBottom w:val="0"/>
      <w:divBdr>
        <w:top w:val="none" w:sz="0" w:space="0" w:color="auto"/>
        <w:left w:val="none" w:sz="0" w:space="0" w:color="auto"/>
        <w:bottom w:val="none" w:sz="0" w:space="0" w:color="auto"/>
        <w:right w:val="none" w:sz="0" w:space="0" w:color="auto"/>
      </w:divBdr>
    </w:div>
    <w:div w:id="1144663090">
      <w:bodyDiv w:val="1"/>
      <w:marLeft w:val="0"/>
      <w:marRight w:val="0"/>
      <w:marTop w:val="0"/>
      <w:marBottom w:val="0"/>
      <w:divBdr>
        <w:top w:val="none" w:sz="0" w:space="0" w:color="auto"/>
        <w:left w:val="none" w:sz="0" w:space="0" w:color="auto"/>
        <w:bottom w:val="none" w:sz="0" w:space="0" w:color="auto"/>
        <w:right w:val="none" w:sz="0" w:space="0" w:color="auto"/>
      </w:divBdr>
    </w:div>
    <w:div w:id="1152912443">
      <w:bodyDiv w:val="1"/>
      <w:marLeft w:val="0"/>
      <w:marRight w:val="0"/>
      <w:marTop w:val="0"/>
      <w:marBottom w:val="0"/>
      <w:divBdr>
        <w:top w:val="none" w:sz="0" w:space="0" w:color="auto"/>
        <w:left w:val="none" w:sz="0" w:space="0" w:color="auto"/>
        <w:bottom w:val="none" w:sz="0" w:space="0" w:color="auto"/>
        <w:right w:val="none" w:sz="0" w:space="0" w:color="auto"/>
      </w:divBdr>
    </w:div>
    <w:div w:id="1176916895">
      <w:bodyDiv w:val="1"/>
      <w:marLeft w:val="0"/>
      <w:marRight w:val="0"/>
      <w:marTop w:val="0"/>
      <w:marBottom w:val="0"/>
      <w:divBdr>
        <w:top w:val="none" w:sz="0" w:space="0" w:color="auto"/>
        <w:left w:val="none" w:sz="0" w:space="0" w:color="auto"/>
        <w:bottom w:val="none" w:sz="0" w:space="0" w:color="auto"/>
        <w:right w:val="none" w:sz="0" w:space="0" w:color="auto"/>
      </w:divBdr>
      <w:divsChild>
        <w:div w:id="1230530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192608">
      <w:bodyDiv w:val="1"/>
      <w:marLeft w:val="0"/>
      <w:marRight w:val="0"/>
      <w:marTop w:val="0"/>
      <w:marBottom w:val="0"/>
      <w:divBdr>
        <w:top w:val="none" w:sz="0" w:space="0" w:color="auto"/>
        <w:left w:val="none" w:sz="0" w:space="0" w:color="auto"/>
        <w:bottom w:val="none" w:sz="0" w:space="0" w:color="auto"/>
        <w:right w:val="none" w:sz="0" w:space="0" w:color="auto"/>
      </w:divBdr>
    </w:div>
    <w:div w:id="1203595052">
      <w:bodyDiv w:val="1"/>
      <w:marLeft w:val="0"/>
      <w:marRight w:val="0"/>
      <w:marTop w:val="0"/>
      <w:marBottom w:val="0"/>
      <w:divBdr>
        <w:top w:val="none" w:sz="0" w:space="0" w:color="auto"/>
        <w:left w:val="none" w:sz="0" w:space="0" w:color="auto"/>
        <w:bottom w:val="none" w:sz="0" w:space="0" w:color="auto"/>
        <w:right w:val="none" w:sz="0" w:space="0" w:color="auto"/>
      </w:divBdr>
    </w:div>
    <w:div w:id="1232158786">
      <w:bodyDiv w:val="1"/>
      <w:marLeft w:val="0"/>
      <w:marRight w:val="0"/>
      <w:marTop w:val="0"/>
      <w:marBottom w:val="0"/>
      <w:divBdr>
        <w:top w:val="none" w:sz="0" w:space="0" w:color="auto"/>
        <w:left w:val="none" w:sz="0" w:space="0" w:color="auto"/>
        <w:bottom w:val="none" w:sz="0" w:space="0" w:color="auto"/>
        <w:right w:val="none" w:sz="0" w:space="0" w:color="auto"/>
      </w:divBdr>
    </w:div>
    <w:div w:id="1267881288">
      <w:bodyDiv w:val="1"/>
      <w:marLeft w:val="0"/>
      <w:marRight w:val="0"/>
      <w:marTop w:val="0"/>
      <w:marBottom w:val="0"/>
      <w:divBdr>
        <w:top w:val="none" w:sz="0" w:space="0" w:color="auto"/>
        <w:left w:val="none" w:sz="0" w:space="0" w:color="auto"/>
        <w:bottom w:val="none" w:sz="0" w:space="0" w:color="auto"/>
        <w:right w:val="none" w:sz="0" w:space="0" w:color="auto"/>
      </w:divBdr>
    </w:div>
    <w:div w:id="1336415194">
      <w:bodyDiv w:val="1"/>
      <w:marLeft w:val="0"/>
      <w:marRight w:val="0"/>
      <w:marTop w:val="0"/>
      <w:marBottom w:val="0"/>
      <w:divBdr>
        <w:top w:val="none" w:sz="0" w:space="0" w:color="auto"/>
        <w:left w:val="none" w:sz="0" w:space="0" w:color="auto"/>
        <w:bottom w:val="none" w:sz="0" w:space="0" w:color="auto"/>
        <w:right w:val="none" w:sz="0" w:space="0" w:color="auto"/>
      </w:divBdr>
    </w:div>
    <w:div w:id="1343161115">
      <w:bodyDiv w:val="1"/>
      <w:marLeft w:val="0"/>
      <w:marRight w:val="0"/>
      <w:marTop w:val="0"/>
      <w:marBottom w:val="0"/>
      <w:divBdr>
        <w:top w:val="none" w:sz="0" w:space="0" w:color="auto"/>
        <w:left w:val="none" w:sz="0" w:space="0" w:color="auto"/>
        <w:bottom w:val="none" w:sz="0" w:space="0" w:color="auto"/>
        <w:right w:val="none" w:sz="0" w:space="0" w:color="auto"/>
      </w:divBdr>
    </w:div>
    <w:div w:id="1350637689">
      <w:bodyDiv w:val="1"/>
      <w:marLeft w:val="0"/>
      <w:marRight w:val="0"/>
      <w:marTop w:val="0"/>
      <w:marBottom w:val="0"/>
      <w:divBdr>
        <w:top w:val="none" w:sz="0" w:space="0" w:color="auto"/>
        <w:left w:val="none" w:sz="0" w:space="0" w:color="auto"/>
        <w:bottom w:val="none" w:sz="0" w:space="0" w:color="auto"/>
        <w:right w:val="none" w:sz="0" w:space="0" w:color="auto"/>
      </w:divBdr>
    </w:div>
    <w:div w:id="1379235291">
      <w:bodyDiv w:val="1"/>
      <w:marLeft w:val="0"/>
      <w:marRight w:val="0"/>
      <w:marTop w:val="0"/>
      <w:marBottom w:val="0"/>
      <w:divBdr>
        <w:top w:val="none" w:sz="0" w:space="0" w:color="auto"/>
        <w:left w:val="none" w:sz="0" w:space="0" w:color="auto"/>
        <w:bottom w:val="none" w:sz="0" w:space="0" w:color="auto"/>
        <w:right w:val="none" w:sz="0" w:space="0" w:color="auto"/>
      </w:divBdr>
    </w:div>
    <w:div w:id="1387417174">
      <w:bodyDiv w:val="1"/>
      <w:marLeft w:val="0"/>
      <w:marRight w:val="0"/>
      <w:marTop w:val="0"/>
      <w:marBottom w:val="0"/>
      <w:divBdr>
        <w:top w:val="none" w:sz="0" w:space="0" w:color="auto"/>
        <w:left w:val="none" w:sz="0" w:space="0" w:color="auto"/>
        <w:bottom w:val="none" w:sz="0" w:space="0" w:color="auto"/>
        <w:right w:val="none" w:sz="0" w:space="0" w:color="auto"/>
      </w:divBdr>
    </w:div>
    <w:div w:id="1388644472">
      <w:bodyDiv w:val="1"/>
      <w:marLeft w:val="0"/>
      <w:marRight w:val="0"/>
      <w:marTop w:val="0"/>
      <w:marBottom w:val="0"/>
      <w:divBdr>
        <w:top w:val="none" w:sz="0" w:space="0" w:color="auto"/>
        <w:left w:val="none" w:sz="0" w:space="0" w:color="auto"/>
        <w:bottom w:val="none" w:sz="0" w:space="0" w:color="auto"/>
        <w:right w:val="none" w:sz="0" w:space="0" w:color="auto"/>
      </w:divBdr>
    </w:div>
    <w:div w:id="1465078732">
      <w:bodyDiv w:val="1"/>
      <w:marLeft w:val="0"/>
      <w:marRight w:val="0"/>
      <w:marTop w:val="0"/>
      <w:marBottom w:val="0"/>
      <w:divBdr>
        <w:top w:val="none" w:sz="0" w:space="0" w:color="auto"/>
        <w:left w:val="none" w:sz="0" w:space="0" w:color="auto"/>
        <w:bottom w:val="none" w:sz="0" w:space="0" w:color="auto"/>
        <w:right w:val="none" w:sz="0" w:space="0" w:color="auto"/>
      </w:divBdr>
    </w:div>
    <w:div w:id="1475484913">
      <w:bodyDiv w:val="1"/>
      <w:marLeft w:val="0"/>
      <w:marRight w:val="0"/>
      <w:marTop w:val="0"/>
      <w:marBottom w:val="0"/>
      <w:divBdr>
        <w:top w:val="none" w:sz="0" w:space="0" w:color="auto"/>
        <w:left w:val="none" w:sz="0" w:space="0" w:color="auto"/>
        <w:bottom w:val="none" w:sz="0" w:space="0" w:color="auto"/>
        <w:right w:val="none" w:sz="0" w:space="0" w:color="auto"/>
      </w:divBdr>
    </w:div>
    <w:div w:id="1480346470">
      <w:bodyDiv w:val="1"/>
      <w:marLeft w:val="0"/>
      <w:marRight w:val="0"/>
      <w:marTop w:val="0"/>
      <w:marBottom w:val="0"/>
      <w:divBdr>
        <w:top w:val="none" w:sz="0" w:space="0" w:color="auto"/>
        <w:left w:val="none" w:sz="0" w:space="0" w:color="auto"/>
        <w:bottom w:val="none" w:sz="0" w:space="0" w:color="auto"/>
        <w:right w:val="none" w:sz="0" w:space="0" w:color="auto"/>
      </w:divBdr>
    </w:div>
    <w:div w:id="1482885320">
      <w:bodyDiv w:val="1"/>
      <w:marLeft w:val="0"/>
      <w:marRight w:val="0"/>
      <w:marTop w:val="0"/>
      <w:marBottom w:val="0"/>
      <w:divBdr>
        <w:top w:val="none" w:sz="0" w:space="0" w:color="auto"/>
        <w:left w:val="none" w:sz="0" w:space="0" w:color="auto"/>
        <w:bottom w:val="none" w:sz="0" w:space="0" w:color="auto"/>
        <w:right w:val="none" w:sz="0" w:space="0" w:color="auto"/>
      </w:divBdr>
    </w:div>
    <w:div w:id="1495220772">
      <w:bodyDiv w:val="1"/>
      <w:marLeft w:val="0"/>
      <w:marRight w:val="0"/>
      <w:marTop w:val="0"/>
      <w:marBottom w:val="0"/>
      <w:divBdr>
        <w:top w:val="none" w:sz="0" w:space="0" w:color="auto"/>
        <w:left w:val="none" w:sz="0" w:space="0" w:color="auto"/>
        <w:bottom w:val="none" w:sz="0" w:space="0" w:color="auto"/>
        <w:right w:val="none" w:sz="0" w:space="0" w:color="auto"/>
      </w:divBdr>
    </w:div>
    <w:div w:id="1521315011">
      <w:bodyDiv w:val="1"/>
      <w:marLeft w:val="0"/>
      <w:marRight w:val="0"/>
      <w:marTop w:val="0"/>
      <w:marBottom w:val="0"/>
      <w:divBdr>
        <w:top w:val="none" w:sz="0" w:space="0" w:color="auto"/>
        <w:left w:val="none" w:sz="0" w:space="0" w:color="auto"/>
        <w:bottom w:val="none" w:sz="0" w:space="0" w:color="auto"/>
        <w:right w:val="none" w:sz="0" w:space="0" w:color="auto"/>
      </w:divBdr>
      <w:divsChild>
        <w:div w:id="958534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709534">
      <w:bodyDiv w:val="1"/>
      <w:marLeft w:val="0"/>
      <w:marRight w:val="0"/>
      <w:marTop w:val="0"/>
      <w:marBottom w:val="0"/>
      <w:divBdr>
        <w:top w:val="none" w:sz="0" w:space="0" w:color="auto"/>
        <w:left w:val="none" w:sz="0" w:space="0" w:color="auto"/>
        <w:bottom w:val="none" w:sz="0" w:space="0" w:color="auto"/>
        <w:right w:val="none" w:sz="0" w:space="0" w:color="auto"/>
      </w:divBdr>
    </w:div>
    <w:div w:id="1539391087">
      <w:bodyDiv w:val="1"/>
      <w:marLeft w:val="0"/>
      <w:marRight w:val="0"/>
      <w:marTop w:val="0"/>
      <w:marBottom w:val="0"/>
      <w:divBdr>
        <w:top w:val="none" w:sz="0" w:space="0" w:color="auto"/>
        <w:left w:val="none" w:sz="0" w:space="0" w:color="auto"/>
        <w:bottom w:val="none" w:sz="0" w:space="0" w:color="auto"/>
        <w:right w:val="none" w:sz="0" w:space="0" w:color="auto"/>
      </w:divBdr>
    </w:div>
    <w:div w:id="1568688535">
      <w:bodyDiv w:val="1"/>
      <w:marLeft w:val="0"/>
      <w:marRight w:val="0"/>
      <w:marTop w:val="0"/>
      <w:marBottom w:val="0"/>
      <w:divBdr>
        <w:top w:val="none" w:sz="0" w:space="0" w:color="auto"/>
        <w:left w:val="none" w:sz="0" w:space="0" w:color="auto"/>
        <w:bottom w:val="none" w:sz="0" w:space="0" w:color="auto"/>
        <w:right w:val="none" w:sz="0" w:space="0" w:color="auto"/>
      </w:divBdr>
    </w:div>
    <w:div w:id="1617247763">
      <w:bodyDiv w:val="1"/>
      <w:marLeft w:val="0"/>
      <w:marRight w:val="0"/>
      <w:marTop w:val="0"/>
      <w:marBottom w:val="0"/>
      <w:divBdr>
        <w:top w:val="none" w:sz="0" w:space="0" w:color="auto"/>
        <w:left w:val="none" w:sz="0" w:space="0" w:color="auto"/>
        <w:bottom w:val="none" w:sz="0" w:space="0" w:color="auto"/>
        <w:right w:val="none" w:sz="0" w:space="0" w:color="auto"/>
      </w:divBdr>
    </w:div>
    <w:div w:id="1685984525">
      <w:bodyDiv w:val="1"/>
      <w:marLeft w:val="0"/>
      <w:marRight w:val="0"/>
      <w:marTop w:val="0"/>
      <w:marBottom w:val="0"/>
      <w:divBdr>
        <w:top w:val="none" w:sz="0" w:space="0" w:color="auto"/>
        <w:left w:val="none" w:sz="0" w:space="0" w:color="auto"/>
        <w:bottom w:val="none" w:sz="0" w:space="0" w:color="auto"/>
        <w:right w:val="none" w:sz="0" w:space="0" w:color="auto"/>
      </w:divBdr>
    </w:div>
    <w:div w:id="1710254399">
      <w:bodyDiv w:val="1"/>
      <w:marLeft w:val="0"/>
      <w:marRight w:val="0"/>
      <w:marTop w:val="0"/>
      <w:marBottom w:val="0"/>
      <w:divBdr>
        <w:top w:val="none" w:sz="0" w:space="0" w:color="auto"/>
        <w:left w:val="none" w:sz="0" w:space="0" w:color="auto"/>
        <w:bottom w:val="none" w:sz="0" w:space="0" w:color="auto"/>
        <w:right w:val="none" w:sz="0" w:space="0" w:color="auto"/>
      </w:divBdr>
    </w:div>
    <w:div w:id="1749843104">
      <w:bodyDiv w:val="1"/>
      <w:marLeft w:val="0"/>
      <w:marRight w:val="0"/>
      <w:marTop w:val="0"/>
      <w:marBottom w:val="0"/>
      <w:divBdr>
        <w:top w:val="none" w:sz="0" w:space="0" w:color="auto"/>
        <w:left w:val="none" w:sz="0" w:space="0" w:color="auto"/>
        <w:bottom w:val="none" w:sz="0" w:space="0" w:color="auto"/>
        <w:right w:val="none" w:sz="0" w:space="0" w:color="auto"/>
      </w:divBdr>
    </w:div>
    <w:div w:id="1750420137">
      <w:bodyDiv w:val="1"/>
      <w:marLeft w:val="0"/>
      <w:marRight w:val="0"/>
      <w:marTop w:val="0"/>
      <w:marBottom w:val="0"/>
      <w:divBdr>
        <w:top w:val="none" w:sz="0" w:space="0" w:color="auto"/>
        <w:left w:val="none" w:sz="0" w:space="0" w:color="auto"/>
        <w:bottom w:val="none" w:sz="0" w:space="0" w:color="auto"/>
        <w:right w:val="none" w:sz="0" w:space="0" w:color="auto"/>
      </w:divBdr>
    </w:div>
    <w:div w:id="1771584669">
      <w:bodyDiv w:val="1"/>
      <w:marLeft w:val="0"/>
      <w:marRight w:val="0"/>
      <w:marTop w:val="0"/>
      <w:marBottom w:val="0"/>
      <w:divBdr>
        <w:top w:val="none" w:sz="0" w:space="0" w:color="auto"/>
        <w:left w:val="none" w:sz="0" w:space="0" w:color="auto"/>
        <w:bottom w:val="none" w:sz="0" w:space="0" w:color="auto"/>
        <w:right w:val="none" w:sz="0" w:space="0" w:color="auto"/>
      </w:divBdr>
    </w:div>
    <w:div w:id="1866750355">
      <w:bodyDiv w:val="1"/>
      <w:marLeft w:val="0"/>
      <w:marRight w:val="0"/>
      <w:marTop w:val="0"/>
      <w:marBottom w:val="0"/>
      <w:divBdr>
        <w:top w:val="none" w:sz="0" w:space="0" w:color="auto"/>
        <w:left w:val="none" w:sz="0" w:space="0" w:color="auto"/>
        <w:bottom w:val="none" w:sz="0" w:space="0" w:color="auto"/>
        <w:right w:val="none" w:sz="0" w:space="0" w:color="auto"/>
      </w:divBdr>
    </w:div>
    <w:div w:id="1922056465">
      <w:bodyDiv w:val="1"/>
      <w:marLeft w:val="0"/>
      <w:marRight w:val="0"/>
      <w:marTop w:val="0"/>
      <w:marBottom w:val="0"/>
      <w:divBdr>
        <w:top w:val="none" w:sz="0" w:space="0" w:color="auto"/>
        <w:left w:val="none" w:sz="0" w:space="0" w:color="auto"/>
        <w:bottom w:val="none" w:sz="0" w:space="0" w:color="auto"/>
        <w:right w:val="none" w:sz="0" w:space="0" w:color="auto"/>
      </w:divBdr>
    </w:div>
    <w:div w:id="1930892388">
      <w:bodyDiv w:val="1"/>
      <w:marLeft w:val="0"/>
      <w:marRight w:val="0"/>
      <w:marTop w:val="0"/>
      <w:marBottom w:val="0"/>
      <w:divBdr>
        <w:top w:val="none" w:sz="0" w:space="0" w:color="auto"/>
        <w:left w:val="none" w:sz="0" w:space="0" w:color="auto"/>
        <w:bottom w:val="none" w:sz="0" w:space="0" w:color="auto"/>
        <w:right w:val="none" w:sz="0" w:space="0" w:color="auto"/>
      </w:divBdr>
    </w:div>
    <w:div w:id="1934557534">
      <w:bodyDiv w:val="1"/>
      <w:marLeft w:val="0"/>
      <w:marRight w:val="0"/>
      <w:marTop w:val="0"/>
      <w:marBottom w:val="0"/>
      <w:divBdr>
        <w:top w:val="none" w:sz="0" w:space="0" w:color="auto"/>
        <w:left w:val="none" w:sz="0" w:space="0" w:color="auto"/>
        <w:bottom w:val="none" w:sz="0" w:space="0" w:color="auto"/>
        <w:right w:val="none" w:sz="0" w:space="0" w:color="auto"/>
      </w:divBdr>
    </w:div>
    <w:div w:id="1959336119">
      <w:bodyDiv w:val="1"/>
      <w:marLeft w:val="0"/>
      <w:marRight w:val="0"/>
      <w:marTop w:val="0"/>
      <w:marBottom w:val="0"/>
      <w:divBdr>
        <w:top w:val="none" w:sz="0" w:space="0" w:color="auto"/>
        <w:left w:val="none" w:sz="0" w:space="0" w:color="auto"/>
        <w:bottom w:val="none" w:sz="0" w:space="0" w:color="auto"/>
        <w:right w:val="none" w:sz="0" w:space="0" w:color="auto"/>
      </w:divBdr>
    </w:div>
    <w:div w:id="1965579373">
      <w:bodyDiv w:val="1"/>
      <w:marLeft w:val="0"/>
      <w:marRight w:val="0"/>
      <w:marTop w:val="0"/>
      <w:marBottom w:val="0"/>
      <w:divBdr>
        <w:top w:val="none" w:sz="0" w:space="0" w:color="auto"/>
        <w:left w:val="none" w:sz="0" w:space="0" w:color="auto"/>
        <w:bottom w:val="none" w:sz="0" w:space="0" w:color="auto"/>
        <w:right w:val="none" w:sz="0" w:space="0" w:color="auto"/>
      </w:divBdr>
    </w:div>
    <w:div w:id="1968048523">
      <w:bodyDiv w:val="1"/>
      <w:marLeft w:val="0"/>
      <w:marRight w:val="0"/>
      <w:marTop w:val="0"/>
      <w:marBottom w:val="0"/>
      <w:divBdr>
        <w:top w:val="none" w:sz="0" w:space="0" w:color="auto"/>
        <w:left w:val="none" w:sz="0" w:space="0" w:color="auto"/>
        <w:bottom w:val="none" w:sz="0" w:space="0" w:color="auto"/>
        <w:right w:val="none" w:sz="0" w:space="0" w:color="auto"/>
      </w:divBdr>
    </w:div>
    <w:div w:id="1979914712">
      <w:bodyDiv w:val="1"/>
      <w:marLeft w:val="0"/>
      <w:marRight w:val="0"/>
      <w:marTop w:val="0"/>
      <w:marBottom w:val="0"/>
      <w:divBdr>
        <w:top w:val="none" w:sz="0" w:space="0" w:color="auto"/>
        <w:left w:val="none" w:sz="0" w:space="0" w:color="auto"/>
        <w:bottom w:val="none" w:sz="0" w:space="0" w:color="auto"/>
        <w:right w:val="none" w:sz="0" w:space="0" w:color="auto"/>
      </w:divBdr>
    </w:div>
    <w:div w:id="1980304982">
      <w:bodyDiv w:val="1"/>
      <w:marLeft w:val="0"/>
      <w:marRight w:val="0"/>
      <w:marTop w:val="0"/>
      <w:marBottom w:val="0"/>
      <w:divBdr>
        <w:top w:val="none" w:sz="0" w:space="0" w:color="auto"/>
        <w:left w:val="none" w:sz="0" w:space="0" w:color="auto"/>
        <w:bottom w:val="none" w:sz="0" w:space="0" w:color="auto"/>
        <w:right w:val="none" w:sz="0" w:space="0" w:color="auto"/>
      </w:divBdr>
    </w:div>
    <w:div w:id="2020690343">
      <w:bodyDiv w:val="1"/>
      <w:marLeft w:val="0"/>
      <w:marRight w:val="0"/>
      <w:marTop w:val="0"/>
      <w:marBottom w:val="0"/>
      <w:divBdr>
        <w:top w:val="none" w:sz="0" w:space="0" w:color="auto"/>
        <w:left w:val="none" w:sz="0" w:space="0" w:color="auto"/>
        <w:bottom w:val="none" w:sz="0" w:space="0" w:color="auto"/>
        <w:right w:val="none" w:sz="0" w:space="0" w:color="auto"/>
      </w:divBdr>
    </w:div>
    <w:div w:id="2032107331">
      <w:bodyDiv w:val="1"/>
      <w:marLeft w:val="0"/>
      <w:marRight w:val="0"/>
      <w:marTop w:val="0"/>
      <w:marBottom w:val="0"/>
      <w:divBdr>
        <w:top w:val="none" w:sz="0" w:space="0" w:color="auto"/>
        <w:left w:val="none" w:sz="0" w:space="0" w:color="auto"/>
        <w:bottom w:val="none" w:sz="0" w:space="0" w:color="auto"/>
        <w:right w:val="none" w:sz="0" w:space="0" w:color="auto"/>
      </w:divBdr>
    </w:div>
    <w:div w:id="2042855414">
      <w:bodyDiv w:val="1"/>
      <w:marLeft w:val="0"/>
      <w:marRight w:val="0"/>
      <w:marTop w:val="0"/>
      <w:marBottom w:val="0"/>
      <w:divBdr>
        <w:top w:val="none" w:sz="0" w:space="0" w:color="auto"/>
        <w:left w:val="none" w:sz="0" w:space="0" w:color="auto"/>
        <w:bottom w:val="none" w:sz="0" w:space="0" w:color="auto"/>
        <w:right w:val="none" w:sz="0" w:space="0" w:color="auto"/>
      </w:divBdr>
    </w:div>
    <w:div w:id="2043162689">
      <w:bodyDiv w:val="1"/>
      <w:marLeft w:val="0"/>
      <w:marRight w:val="0"/>
      <w:marTop w:val="0"/>
      <w:marBottom w:val="0"/>
      <w:divBdr>
        <w:top w:val="none" w:sz="0" w:space="0" w:color="auto"/>
        <w:left w:val="none" w:sz="0" w:space="0" w:color="auto"/>
        <w:bottom w:val="none" w:sz="0" w:space="0" w:color="auto"/>
        <w:right w:val="none" w:sz="0" w:space="0" w:color="auto"/>
      </w:divBdr>
    </w:div>
    <w:div w:id="2053573900">
      <w:bodyDiv w:val="1"/>
      <w:marLeft w:val="0"/>
      <w:marRight w:val="0"/>
      <w:marTop w:val="0"/>
      <w:marBottom w:val="0"/>
      <w:divBdr>
        <w:top w:val="none" w:sz="0" w:space="0" w:color="auto"/>
        <w:left w:val="none" w:sz="0" w:space="0" w:color="auto"/>
        <w:bottom w:val="none" w:sz="0" w:space="0" w:color="auto"/>
        <w:right w:val="none" w:sz="0" w:space="0" w:color="auto"/>
      </w:divBdr>
    </w:div>
    <w:div w:id="2060199334">
      <w:bodyDiv w:val="1"/>
      <w:marLeft w:val="0"/>
      <w:marRight w:val="0"/>
      <w:marTop w:val="0"/>
      <w:marBottom w:val="0"/>
      <w:divBdr>
        <w:top w:val="none" w:sz="0" w:space="0" w:color="auto"/>
        <w:left w:val="none" w:sz="0" w:space="0" w:color="auto"/>
        <w:bottom w:val="none" w:sz="0" w:space="0" w:color="auto"/>
        <w:right w:val="none" w:sz="0" w:space="0" w:color="auto"/>
      </w:divBdr>
    </w:div>
    <w:div w:id="207920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1951D-C7CD-485C-8365-90D025098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24</Pages>
  <Words>5950</Words>
  <Characters>35527</Characters>
  <Application>Microsoft Office Word</Application>
  <DocSecurity>0</DocSecurity>
  <Lines>657</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Hansen</dc:creator>
  <cp:keywords/>
  <dc:description/>
  <cp:lastModifiedBy>Jeffrey Hansen</cp:lastModifiedBy>
  <cp:revision>10</cp:revision>
  <cp:lastPrinted>2025-11-16T21:38:00Z</cp:lastPrinted>
  <dcterms:created xsi:type="dcterms:W3CDTF">2025-11-16T05:05:00Z</dcterms:created>
  <dcterms:modified xsi:type="dcterms:W3CDTF">2025-11-16T22:51:00Z</dcterms:modified>
</cp:coreProperties>
</file>