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  <w:t xml:space="preserve">An incident is a security event that compromises part of the CIA triad while a breach is an incident that results in confirmed disclosure instead of just the potential exposure of data to an unauthorized party.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What percentage were perpetrated by internal actors? 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69% of breaches were from outside actors and 34% involved internal actors.</w:t>
      </w:r>
    </w:p>
    <w:p w:rsidR="00000000" w:rsidDel="00000000" w:rsidP="00000000" w:rsidRDefault="00000000" w:rsidRPr="00000000" w14:paraId="00000006">
      <w:pPr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criminal groups? 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39% of breaches were perpetrated by organized criminal groups.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 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71% of breaches were financially motivated.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following: </w:t>
        <w:br w:type="textWrapping"/>
        <w:br w:type="textWrapping"/>
        <w:t xml:space="preserve">Denial of Service: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The act of denying an authorized user access to a machine or network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Command and Control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 server or machine used by an attacker to send commands to other machines that they have infected with malware.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A system where you can get into software or a network without going through its security precautions as well as gain high-level access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Keylogger: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A type of software that records the keystrokes made on a website or application</w:t>
      </w:r>
    </w:p>
    <w:p w:rsidR="00000000" w:rsidDel="00000000" w:rsidP="00000000" w:rsidRDefault="00000000" w:rsidRPr="00000000" w14:paraId="0000000A">
      <w:pPr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Minutes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phishing, which industry has the highest click rates?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