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BRD-2026-Q2: Comprehensive Lending Policy Overhaul</w:t>
      </w:r>
    </w:p>
    <w:p>
      <w:r>
        <w:t>Credit Policy Committee — Quarterly Review</w:t>
      </w:r>
    </w:p>
    <w:p>
      <w:r>
        <w:t>Effective Date: May 1, 2026</w:t>
      </w:r>
    </w:p>
    <w:p>
      <w:r>
        <w:t>Classification: Confidential</w:t>
      </w:r>
    </w:p>
    <w:p/>
    <w:p>
      <w:pPr>
        <w:pStyle w:val="Heading1"/>
      </w:pPr>
      <w:r>
        <w:t>1.0 Executive Summary</w:t>
      </w:r>
    </w:p>
    <w:p>
      <w:r>
        <w:t>This document captures all lending policy changes approved during the Q2 2026 Credit Policy Committee meeting. The changes span personal loans, business loans, and top-up loans across all customer segments (W-2, self-employed (1099), and non-W2 / self-employed premium tier). Key themes include tightening underwriting for high-risk segments, introducing geographic risk adjustments, implementing new fraud detection triggers, and revising pricing grids to reflect current cost of funds.</w:t>
      </w:r>
    </w:p>
    <w:p>
      <w:r>
        <w:t>This overhaul affects 37 distinct rules across eligibility, pricing, caps, thresholds, and scoring dimensions. All changes are mandatory and must be implemented in the decision engine by the effective date.</w:t>
      </w:r>
    </w:p>
    <w:p>
      <w:pPr>
        <w:pStyle w:val="Heading1"/>
      </w:pPr>
      <w:r>
        <w:t>2.0 Personal Loan — Eligibility Rules</w:t>
      </w:r>
    </w:p>
    <w:p>
      <w:pPr>
        <w:pStyle w:val="Heading2"/>
      </w:pPr>
      <w:r>
        <w:t>2.1 Bureau Score Requirements</w:t>
      </w:r>
    </w:p>
    <w:p>
      <w:r>
        <w:t>The minimum FICO bureau score for personal loan eligibility is revised as follows:</w:t>
        <w:br/>
        <w:t>• W-2 employees: Minimum bureau score raised from 650 to 680</w:t>
        <w:br/>
        <w:t>• Self-employed (1099) applicants: Minimum bureau score raised from 680 to 720</w:t>
        <w:br/>
        <w:t>• Non-W2 / Self-Employed Premium Tier: Minimum bureau score set at 750</w:t>
        <w:br/>
        <w:br/>
        <w:t>Applications below these thresholds must be auto-rejected with reason code 'BUREAU_BELOW_SEGMENT_MINIMUM' and an FCRA-compliant adverse-action notice will be issued.</w:t>
      </w:r>
    </w:p>
    <w:p>
      <w:pPr>
        <w:pStyle w:val="Heading2"/>
      </w:pPr>
      <w:r>
        <w:t>2.2 Income Requirements by City Tier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City Tier</w:t>
            </w:r>
          </w:p>
        </w:tc>
        <w:tc>
          <w:tcPr>
            <w:tcW w:type="dxa" w:w="2160"/>
          </w:tcPr>
          <w:p>
            <w:r>
              <w:t>W-2 Min Income</w:t>
            </w:r>
          </w:p>
        </w:tc>
        <w:tc>
          <w:tcPr>
            <w:tcW w:type="dxa" w:w="2160"/>
          </w:tcPr>
          <w:p>
            <w:r>
              <w:t>Self-Employed (1099) Min Income</w:t>
            </w:r>
          </w:p>
        </w:tc>
        <w:tc>
          <w:tcPr>
            <w:tcW w:type="dxa" w:w="2160"/>
          </w:tcPr>
          <w:p>
            <w:r>
              <w:t>Premium Tier Min Income</w:t>
            </w:r>
          </w:p>
        </w:tc>
      </w:tr>
      <w:tr>
        <w:tc>
          <w:tcPr>
            <w:tcW w:type="dxa" w:w="2160"/>
          </w:tcPr>
          <w:p>
            <w:r>
              <w:t>Tier 1 (Top-25 MSA)</w:t>
            </w:r>
          </w:p>
        </w:tc>
        <w:tc>
          <w:tcPr>
            <w:tcW w:type="dxa" w:w="2160"/>
          </w:tcPr>
          <w:p>
            <w:r>
              <w:t>$5,000</w:t>
            </w:r>
          </w:p>
        </w:tc>
        <w:tc>
          <w:tcPr>
            <w:tcW w:type="dxa" w:w="2160"/>
          </w:tcPr>
          <w:p>
            <w:r>
              <w:t>$8,000</w:t>
            </w:r>
          </w:p>
        </w:tc>
        <w:tc>
          <w:tcPr>
            <w:tcW w:type="dxa" w:w="2160"/>
          </w:tcPr>
          <w:p>
            <w:r>
              <w:t>$12,500</w:t>
            </w:r>
          </w:p>
        </w:tc>
      </w:tr>
      <w:tr>
        <w:tc>
          <w:tcPr>
            <w:tcW w:type="dxa" w:w="2160"/>
          </w:tcPr>
          <w:p>
            <w:r>
              <w:t>Tier 2 (Mid-sized MSA)</w:t>
            </w:r>
          </w:p>
        </w:tc>
        <w:tc>
          <w:tcPr>
            <w:tcW w:type="dxa" w:w="2160"/>
          </w:tcPr>
          <w:p>
            <w:r>
              <w:t>$4,200</w:t>
            </w:r>
          </w:p>
        </w:tc>
        <w:tc>
          <w:tcPr>
            <w:tcW w:type="dxa" w:w="2160"/>
          </w:tcPr>
          <w:p>
            <w:r>
              <w:t>$6,500</w:t>
            </w:r>
          </w:p>
        </w:tc>
        <w:tc>
          <w:tcPr>
            <w:tcW w:type="dxa" w:w="2160"/>
          </w:tcPr>
          <w:p>
            <w:r>
              <w:t>$10,000</w:t>
            </w:r>
          </w:p>
        </w:tc>
      </w:tr>
      <w:tr>
        <w:tc>
          <w:tcPr>
            <w:tcW w:type="dxa" w:w="2160"/>
          </w:tcPr>
          <w:p>
            <w:r>
              <w:t>Tier 3 (Small MSA / Rural)</w:t>
            </w:r>
          </w:p>
        </w:tc>
        <w:tc>
          <w:tcPr>
            <w:tcW w:type="dxa" w:w="2160"/>
          </w:tcPr>
          <w:p>
            <w:r>
              <w:t>$3,500</w:t>
            </w:r>
          </w:p>
        </w:tc>
        <w:tc>
          <w:tcPr>
            <w:tcW w:type="dxa" w:w="2160"/>
          </w:tcPr>
          <w:p>
            <w:r>
              <w:t>$5,800</w:t>
            </w:r>
          </w:p>
        </w:tc>
        <w:tc>
          <w:tcPr>
            <w:tcW w:type="dxa" w:w="2160"/>
          </w:tcPr>
          <w:p>
            <w:r>
              <w:t>$8,000</w:t>
            </w:r>
          </w:p>
        </w:tc>
      </w:tr>
      <w:tr>
        <w:tc>
          <w:tcPr>
            <w:tcW w:type="dxa" w:w="2160"/>
          </w:tcPr>
          <w:p>
            <w:r>
              <w:t>Rural / Non-MSA</w:t>
            </w:r>
          </w:p>
        </w:tc>
        <w:tc>
          <w:tcPr>
            <w:tcW w:type="dxa" w:w="2160"/>
          </w:tcPr>
          <w:p>
            <w:r>
              <w:t>$3,000</w:t>
            </w:r>
          </w:p>
        </w:tc>
        <w:tc>
          <w:tcPr>
            <w:tcW w:type="dxa" w:w="2160"/>
          </w:tcPr>
          <w:p>
            <w:r>
              <w:t>$5,000</w:t>
            </w:r>
          </w:p>
        </w:tc>
        <w:tc>
          <w:tcPr>
            <w:tcW w:type="dxa" w:w="2160"/>
          </w:tcPr>
          <w:p>
            <w:r>
              <w:t>Not eligible</w:t>
            </w:r>
          </w:p>
        </w:tc>
      </w:tr>
    </w:tbl>
    <w:p>
      <w:pPr>
        <w:pStyle w:val="Heading2"/>
      </w:pPr>
      <w:r>
        <w:t>2.3 Age Requirements</w:t>
      </w:r>
    </w:p>
    <w:p>
      <w:r>
        <w:t>Minimum age for personal loans is 21 years. Maximum age at loan maturity is 60 years for W-2 employees and 65 years for self-employed (1099).</w:t>
        <w:br/>
        <w:br/>
        <w:t>Applicants aged 21-24 are classified as 'Young Borrowers' and attract a 1.0% interest rate premium. Applicants above 55 require enhanced income verification and must be flagged for manual review.</w:t>
      </w:r>
    </w:p>
    <w:p>
      <w:pPr>
        <w:pStyle w:val="Heading2"/>
      </w:pPr>
      <w:r>
        <w:t>2.4 Employment Stability</w:t>
      </w:r>
    </w:p>
    <w:p>
      <w:r>
        <w:t>• W-2 employees: Minimum 12 months with current employer, OR 24 months total employment history across last 3 employers</w:t>
        <w:br/>
        <w:t>• Self-employed (1099): Minimum 36 months business vintage with filed tax returns (W-2 / 1099)</w:t>
        <w:br/>
        <w:t>• Non-W2 / Self-Employed Premium Tier: Minimum 24 months with current income source documented via tax returns</w:t>
        <w:br/>
        <w:br/>
        <w:t>Applicants not meeting these criteria should be rejected with reason 'INSUFFICIENT_EMPLOYMENT_STABILITY'.</w:t>
      </w:r>
    </w:p>
    <w:p>
      <w:pPr>
        <w:pStyle w:val="Heading1"/>
      </w:pPr>
      <w:r>
        <w:t>3.0 Personal Loan — Credit Behavior Gates</w:t>
      </w:r>
    </w:p>
    <w:p>
      <w:pPr>
        <w:pStyle w:val="Heading2"/>
      </w:pPr>
      <w:r>
        <w:t>3.1 Delinquency Rules</w:t>
      </w:r>
    </w:p>
    <w:p>
      <w:r>
        <w:t>The following hard stops apply based on credit bureau delinquency indicators:</w:t>
        <w:br/>
        <w:br/>
        <w:t>Rule D-01: Max DPD &gt; 60 days in last 12 months → Auto-reject</w:t>
        <w:br/>
        <w:t>Rule D-02: Max DPD &gt; 30 days AND max DPD &lt;= 60 days → Reduce eligible amount by 30%, flag for credit manager review</w:t>
        <w:br/>
        <w:t>Rule D-03: Any current overdue accounts (overdue_accounts &gt; 0) → Auto-reject</w:t>
        <w:br/>
        <w:t>Rule D-04: More than 1 write-off in bureau history → Auto-reject</w:t>
        <w:br/>
        <w:t>Rule D-05: Settled accounts &gt; 2 → Flag for manual review, reduce eligible amount by 20%</w:t>
      </w:r>
    </w:p>
    <w:p>
      <w:pPr>
        <w:pStyle w:val="Heading2"/>
      </w:pPr>
      <w:r>
        <w:t>3.2 Credit Inquiry Velocity</w:t>
      </w:r>
    </w:p>
    <w:p>
      <w:r>
        <w:t>Credit inquiry patterns indicate credit-seeking behavior:</w:t>
        <w:br/>
        <w:br/>
        <w:t>• More than 6 inquiries in last 3 months → Auto-reject (credit hungry)</w:t>
        <w:br/>
        <w:t>• 4-6 inquiries in last 3 months → Flag for enhanced due diligence</w:t>
        <w:br/>
        <w:t>• More than 10 inquiries in last 12 months → Auto-reject</w:t>
        <w:br/>
        <w:br/>
        <w:t>These rules apply across all product types and customer segments.</w:t>
      </w:r>
    </w:p>
    <w:p>
      <w:pPr>
        <w:pStyle w:val="Heading2"/>
      </w:pPr>
      <w:r>
        <w:t>3.3 Existing Debt Load</w:t>
      </w:r>
    </w:p>
    <w:p>
      <w:r>
        <w:t>To prevent over-leveraging:</w:t>
        <w:br/>
        <w:br/>
        <w:t>• Active unsecured loans &gt; 5 → Auto-reject</w:t>
        <w:br/>
        <w:t>• Active unsecured loans = 4-5 → Eligible amount reduced by 40%</w:t>
        <w:br/>
        <w:t>• Active unsecured loans = 3 → Eligible amount reduced by 15%</w:t>
        <w:br/>
        <w:t>• Total active loans (secured + unsecured) &gt; 8 → Auto-reject</w:t>
        <w:br/>
        <w:br/>
        <w:t>Additionally, credit utilization ratio above 85% should trigger an auto-reject. Between 70-85% should reduce eligible amount by 25%.</w:t>
      </w:r>
    </w:p>
    <w:p>
      <w:pPr>
        <w:pStyle w:val="Heading2"/>
      </w:pPr>
      <w:r>
        <w:t>3.4 Check / Payment Return Behavior</w:t>
      </w:r>
    </w:p>
    <w:p>
      <w:r>
        <w:t>Payment return history reflects payment discipline:</w:t>
        <w:br/>
        <w:br/>
        <w:t>• Check returns in last 6 months &gt; 3 → Auto-reject</w:t>
        <w:br/>
        <w:t>• Check returns in last 6 months = 2-3 → Flag + reduce eligible by 25%</w:t>
        <w:br/>
        <w:t>• Loan repayment returns in last 12 months &gt; 2 → Auto-reject</w:t>
        <w:br/>
        <w:t>• Loan repayment returns = 1-2 → Eligible amount reduced by 20%</w:t>
      </w:r>
    </w:p>
    <w:p>
      <w:pPr>
        <w:pStyle w:val="Heading1"/>
      </w:pPr>
      <w:r>
        <w:t>4.0 Interest Rate Pricing Grid</w:t>
      </w:r>
    </w:p>
    <w:p>
      <w:r>
        <w:t>The tiered pricing model replaces the flat-rate system: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Risk Band</w:t>
            </w:r>
          </w:p>
        </w:tc>
        <w:tc>
          <w:tcPr>
            <w:tcW w:type="dxa" w:w="2160"/>
          </w:tcPr>
          <w:p>
            <w:r>
              <w:t>Bureau Score Range</w:t>
            </w:r>
          </w:p>
        </w:tc>
        <w:tc>
          <w:tcPr>
            <w:tcW w:type="dxa" w:w="2160"/>
          </w:tcPr>
          <w:p>
            <w:r>
              <w:t>Base Rate</w:t>
            </w:r>
          </w:p>
        </w:tc>
        <w:tc>
          <w:tcPr>
            <w:tcW w:type="dxa" w:w="2160"/>
          </w:tcPr>
          <w:p>
            <w:r>
              <w:t>Effective Rate (with spread)</w:t>
            </w:r>
          </w:p>
        </w:tc>
      </w:tr>
      <w:tr>
        <w:tc>
          <w:tcPr>
            <w:tcW w:type="dxa" w:w="2160"/>
          </w:tcPr>
          <w:p>
            <w:r>
              <w:t>Ultra-Prime</w:t>
            </w:r>
          </w:p>
        </w:tc>
        <w:tc>
          <w:tcPr>
            <w:tcW w:type="dxa" w:w="2160"/>
          </w:tcPr>
          <w:p>
            <w:r>
              <w:t>800+</w:t>
            </w:r>
          </w:p>
        </w:tc>
        <w:tc>
          <w:tcPr>
            <w:tcW w:type="dxa" w:w="2160"/>
          </w:tcPr>
          <w:p>
            <w:r>
              <w:t>8.99%</w:t>
            </w:r>
          </w:p>
        </w:tc>
        <w:tc>
          <w:tcPr>
            <w:tcW w:type="dxa" w:w="2160"/>
          </w:tcPr>
          <w:p>
            <w:r>
              <w:t>9.99%</w:t>
            </w:r>
          </w:p>
        </w:tc>
      </w:tr>
      <w:tr>
        <w:tc>
          <w:tcPr>
            <w:tcW w:type="dxa" w:w="2160"/>
          </w:tcPr>
          <w:p>
            <w:r>
              <w:t>Prime</w:t>
            </w:r>
          </w:p>
        </w:tc>
        <w:tc>
          <w:tcPr>
            <w:tcW w:type="dxa" w:w="2160"/>
          </w:tcPr>
          <w:p>
            <w:r>
              <w:t>770-799</w:t>
            </w:r>
          </w:p>
        </w:tc>
        <w:tc>
          <w:tcPr>
            <w:tcW w:type="dxa" w:w="2160"/>
          </w:tcPr>
          <w:p>
            <w:r>
              <w:t>9.99%</w:t>
            </w:r>
          </w:p>
        </w:tc>
        <w:tc>
          <w:tcPr>
            <w:tcW w:type="dxa" w:w="2160"/>
          </w:tcPr>
          <w:p>
            <w:r>
              <w:t>10.99%</w:t>
            </w:r>
          </w:p>
        </w:tc>
      </w:tr>
      <w:tr>
        <w:tc>
          <w:tcPr>
            <w:tcW w:type="dxa" w:w="2160"/>
          </w:tcPr>
          <w:p>
            <w:r>
              <w:t>Near-Prime</w:t>
            </w:r>
          </w:p>
        </w:tc>
        <w:tc>
          <w:tcPr>
            <w:tcW w:type="dxa" w:w="2160"/>
          </w:tcPr>
          <w:p>
            <w:r>
              <w:t>740-769</w:t>
            </w:r>
          </w:p>
        </w:tc>
        <w:tc>
          <w:tcPr>
            <w:tcW w:type="dxa" w:w="2160"/>
          </w:tcPr>
          <w:p>
            <w:r>
              <w:t>11.99%</w:t>
            </w:r>
          </w:p>
        </w:tc>
        <w:tc>
          <w:tcPr>
            <w:tcW w:type="dxa" w:w="2160"/>
          </w:tcPr>
          <w:p>
            <w:r>
              <w:t>12.99%</w:t>
            </w:r>
          </w:p>
        </w:tc>
      </w:tr>
      <w:tr>
        <w:tc>
          <w:tcPr>
            <w:tcW w:type="dxa" w:w="2160"/>
          </w:tcPr>
          <w:p>
            <w:r>
              <w:t>Standard</w:t>
            </w:r>
          </w:p>
        </w:tc>
        <w:tc>
          <w:tcPr>
            <w:tcW w:type="dxa" w:w="2160"/>
          </w:tcPr>
          <w:p>
            <w:r>
              <w:t>710-739</w:t>
            </w:r>
          </w:p>
        </w:tc>
        <w:tc>
          <w:tcPr>
            <w:tcW w:type="dxa" w:w="2160"/>
          </w:tcPr>
          <w:p>
            <w:r>
              <w:t>13.99%</w:t>
            </w:r>
          </w:p>
        </w:tc>
        <w:tc>
          <w:tcPr>
            <w:tcW w:type="dxa" w:w="2160"/>
          </w:tcPr>
          <w:p>
            <w:r>
              <w:t>14.99%</w:t>
            </w:r>
          </w:p>
        </w:tc>
      </w:tr>
      <w:tr>
        <w:tc>
          <w:tcPr>
            <w:tcW w:type="dxa" w:w="2160"/>
          </w:tcPr>
          <w:p>
            <w:r>
              <w:t>Sub-Standard</w:t>
            </w:r>
          </w:p>
        </w:tc>
        <w:tc>
          <w:tcPr>
            <w:tcW w:type="dxa" w:w="2160"/>
          </w:tcPr>
          <w:p>
            <w:r>
              <w:t>680-709</w:t>
            </w:r>
          </w:p>
        </w:tc>
        <w:tc>
          <w:tcPr>
            <w:tcW w:type="dxa" w:w="2160"/>
          </w:tcPr>
          <w:p>
            <w:r>
              <w:t>15.99%</w:t>
            </w:r>
          </w:p>
        </w:tc>
        <w:tc>
          <w:tcPr>
            <w:tcW w:type="dxa" w:w="2160"/>
          </w:tcPr>
          <w:p>
            <w:r>
              <w:t>16.99%</w:t>
            </w:r>
          </w:p>
        </w:tc>
      </w:tr>
      <w:tr>
        <w:tc>
          <w:tcPr>
            <w:tcW w:type="dxa" w:w="2160"/>
          </w:tcPr>
          <w:p>
            <w:r>
              <w:t>High-Risk</w:t>
            </w:r>
          </w:p>
        </w:tc>
        <w:tc>
          <w:tcPr>
            <w:tcW w:type="dxa" w:w="2160"/>
          </w:tcPr>
          <w:p>
            <w:r>
              <w:t>650-679</w:t>
            </w:r>
          </w:p>
        </w:tc>
        <w:tc>
          <w:tcPr>
            <w:tcW w:type="dxa" w:w="2160"/>
          </w:tcPr>
          <w:p>
            <w:r>
              <w:t>17.99%</w:t>
            </w:r>
          </w:p>
        </w:tc>
        <w:tc>
          <w:tcPr>
            <w:tcW w:type="dxa" w:w="2160"/>
          </w:tcPr>
          <w:p>
            <w:r>
              <w:t>19.99%</w:t>
            </w:r>
          </w:p>
        </w:tc>
      </w:tr>
    </w:tbl>
    <w:p>
      <w:r>
        <w:br/>
        <w:t>Additional pricing adjustments:</w:t>
        <w:br/>
        <w:t>• Self-employed (1099) premium: +0.5% over base rate</w:t>
        <w:br/>
        <w:t>• Young borrower (age &lt; 25) premium: +1.0%</w:t>
        <w:br/>
        <w:t>• Non-W2 / Self-Employed Premium Tier premium: +0.75%</w:t>
        <w:br/>
        <w:t>• Repeat customer with clean history discount: -0.5%</w:t>
        <w:br/>
        <w:t>• Maximum rate cap per TILA / Reg Z and state usury rules: 35.99% — any calculated rate exceeding this must be capped and flagged for compliance review</w:t>
        <w:br/>
        <w:t>• Loan amount &gt; $50,000 with bureau score &lt; 750: +0.25% risk premium</w:t>
      </w:r>
    </w:p>
    <w:p>
      <w:pPr>
        <w:pStyle w:val="Heading1"/>
      </w:pPr>
      <w:r>
        <w:t>5.0 Loan Amount Caps &amp; Exposure Limits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Segment</w:t>
            </w:r>
          </w:p>
        </w:tc>
        <w:tc>
          <w:tcPr>
            <w:tcW w:type="dxa" w:w="2160"/>
          </w:tcPr>
          <w:p>
            <w:r>
              <w:t>Max Amount</w:t>
            </w:r>
          </w:p>
        </w:tc>
        <w:tc>
          <w:tcPr>
            <w:tcW w:type="dxa" w:w="2160"/>
          </w:tcPr>
          <w:p>
            <w:r>
              <w:t>Max Multiplier (of income)</w:t>
            </w:r>
          </w:p>
        </w:tc>
        <w:tc>
          <w:tcPr>
            <w:tcW w:type="dxa" w:w="2160"/>
          </w:tcPr>
          <w:p>
            <w:r>
              <w:t>Min Amount</w:t>
            </w:r>
          </w:p>
        </w:tc>
      </w:tr>
      <w:tr>
        <w:tc>
          <w:tcPr>
            <w:tcW w:type="dxa" w:w="2160"/>
          </w:tcPr>
          <w:p>
            <w:r>
              <w:t>W-2 - Tier 1 (Top-25 MSA)</w:t>
            </w:r>
          </w:p>
        </w:tc>
        <w:tc>
          <w:tcPr>
            <w:tcW w:type="dxa" w:w="2160"/>
          </w:tcPr>
          <w:p>
            <w:r>
              <w:t>$100,000</w:t>
            </w:r>
          </w:p>
        </w:tc>
        <w:tc>
          <w:tcPr>
            <w:tcW w:type="dxa" w:w="2160"/>
          </w:tcPr>
          <w:p>
            <w:r>
              <w:t>10x monthly income</w:t>
            </w:r>
          </w:p>
        </w:tc>
        <w:tc>
          <w:tcPr>
            <w:tcW w:type="dxa" w:w="2160"/>
          </w:tcPr>
          <w:p>
            <w:r>
              <w:t>$1,000</w:t>
            </w:r>
          </w:p>
        </w:tc>
      </w:tr>
      <w:tr>
        <w:tc>
          <w:tcPr>
            <w:tcW w:type="dxa" w:w="2160"/>
          </w:tcPr>
          <w:p>
            <w:r>
              <w:t>W-2 - Tier 2/3</w:t>
            </w:r>
          </w:p>
        </w:tc>
        <w:tc>
          <w:tcPr>
            <w:tcW w:type="dxa" w:w="2160"/>
          </w:tcPr>
          <w:p>
            <w:r>
              <w:t>$50,000</w:t>
            </w:r>
          </w:p>
        </w:tc>
        <w:tc>
          <w:tcPr>
            <w:tcW w:type="dxa" w:w="2160"/>
          </w:tcPr>
          <w:p>
            <w:r>
              <w:t>8x monthly income</w:t>
            </w:r>
          </w:p>
        </w:tc>
        <w:tc>
          <w:tcPr>
            <w:tcW w:type="dxa" w:w="2160"/>
          </w:tcPr>
          <w:p>
            <w:r>
              <w:t>$1,000</w:t>
            </w:r>
          </w:p>
        </w:tc>
      </w:tr>
      <w:tr>
        <w:tc>
          <w:tcPr>
            <w:tcW w:type="dxa" w:w="2160"/>
          </w:tcPr>
          <w:p>
            <w:r>
              <w:t>Self-Employed (1099)</w:t>
            </w:r>
          </w:p>
        </w:tc>
        <w:tc>
          <w:tcPr>
            <w:tcW w:type="dxa" w:w="2160"/>
          </w:tcPr>
          <w:p>
            <w:r>
              <w:t>$40,000</w:t>
            </w:r>
          </w:p>
        </w:tc>
        <w:tc>
          <w:tcPr>
            <w:tcW w:type="dxa" w:w="2160"/>
          </w:tcPr>
          <w:p>
            <w:r>
              <w:t>6x monthly income</w:t>
            </w:r>
          </w:p>
        </w:tc>
        <w:tc>
          <w:tcPr>
            <w:tcW w:type="dxa" w:w="2160"/>
          </w:tcPr>
          <w:p>
            <w:r>
              <w:t>$5,000</w:t>
            </w:r>
          </w:p>
        </w:tc>
      </w:tr>
      <w:tr>
        <w:tc>
          <w:tcPr>
            <w:tcW w:type="dxa" w:w="2160"/>
          </w:tcPr>
          <w:p>
            <w:r>
              <w:t>Non-W2 Premium Tier</w:t>
            </w:r>
          </w:p>
        </w:tc>
        <w:tc>
          <w:tcPr>
            <w:tcW w:type="dxa" w:w="2160"/>
          </w:tcPr>
          <w:p>
            <w:r>
              <w:t>$75,000</w:t>
            </w:r>
          </w:p>
        </w:tc>
        <w:tc>
          <w:tcPr>
            <w:tcW w:type="dxa" w:w="2160"/>
          </w:tcPr>
          <w:p>
            <w:r>
              <w:t>8x monthly income</w:t>
            </w:r>
          </w:p>
        </w:tc>
        <w:tc>
          <w:tcPr>
            <w:tcW w:type="dxa" w:w="2160"/>
          </w:tcPr>
          <w:p>
            <w:r>
              <w:t>$10,000</w:t>
            </w:r>
          </w:p>
        </w:tc>
      </w:tr>
    </w:tbl>
    <w:p>
      <w:r>
        <w:br/>
        <w:t>The eligible amount must be capped at the LOWER of:</w:t>
        <w:br/>
        <w:t>1. Segment maximum amount (table above)</w:t>
        <w:br/>
        <w:t>2. Income multiplier × monthly income</w:t>
        <w:br/>
        <w:t>3. Amount where the monthly payment does not cause DTI to exceed the segment DTI cap (note: the CFPB QM rule sets 43% as a regulatory benchmark)</w:t>
        <w:br/>
        <w:br/>
        <w:t>If desired_amount exceeds any of these, set eligible_amount to the calculated maximum. Do NOT reject — approve for the lower amount.</w:t>
      </w:r>
    </w:p>
    <w:p>
      <w:pPr>
        <w:pStyle w:val="Heading1"/>
      </w:pPr>
      <w:r>
        <w:t>6.0 DTI Ratio &amp; Affordability Rules</w:t>
      </w:r>
    </w:p>
    <w:p>
      <w:r>
        <w:t>Debt-to-income ratio caps by risk band (note: the CFPB QM rule treats 43% as a regulatory benchmark for ability-to-repay determinations):</w:t>
        <w:br/>
        <w:br/>
        <w:t>• Ultra-Prime / Prime (bureau &gt;= 770): DTI cap at 55%</w:t>
        <w:br/>
        <w:t>• Near-Prime (bureau 740-769): DTI cap at 50%</w:t>
        <w:br/>
        <w:t>• Standard (bureau 710-739): DTI cap at 45%</w:t>
        <w:br/>
        <w:t>• Sub-Standard (bureau 680-709): DTI cap at 40%</w:t>
        <w:br/>
        <w:t>• Self-employed (1099) across all bands: DTI cap reduced by 5% from W-2</w:t>
        <w:br/>
        <w:br/>
        <w:t>Net monthly surplus after all monthly payments (including proposed installment) must be at least $1,500 for Tier 1 (Top-25 MSA) markets and $1,000 for Tier 2/3 markets. Applications failing this should be rejected with 'INSUFFICIENT_SURPLUS'.</w:t>
      </w:r>
    </w:p>
    <w:p>
      <w:pPr>
        <w:pStyle w:val="Heading1"/>
      </w:pPr>
      <w:r>
        <w:t>7.0 Banking Behavior &amp; Stability</w:t>
      </w:r>
    </w:p>
    <w:p>
      <w:r>
        <w:t>Banking behavior provides early warning signals (data sourced via open banking aggregator (Plaid / MX / Finicity)):</w:t>
        <w:br/>
        <w:br/>
        <w:t>• Banking stability index &lt; 0.50 → Auto-reject (severe instability)</w:t>
        <w:br/>
        <w:t>• Banking stability index 0.50-0.65 → Flag for review + reduce amount by 20%</w:t>
        <w:br/>
        <w:t>• Direct deposit consistency &lt; 60% (0.60) over 6 months → Auto-reject for W-2</w:t>
        <w:br/>
        <w:t>• Average monthly balance &lt; 50% of monthly payment obligation → Flag for review</w:t>
        <w:br/>
        <w:t>• Account vintage &lt; 6 months → Auto-reject (new account)</w:t>
        <w:br/>
        <w:t>• Low balance instances &gt; 5 in last 6 months → Flag for review</w:t>
        <w:br/>
        <w:br/>
        <w:t>For self-employed (1099), banking stability index minimum is 0.65 (higher bar).</w:t>
      </w:r>
    </w:p>
    <w:p>
      <w:pPr>
        <w:pStyle w:val="Heading1"/>
      </w:pPr>
      <w:r>
        <w:t>8.0 Fraud Detection &amp; AML Triggers</w:t>
      </w:r>
    </w:p>
    <w:p>
      <w:r>
        <w:t>The following patterns must trigger fraud investigation holds:</w:t>
        <w:br/>
        <w:br/>
        <w:t>• Cash deposits in last 6 months &gt; $40,000 → AML flag, hold for compliance</w:t>
        <w:br/>
        <w:t>• Transaction volatility index &gt; 0.80 → Flag for fraud review</w:t>
        <w:br/>
        <w:t>• Monthly income stated &gt; 3x of average direct deposit → Income inflation flag</w:t>
        <w:br/>
        <w:t>• Multiple applications from same SSN in 30 days → Velocity flag, hold</w:t>
        <w:br/>
        <w:br/>
        <w:t>Flagged applications must NOT be auto-approved regardless of other criteria.</w:t>
      </w:r>
    </w:p>
    <w:p>
      <w:pPr>
        <w:pStyle w:val="Heading1"/>
      </w:pPr>
      <w:r>
        <w:t>9.0 Internal Scoring Model Thresholds</w:t>
      </w:r>
    </w:p>
    <w:p>
      <w:r>
        <w:t>Our internal scoring models (G5 and G6) provide additional risk signals:</w:t>
        <w:br/>
        <w:br/>
        <w:t>• G5 score &lt; 400 → Auto-reject</w:t>
        <w:br/>
        <w:t>• G5 score 400-500 → Reduce eligible amount by 20%, flag for review</w:t>
        <w:br/>
        <w:t>• G5 score &gt; 700 → Qualifies for premium pricing tier</w:t>
        <w:br/>
        <w:br/>
        <w:t>• G6 score &lt; 450 → Auto-reject</w:t>
        <w:br/>
        <w:t>• G6 score 450-550 → Flag for enhanced review</w:t>
        <w:br/>
        <w:t>• G6 score &gt; 750 → Additional 10% eligible amount increase</w:t>
        <w:br/>
        <w:br/>
        <w:t>Both G5 and G6 must be above their minimum thresholds. Failure on either triggers the corresponding action.</w:t>
      </w:r>
    </w:p>
    <w:p>
      <w:pPr>
        <w:pStyle w:val="Heading1"/>
      </w:pPr>
      <w:r>
        <w:t>10.0 Top-Up Loan Specific Rules</w:t>
      </w:r>
    </w:p>
    <w:p>
      <w:r>
        <w:t>For top-up loans on existing personal loans:</w:t>
        <w:br/>
        <w:br/>
        <w:t>• Must have completed at least 12 monthly payments on existing loan</w:t>
        <w:br/>
        <w:t>• No DPD &gt; 0 in last 6 months on existing loan</w:t>
        <w:br/>
        <w:t>• Top-up amount limited to 50% of original loan amount</w:t>
        <w:br/>
        <w:t>• Bureau score must be at or above original approval score</w:t>
        <w:br/>
        <w:t>• Interest rate for top-up = original rate + 0.5%</w:t>
        <w:br/>
        <w:t>• Not available for self-employed (1099) applicants with banking stability &lt; 0.70</w:t>
      </w:r>
    </w:p>
    <w:p>
      <w:pPr>
        <w:pStyle w:val="Heading1"/>
      </w:pPr>
      <w:r>
        <w:t>11.0 Geographic Risk Adjustments</w:t>
      </w:r>
    </w:p>
    <w:p>
      <w:r>
        <w:t>Based on regional portfolio performance:</w:t>
        <w:br/>
        <w:br/>
        <w:t>• Rural / Non-MSA areas: Maximum loan amount capped at $15,000</w:t>
        <w:br/>
        <w:t>• Rural / Non-MSA: Employment tenure minimum increased to 36 months</w:t>
        <w:br/>
        <w:t>• Rural / Non-MSA: Bureau score minimum increased to 720</w:t>
        <w:br/>
        <w:t>• High-default ZIP codes (list maintained separately): +1.5% rate premium, maximum amount reduced by 30%</w:t>
        <w:br/>
        <w:br/>
        <w:t>• Tier 1 (Top-25 MSA) applicants with bureau &gt; 780 and income &gt; $15,000: Eligible for express approval (bypass manual review)</w:t>
      </w:r>
    </w:p>
    <w:p>
      <w:pPr>
        <w:pStyle w:val="Heading1"/>
      </w:pPr>
      <w:r>
        <w:t>12.0 Implementation &amp; Timeline</w:t>
      </w:r>
    </w:p>
    <w:p>
      <w:r>
        <w:t>Phase 1 (Week 1-2): Rule engine configuration</w:t>
        <w:br/>
        <w:t>Phase 2 (Week 3): Integration testing with sample portfolio</w:t>
        <w:br/>
        <w:t>Phase 3 (Week 4): UAT with business stakeholders</w:t>
        <w:br/>
        <w:t>Phase 4 (Week 5): Shadow mode — parallel run with existing rules</w:t>
        <w:br/>
        <w:t>Phase 5 (Week 6): Production deployment with monitoring</w:t>
        <w:br/>
        <w:br/>
        <w:t>Rollback plan: Maintain ability to revert to previous rule set for 90 days.</w:t>
      </w:r>
    </w:p>
    <w:p>
      <w:pPr>
        <w:pStyle w:val="Heading1"/>
      </w:pPr>
      <w:r>
        <w:t>13.0 Approval &amp; Sign-Off</w:t>
      </w:r>
    </w:p>
    <w:p>
      <w:r>
        <w:t>This BRD has been reviewed and approved by:</w:t>
        <w:br/>
        <w:t>• Chief Risk Officer — Risk &amp; Compliance</w:t>
        <w:br/>
        <w:t>• Head of Credit Policy — Underwriting</w:t>
        <w:br/>
        <w:t>• Chief Technology Officer — Implementation</w:t>
        <w:br/>
        <w:t>• Head of Products — Business Impact</w:t>
        <w:br/>
        <w:br/>
        <w:t>All changes are mandatory. Exceptions require CRO approval.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