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Quarterly Policy Revision - Q2 2026</w:t>
      </w:r>
    </w:p>
    <w:p>
      <w:r>
        <w:t>Credit Policy Committee Decision Record</w:t>
      </w:r>
    </w:p>
    <w:p>
      <w:r>
        <w:t>Date: April 2026</w:t>
      </w:r>
    </w:p>
    <w:p/>
    <w:p>
      <w:r>
        <w:t>This document captures all lending policy changes approved in the Q2 2026 Credit Policy Committee meeting held on April 5, 2026. Changes are effective from April 15, 2026 unless otherwise noted.</w:t>
      </w:r>
    </w:p>
    <w:p>
      <w:pPr>
        <w:pStyle w:val="Heading1"/>
      </w:pPr>
      <w:r>
        <w:t>Change 1: Young Borrower Premium</w:t>
      </w:r>
    </w:p>
    <w:p>
      <w:r>
        <w:t>Applicants under 25 years of age will attract a 1.5% interest rate premium on top of their risk-band rate. This applies only to first-time borrowers (repeat_type = 'NEW'). The rationale is the higher delinquency observed in this age group (14.2% vs portfolio average 7.8%).</w:t>
        <w:br/>
        <w:br/>
        <w:t>Conditions: age &lt; 25 AND repeat_type == 'NEW'</w:t>
        <w:br/>
        <w:t>Action: interest_rate += 1.5%</w:t>
      </w:r>
    </w:p>
    <w:p>
      <w:pPr>
        <w:pStyle w:val="Heading1"/>
      </w:pPr>
      <w:r>
        <w:t>Change 2: Repeat Borrower Benefit</w:t>
      </w:r>
    </w:p>
    <w:p>
      <w:r>
        <w:t>Existing customers with at least one successfully closed loan and no overdue history will receive a 0.5% interest rate discount and a 20% increase in maximum eligible amount.</w:t>
        <w:br/>
        <w:br/>
        <w:t>Conditions: repeat_type == 'REPEAT' AND closed_loans &gt;= 1 AND overdue_accounts == 0</w:t>
        <w:br/>
        <w:t>Actions:</w:t>
        <w:br/>
        <w:t xml:space="preserve">  - interest_rate -= 0.5%</w:t>
        <w:br/>
        <w:t xml:space="preserve">  - eligible_amount *= 1.20 (20% increase)</w:t>
      </w:r>
    </w:p>
    <w:p>
      <w:pPr>
        <w:pStyle w:val="Heading1"/>
      </w:pPr>
      <w:r>
        <w:t>Change 3: High DTI Warning</w:t>
      </w:r>
    </w:p>
    <w:p>
      <w:r>
        <w:t>Applications where the debt-to-income ratio exceeds 40% but is below the rejection threshold should be flagged for manual credit review rather than auto-approved. Currently these are auto-approved if other criteria are met.</w:t>
        <w:br/>
        <w:br/>
        <w:t>Condition: dti_ratio &gt; 0.40 AND dti_ratio &lt;= 0.50</w:t>
        <w:br/>
        <w:t>Action: Flag for manual review (do not auto-approve)</w:t>
      </w:r>
    </w:p>
    <w:p>
      <w:pPr>
        <w:pStyle w:val="Heading1"/>
      </w:pPr>
      <w:r>
        <w:t>Change 4: City Tier 3 Restrictions</w:t>
      </w:r>
    </w:p>
    <w:p>
      <w:r>
        <w:t>For applications from Tier 3 (Small MSA / Rural) markets, apply the following additional restrictions:</w:t>
        <w:br/>
        <w:t>• Maximum loan amount capped at $20,000</w:t>
        <w:br/>
        <w:t>• Minimum employment tenure increased to 24 months (from 12)</w:t>
        <w:br/>
        <w:t>• Minimum bureau score increased to 720 (from 680)</w:t>
        <w:br/>
        <w:br/>
        <w:t>These restrictions aim to address the 22% higher default rate observed in Tier 3 market applications.</w:t>
      </w:r>
    </w:p>
    <w:p>
      <w:pPr>
        <w:pStyle w:val="Heading1"/>
      </w:pPr>
      <w:r>
        <w:t>Change 5: Digital Lending Scorecard</w:t>
      </w:r>
    </w:p>
    <w:p>
      <w:r>
        <w:t>Introduce a net monthly surplus floor of $1,500 for all applications. Applicants whose calculated net monthly surplus (income minus all obligations) falls below $1,500 should be rejected regardless of other criteria.</w:t>
        <w:br/>
        <w:br/>
        <w:t>Additionally, applicants with a transaction volatility index above 0.75 should be flagged for enhanced due diligence.</w:t>
      </w:r>
    </w:p>
    <w:p>
      <w:pPr>
        <w:pStyle w:val="Heading1"/>
      </w:pPr>
      <w:r>
        <w:t>Change 6: Payment Return Protection</w:t>
      </w:r>
    </w:p>
    <w:p>
      <w:r>
        <w:t>Applicants with more than 2 loan repayment bounces in the last 12 months should be auto-rejected. Those with exactly 1-2 returns should have their eligible amount reduced by 25%.</w:t>
        <w:br/>
        <w:br/>
        <w:t>Condition 1: loan_repayment_bounces_12m &gt; 2 → REJECT</w:t>
        <w:br/>
        <w:t>Condition 2: loan_repayment_bounces_12m &gt;= 1 AND loan_repayment_bounces_12m &lt;= 2 → eligible_amount *= 0.75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646464"/>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