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BRD-2026-003: Credit Risk Scoring Model Update</w:t>
      </w:r>
    </w:p>
    <w:p>
      <w:r>
        <w:t>Risk Analytics Division</w:t>
      </w:r>
    </w:p>
    <w:p>
      <w:r>
        <w:t>Date: February 2026</w:t>
      </w:r>
    </w:p>
    <w:p/>
    <w:p>
      <w:pPr>
        <w:pStyle w:val="Heading1"/>
      </w:pPr>
      <w:r>
        <w:t>Purpose</w:t>
      </w:r>
    </w:p>
    <w:p>
      <w:r>
        <w:t>Update the credit risk scoring thresholds and introduce new risk bands to align with the revised regulatory guidelines from CFPB Bulletin 2025-04. This impacts eligibility, pricing, and exposure limits across all unsecured lending products.</w:t>
      </w:r>
    </w:p>
    <w:p>
      <w:pPr>
        <w:pStyle w:val="Heading1"/>
      </w:pPr>
      <w:r>
        <w:t>New Risk Band Definitions</w:t>
      </w:r>
    </w:p>
    <w:p>
      <w:r>
        <w:t>The following risk bands replace the existing 3-tier system with a 5-tier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Band</w:t>
            </w:r>
          </w:p>
        </w:tc>
        <w:tc>
          <w:tcPr>
            <w:tcW w:type="dxa" w:w="1728"/>
          </w:tcPr>
          <w:p>
            <w:r>
              <w:t>Bureau Score</w:t>
            </w:r>
          </w:p>
        </w:tc>
        <w:tc>
          <w:tcPr>
            <w:tcW w:type="dxa" w:w="1728"/>
          </w:tcPr>
          <w:p>
            <w:r>
              <w:t>Max DTI</w:t>
            </w:r>
          </w:p>
        </w:tc>
        <w:tc>
          <w:tcPr>
            <w:tcW w:type="dxa" w:w="1728"/>
          </w:tcPr>
          <w:p>
            <w:r>
              <w:t>Interest Rate</w:t>
            </w:r>
          </w:p>
        </w:tc>
        <w:tc>
          <w:tcPr>
            <w:tcW w:type="dxa" w:w="1728"/>
          </w:tcPr>
          <w:p>
            <w:r>
              <w:t>Max Exposure</w:t>
            </w:r>
          </w:p>
        </w:tc>
      </w:tr>
      <w:tr>
        <w:tc>
          <w:tcPr>
            <w:tcW w:type="dxa" w:w="1728"/>
          </w:tcPr>
          <w:p>
            <w:r>
              <w:t>Prime</w:t>
            </w:r>
          </w:p>
        </w:tc>
        <w:tc>
          <w:tcPr>
            <w:tcW w:type="dxa" w:w="1728"/>
          </w:tcPr>
          <w:p>
            <w:r>
              <w:t>800+</w:t>
            </w:r>
          </w:p>
        </w:tc>
        <w:tc>
          <w:tcPr>
            <w:tcW w:type="dxa" w:w="1728"/>
          </w:tcPr>
          <w:p>
            <w:r>
              <w:t>50%</w:t>
            </w:r>
          </w:p>
        </w:tc>
        <w:tc>
          <w:tcPr>
            <w:tcW w:type="dxa" w:w="1728"/>
          </w:tcPr>
          <w:p>
            <w:r>
              <w:t>9.99%</w:t>
            </w:r>
          </w:p>
        </w:tc>
        <w:tc>
          <w:tcPr>
            <w:tcW w:type="dxa" w:w="1728"/>
          </w:tcPr>
          <w:p>
            <w:r>
              <w:t>$100,000</w:t>
            </w:r>
          </w:p>
        </w:tc>
      </w:tr>
      <w:tr>
        <w:tc>
          <w:tcPr>
            <w:tcW w:type="dxa" w:w="1728"/>
          </w:tcPr>
          <w:p>
            <w:r>
              <w:t>Near-Prime</w:t>
            </w:r>
          </w:p>
        </w:tc>
        <w:tc>
          <w:tcPr>
            <w:tcW w:type="dxa" w:w="1728"/>
          </w:tcPr>
          <w:p>
            <w:r>
              <w:t>750-799</w:t>
            </w:r>
          </w:p>
        </w:tc>
        <w:tc>
          <w:tcPr>
            <w:tcW w:type="dxa" w:w="1728"/>
          </w:tcPr>
          <w:p>
            <w:r>
              <w:t>45%</w:t>
            </w:r>
          </w:p>
        </w:tc>
        <w:tc>
          <w:tcPr>
            <w:tcW w:type="dxa" w:w="1728"/>
          </w:tcPr>
          <w:p>
            <w:r>
              <w:t>12.49%</w:t>
            </w:r>
          </w:p>
        </w:tc>
        <w:tc>
          <w:tcPr>
            <w:tcW w:type="dxa" w:w="1728"/>
          </w:tcPr>
          <w:p>
            <w:r>
              <w:t>$50,000</w:t>
            </w:r>
          </w:p>
        </w:tc>
      </w:tr>
      <w:tr>
        <w:tc>
          <w:tcPr>
            <w:tcW w:type="dxa" w:w="1728"/>
          </w:tcPr>
          <w:p>
            <w:r>
              <w:t>Standard</w:t>
            </w:r>
          </w:p>
        </w:tc>
        <w:tc>
          <w:tcPr>
            <w:tcW w:type="dxa" w:w="1728"/>
          </w:tcPr>
          <w:p>
            <w:r>
              <w:t>700-749</w:t>
            </w:r>
          </w:p>
        </w:tc>
        <w:tc>
          <w:tcPr>
            <w:tcW w:type="dxa" w:w="1728"/>
          </w:tcPr>
          <w:p>
            <w:r>
              <w:t>40%</w:t>
            </w:r>
          </w:p>
        </w:tc>
        <w:tc>
          <w:tcPr>
            <w:tcW w:type="dxa" w:w="1728"/>
          </w:tcPr>
          <w:p>
            <w:r>
              <w:t>14.99%</w:t>
            </w:r>
          </w:p>
        </w:tc>
        <w:tc>
          <w:tcPr>
            <w:tcW w:type="dxa" w:w="1728"/>
          </w:tcPr>
          <w:p>
            <w:r>
              <w:t>$40,000</w:t>
            </w:r>
          </w:p>
        </w:tc>
      </w:tr>
      <w:tr>
        <w:tc>
          <w:tcPr>
            <w:tcW w:type="dxa" w:w="1728"/>
          </w:tcPr>
          <w:p>
            <w:r>
              <w:t>Sub-Standard</w:t>
            </w:r>
          </w:p>
        </w:tc>
        <w:tc>
          <w:tcPr>
            <w:tcW w:type="dxa" w:w="1728"/>
          </w:tcPr>
          <w:p>
            <w:r>
              <w:t>680-699</w:t>
            </w:r>
          </w:p>
        </w:tc>
        <w:tc>
          <w:tcPr>
            <w:tcW w:type="dxa" w:w="1728"/>
          </w:tcPr>
          <w:p>
            <w:r>
              <w:t>35%</w:t>
            </w:r>
          </w:p>
        </w:tc>
        <w:tc>
          <w:tcPr>
            <w:tcW w:type="dxa" w:w="1728"/>
          </w:tcPr>
          <w:p>
            <w:r>
              <w:t>16.99%</w:t>
            </w:r>
          </w:p>
        </w:tc>
        <w:tc>
          <w:tcPr>
            <w:tcW w:type="dxa" w:w="1728"/>
          </w:tcPr>
          <w:p>
            <w:r>
              <w:t>$20,000</w:t>
            </w:r>
          </w:p>
        </w:tc>
      </w:tr>
      <w:tr>
        <w:tc>
          <w:tcPr>
            <w:tcW w:type="dxa" w:w="1728"/>
          </w:tcPr>
          <w:p>
            <w:r>
              <w:t>Decline</w:t>
            </w:r>
          </w:p>
        </w:tc>
        <w:tc>
          <w:tcPr>
            <w:tcW w:type="dxa" w:w="1728"/>
          </w:tcPr>
          <w:p>
            <w:r>
              <w:t>Below 680</w:t>
            </w:r>
          </w:p>
        </w:tc>
        <w:tc>
          <w:tcPr>
            <w:tcW w:type="dxa" w:w="1728"/>
          </w:tcPr>
          <w:p>
            <w:r>
              <w:t>N/A</w:t>
            </w:r>
          </w:p>
        </w:tc>
        <w:tc>
          <w:tcPr>
            <w:tcW w:type="dxa" w:w="1728"/>
          </w:tcPr>
          <w:p>
            <w:r>
              <w:t>N/A</w:t>
            </w:r>
          </w:p>
        </w:tc>
        <w:tc>
          <w:tcPr>
            <w:tcW w:type="dxa" w:w="1728"/>
          </w:tcPr>
          <w:p>
            <w:r>
              <w:t>$0 (Auto-reject)</w:t>
            </w:r>
          </w:p>
        </w:tc>
      </w:tr>
    </w:tbl>
    <w:p>
      <w:pPr>
        <w:pStyle w:val="Heading1"/>
      </w:pPr>
      <w:r>
        <w:t>Additional Eligibility Gates</w:t>
      </w:r>
    </w:p>
    <w:p>
      <w:r>
        <w:t>The following hard stops apply before risk band assignment: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Rule #</w:t>
            </w:r>
          </w:p>
        </w:tc>
        <w:tc>
          <w:tcPr>
            <w:tcW w:type="dxa" w:w="2160"/>
          </w:tcPr>
          <w:p>
            <w:r>
              <w:t>Condition</w:t>
            </w:r>
          </w:p>
        </w:tc>
        <w:tc>
          <w:tcPr>
            <w:tcW w:type="dxa" w:w="2160"/>
          </w:tcPr>
          <w:p>
            <w:r>
              <w:t>Threshold</w:t>
            </w:r>
          </w:p>
        </w:tc>
        <w:tc>
          <w:tcPr>
            <w:tcW w:type="dxa" w:w="2160"/>
          </w:tcPr>
          <w:p>
            <w:r>
              <w:t>Action</w:t>
            </w:r>
          </w:p>
        </w:tc>
      </w:tr>
      <w:tr>
        <w:tc>
          <w:tcPr>
            <w:tcW w:type="dxa" w:w="2160"/>
          </w:tcPr>
          <w:p>
            <w:r>
              <w:t>G-01</w:t>
            </w:r>
          </w:p>
        </w:tc>
        <w:tc>
          <w:tcPr>
            <w:tcW w:type="dxa" w:w="2160"/>
          </w:tcPr>
          <w:p>
            <w:r>
              <w:t>Max DPD in last 12 months</w:t>
            </w:r>
          </w:p>
        </w:tc>
        <w:tc>
          <w:tcPr>
            <w:tcW w:type="dxa" w:w="2160"/>
          </w:tcPr>
          <w:p>
            <w:r>
              <w:t>&gt; 30 days</w:t>
            </w:r>
          </w:p>
        </w:tc>
        <w:tc>
          <w:tcPr>
            <w:tcW w:type="dxa" w:w="2160"/>
          </w:tcPr>
          <w:p>
            <w:r>
              <w:t>Auto-reject</w:t>
            </w:r>
          </w:p>
        </w:tc>
      </w:tr>
      <w:tr>
        <w:tc>
          <w:tcPr>
            <w:tcW w:type="dxa" w:w="2160"/>
          </w:tcPr>
          <w:p>
            <w:r>
              <w:t>G-02</w:t>
            </w:r>
          </w:p>
        </w:tc>
        <w:tc>
          <w:tcPr>
            <w:tcW w:type="dxa" w:w="2160"/>
          </w:tcPr>
          <w:p>
            <w:r>
              <w:t>Overdue accounts</w:t>
            </w:r>
          </w:p>
        </w:tc>
        <w:tc>
          <w:tcPr>
            <w:tcW w:type="dxa" w:w="2160"/>
          </w:tcPr>
          <w:p>
            <w:r>
              <w:t>&gt; 0</w:t>
            </w:r>
          </w:p>
        </w:tc>
        <w:tc>
          <w:tcPr>
            <w:tcW w:type="dxa" w:w="2160"/>
          </w:tcPr>
          <w:p>
            <w:r>
              <w:t>Auto-reject</w:t>
            </w:r>
          </w:p>
        </w:tc>
      </w:tr>
      <w:tr>
        <w:tc>
          <w:tcPr>
            <w:tcW w:type="dxa" w:w="2160"/>
          </w:tcPr>
          <w:p>
            <w:r>
              <w:t>G-03</w:t>
            </w:r>
          </w:p>
        </w:tc>
        <w:tc>
          <w:tcPr>
            <w:tcW w:type="dxa" w:w="2160"/>
          </w:tcPr>
          <w:p>
            <w:r>
              <w:t>Credit inquiries in last 3 months</w:t>
            </w:r>
          </w:p>
        </w:tc>
        <w:tc>
          <w:tcPr>
            <w:tcW w:type="dxa" w:w="2160"/>
          </w:tcPr>
          <w:p>
            <w:r>
              <w:t>&gt; 5</w:t>
            </w:r>
          </w:p>
        </w:tc>
        <w:tc>
          <w:tcPr>
            <w:tcW w:type="dxa" w:w="2160"/>
          </w:tcPr>
          <w:p>
            <w:r>
              <w:t>Flag for manual review</w:t>
            </w:r>
          </w:p>
        </w:tc>
      </w:tr>
      <w:tr>
        <w:tc>
          <w:tcPr>
            <w:tcW w:type="dxa" w:w="2160"/>
          </w:tcPr>
          <w:p>
            <w:r>
              <w:t>G-04</w:t>
            </w:r>
          </w:p>
        </w:tc>
        <w:tc>
          <w:tcPr>
            <w:tcW w:type="dxa" w:w="2160"/>
          </w:tcPr>
          <w:p>
            <w:r>
              <w:t>Check / payment returns in last 6 months</w:t>
            </w:r>
          </w:p>
        </w:tc>
        <w:tc>
          <w:tcPr>
            <w:tcW w:type="dxa" w:w="2160"/>
          </w:tcPr>
          <w:p>
            <w:r>
              <w:t>&gt; 2</w:t>
            </w:r>
          </w:p>
        </w:tc>
        <w:tc>
          <w:tcPr>
            <w:tcW w:type="dxa" w:w="2160"/>
          </w:tcPr>
          <w:p>
            <w:r>
              <w:t>Auto-reject</w:t>
            </w:r>
          </w:p>
        </w:tc>
      </w:tr>
      <w:tr>
        <w:tc>
          <w:tcPr>
            <w:tcW w:type="dxa" w:w="2160"/>
          </w:tcPr>
          <w:p>
            <w:r>
              <w:t>G-05</w:t>
            </w:r>
          </w:p>
        </w:tc>
        <w:tc>
          <w:tcPr>
            <w:tcW w:type="dxa" w:w="2160"/>
          </w:tcPr>
          <w:p>
            <w:r>
              <w:t>Unsecured loans count</w:t>
            </w:r>
          </w:p>
        </w:tc>
        <w:tc>
          <w:tcPr>
            <w:tcW w:type="dxa" w:w="2160"/>
          </w:tcPr>
          <w:p>
            <w:r>
              <w:t>&gt; 4</w:t>
            </w:r>
          </w:p>
        </w:tc>
        <w:tc>
          <w:tcPr>
            <w:tcW w:type="dxa" w:w="2160"/>
          </w:tcPr>
          <w:p>
            <w:r>
              <w:t>Flag for manual review</w:t>
            </w:r>
          </w:p>
        </w:tc>
      </w:tr>
      <w:tr>
        <w:tc>
          <w:tcPr>
            <w:tcW w:type="dxa" w:w="2160"/>
          </w:tcPr>
          <w:p>
            <w:r>
              <w:t>G-06</w:t>
            </w:r>
          </w:p>
        </w:tc>
        <w:tc>
          <w:tcPr>
            <w:tcW w:type="dxa" w:w="2160"/>
          </w:tcPr>
          <w:p>
            <w:r>
              <w:t>Credit utilization ratio</w:t>
            </w:r>
          </w:p>
        </w:tc>
        <w:tc>
          <w:tcPr>
            <w:tcW w:type="dxa" w:w="2160"/>
          </w:tcPr>
          <w:p>
            <w:r>
              <w:t>&gt; 80%</w:t>
            </w:r>
          </w:p>
        </w:tc>
        <w:tc>
          <w:tcPr>
            <w:tcW w:type="dxa" w:w="2160"/>
          </w:tcPr>
          <w:p>
            <w:r>
              <w:t>Reduce max exposure by 30%</w:t>
            </w:r>
          </w:p>
        </w:tc>
      </w:tr>
    </w:tbl>
    <w:p>
      <w:pPr>
        <w:pStyle w:val="Heading1"/>
      </w:pPr>
      <w:r>
        <w:t>G5/G6 Score Integration</w:t>
      </w:r>
    </w:p>
    <w:p>
      <w:r>
        <w:t>Effective immediately, the internal G5 score must be above 450 and G6 score above 500 for all applications. Applications failing either threshold should be flagged for senior credit officer review regardless of bureau score.</w:t>
      </w:r>
    </w:p>
    <w:p>
      <w:pPr>
        <w:pStyle w:val="Heading1"/>
      </w:pPr>
      <w:r>
        <w:t>Minimum Income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City Tier</w:t>
            </w:r>
          </w:p>
        </w:tc>
        <w:tc>
          <w:tcPr>
            <w:tcW w:type="dxa" w:w="2880"/>
          </w:tcPr>
          <w:p>
            <w:r>
              <w:t>Min Monthly Income</w:t>
            </w:r>
          </w:p>
        </w:tc>
        <w:tc>
          <w:tcPr>
            <w:tcW w:type="dxa" w:w="2880"/>
          </w:tcPr>
          <w:p>
            <w:r>
              <w:t>Min Account Vintage</w:t>
            </w:r>
          </w:p>
        </w:tc>
      </w:tr>
      <w:tr>
        <w:tc>
          <w:tcPr>
            <w:tcW w:type="dxa" w:w="2880"/>
          </w:tcPr>
          <w:p>
            <w:r>
              <w:t>Tier 1 (Top-25 MSA)</w:t>
            </w:r>
          </w:p>
        </w:tc>
        <w:tc>
          <w:tcPr>
            <w:tcW w:type="dxa" w:w="2880"/>
          </w:tcPr>
          <w:p>
            <w:r>
              <w:t>$5,000</w:t>
            </w:r>
          </w:p>
        </w:tc>
        <w:tc>
          <w:tcPr>
            <w:tcW w:type="dxa" w:w="2880"/>
          </w:tcPr>
          <w:p>
            <w:r>
              <w:t>6 months</w:t>
            </w:r>
          </w:p>
        </w:tc>
      </w:tr>
      <w:tr>
        <w:tc>
          <w:tcPr>
            <w:tcW w:type="dxa" w:w="2880"/>
          </w:tcPr>
          <w:p>
            <w:r>
              <w:t>Tier 2 (Mid-sized MSA)</w:t>
            </w:r>
          </w:p>
        </w:tc>
        <w:tc>
          <w:tcPr>
            <w:tcW w:type="dxa" w:w="2880"/>
          </w:tcPr>
          <w:p>
            <w:r>
              <w:t>$4,200</w:t>
            </w:r>
          </w:p>
        </w:tc>
        <w:tc>
          <w:tcPr>
            <w:tcW w:type="dxa" w:w="2880"/>
          </w:tcPr>
          <w:p>
            <w:r>
              <w:t>12 months</w:t>
            </w:r>
          </w:p>
        </w:tc>
      </w:tr>
      <w:tr>
        <w:tc>
          <w:tcPr>
            <w:tcW w:type="dxa" w:w="2880"/>
          </w:tcPr>
          <w:p>
            <w:r>
              <w:t>Tier 3 (Small MSA / Rural)</w:t>
            </w:r>
          </w:p>
        </w:tc>
        <w:tc>
          <w:tcPr>
            <w:tcW w:type="dxa" w:w="2880"/>
          </w:tcPr>
          <w:p>
            <w:r>
              <w:t>$3,500</w:t>
            </w:r>
          </w:p>
        </w:tc>
        <w:tc>
          <w:tcPr>
            <w:tcW w:type="dxa" w:w="2880"/>
          </w:tcPr>
          <w:p>
            <w:r>
              <w:t>18 months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64646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