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BRD-2026-001: Personal Loan Bureau Score Threshold Revision</w:t>
      </w:r>
    </w:p>
    <w:p>
      <w:r>
        <w:t>Business Requirement Document</w:t>
      </w:r>
    </w:p>
    <w:p>
      <w:r>
        <w:t>Date: April 2026</w:t>
      </w:r>
    </w:p>
    <w:p/>
    <w:p>
      <w:pPr>
        <w:pStyle w:val="Heading1"/>
      </w:pPr>
      <w:r>
        <w:t>1.0 Executive Summary</w:t>
      </w:r>
    </w:p>
    <w:p>
      <w:r>
        <w:t>This BRD proposes revising the minimum bureau score threshold for personal loan eligibility from the current 650 to 680, and introducing a tiered interest rate structure based on bureau score bands. The change is driven by increasing default rates in the 650-679 score segment which have risen 23% year-over-year.</w:t>
      </w:r>
    </w:p>
    <w:p>
      <w:pPr>
        <w:pStyle w:val="Heading1"/>
      </w:pPr>
      <w:r>
        <w:t>2.0 Background</w:t>
      </w:r>
    </w:p>
    <w:p>
      <w:r>
        <w:t>Our current personal loan underwriting policy sets the minimum bureau (CIBIL) score at 650 for all applicants. Analysis of the 2024-2025 portfolio shows that borrowers in the 650-679 range have a 12.3% default rate compared to 4.1% for those scoring 680 and above. The risk-adjusted return on this segment is negative after accounting for collection costs.</w:t>
      </w:r>
    </w:p>
    <w:p>
      <w:pPr>
        <w:pStyle w:val="Heading1"/>
      </w:pPr>
      <w:r>
        <w:t>3.0 Current State</w:t>
      </w:r>
    </w:p>
    <w:p>
      <w:r>
        <w:t>The current lending rules for personal loans are:</w:t>
      </w:r>
    </w:p>
    <w:p>
      <w:pPr>
        <w:pStyle w:val="ListBullet"/>
      </w:pPr>
      <w:r>
        <w:t>• Minimum bureau score: 650</w:t>
      </w:r>
    </w:p>
    <w:p>
      <w:pPr>
        <w:pStyle w:val="ListBullet"/>
      </w:pPr>
      <w:r>
        <w:t>• Interest rate: Flat 14.5% for all approved applicants</w:t>
      </w:r>
    </w:p>
    <w:p>
      <w:pPr>
        <w:pStyle w:val="ListBullet"/>
      </w:pPr>
      <w:r>
        <w:t>• Maximum loan amount: ₹15,00,000</w:t>
      </w:r>
    </w:p>
    <w:p>
      <w:pPr>
        <w:pStyle w:val="ListBullet"/>
      </w:pPr>
      <w:r>
        <w:t>• Maximum DTI ratio: 50%</w:t>
      </w:r>
    </w:p>
    <w:p>
      <w:pPr>
        <w:pStyle w:val="ListBullet"/>
      </w:pPr>
      <w:r>
        <w:t>• Minimum monthly income: ₹25,000</w:t>
      </w:r>
    </w:p>
    <w:p>
      <w:pPr>
        <w:pStyle w:val="Heading1"/>
      </w:pPr>
      <w:r>
        <w:t>4.0 Proposed Changes</w:t>
      </w:r>
    </w:p>
    <w:p>
      <w:pPr>
        <w:pStyle w:val="Heading2"/>
      </w:pPr>
      <w:r>
        <w:t>4.1 Bureau Score Minimum</w:t>
      </w:r>
    </w:p>
    <w:p>
      <w:r>
        <w:t>Raise the minimum bureau score from 650 to 680. Applications with a bureau score below 680 should be automatically rejected with reason code 'BUREAU_SCORE_BELOW_MINIMUM'.</w:t>
      </w:r>
    </w:p>
    <w:p>
      <w:pPr>
        <w:pStyle w:val="Heading2"/>
      </w:pPr>
      <w:r>
        <w:t>4.2 Tiered Interest Rate</w:t>
      </w:r>
    </w:p>
    <w:p>
      <w:r>
        <w:t>Implement the following interest rate tiers based on bureau score: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Bureau Score Range</w:t>
            </w:r>
          </w:p>
        </w:tc>
        <w:tc>
          <w:tcPr>
            <w:tcW w:type="dxa" w:w="2880"/>
          </w:tcPr>
          <w:p>
            <w:r>
              <w:t>Risk Band</w:t>
            </w:r>
          </w:p>
        </w:tc>
        <w:tc>
          <w:tcPr>
            <w:tcW w:type="dxa" w:w="2880"/>
          </w:tcPr>
          <w:p>
            <w:r>
              <w:t>Interest Rate</w:t>
            </w:r>
          </w:p>
        </w:tc>
      </w:tr>
      <w:tr>
        <w:tc>
          <w:tcPr>
            <w:tcW w:type="dxa" w:w="2880"/>
          </w:tcPr>
          <w:p>
            <w:r>
              <w:t>680 - 719</w:t>
            </w:r>
          </w:p>
        </w:tc>
        <w:tc>
          <w:tcPr>
            <w:tcW w:type="dxa" w:w="2880"/>
          </w:tcPr>
          <w:p>
            <w:r>
              <w:t>Medium-High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  <w:tr>
        <w:tc>
          <w:tcPr>
            <w:tcW w:type="dxa" w:w="2880"/>
          </w:tcPr>
          <w:p>
            <w:r>
              <w:t>720 - 749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14.5%</w:t>
            </w:r>
          </w:p>
        </w:tc>
      </w:tr>
      <w:tr>
        <w:tc>
          <w:tcPr>
            <w:tcW w:type="dxa" w:w="2880"/>
          </w:tcPr>
          <w:p>
            <w:r>
              <w:t>750 - 799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  <w:tr>
        <w:tc>
          <w:tcPr>
            <w:tcW w:type="dxa" w:w="2880"/>
          </w:tcPr>
          <w:p>
            <w:r>
              <w:t>800+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11.0%</w:t>
            </w:r>
          </w:p>
        </w:tc>
      </w:tr>
    </w:tbl>
    <w:p>
      <w:pPr>
        <w:pStyle w:val="Heading2"/>
      </w:pPr>
      <w:r>
        <w:t>4.3 DTI Cap Reduction</w:t>
      </w:r>
    </w:p>
    <w:p>
      <w:r>
        <w:t>Reduce the maximum DTI ratio from 50% to 45% for applicants with bureau score below 750. Applicants with bureau score 750 and above retain the 50% DTI cap.</w:t>
      </w:r>
    </w:p>
    <w:p>
      <w:pPr>
        <w:pStyle w:val="Heading2"/>
      </w:pPr>
      <w:r>
        <w:t>4.4 High-Value Loan Restriction</w:t>
      </w:r>
    </w:p>
    <w:p>
      <w:r>
        <w:t>For loan amounts exceeding ₹10,00,000 (10 lakh), require a minimum bureau score of 720 and minimum monthly income of ₹50,000. Applications not meeting both criteria should be capped at ₹10,00,000 eligible amount.</w:t>
      </w:r>
    </w:p>
    <w:p>
      <w:pPr>
        <w:pStyle w:val="Heading1"/>
      </w:pPr>
      <w:r>
        <w:t>5.0 Expected Impact</w:t>
      </w:r>
    </w:p>
    <w:p>
      <w:r>
        <w:t>Based on backtesting against 12 months of application data:</w:t>
        <w:br/>
        <w:t>• Approval rate reduction: ~8% (from 62% to ~57%)</w:t>
        <w:br/>
        <w:t>• Expected default rate reduction: 35% in first year</w:t>
        <w:br/>
        <w:t>• Portfolio quality improvement: Average risk band shifts from Medium-High to Medium</w:t>
        <w:br/>
        <w:t>• Revenue impact: +₹2.3Cr net (higher rates on medium-risk, fewer defaults)</w:t>
      </w:r>
    </w:p>
    <w:p>
      <w:pPr>
        <w:pStyle w:val="Heading1"/>
      </w:pPr>
      <w:r>
        <w:t>6.0 Implementation Timeline</w:t>
      </w:r>
    </w:p>
    <w:p>
      <w:r>
        <w:t>• Phase 1 (Week 1-2): System configuration and rule updates</w:t>
      </w:r>
    </w:p>
    <w:p>
      <w:r>
        <w:t>• Phase 2 (Week 3): UAT testing with sample data</w:t>
      </w:r>
    </w:p>
    <w:p>
      <w:r>
        <w:t>• Phase 3 (Week 4): Production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