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Personal Loan DTI Ratio Cap Revision</w:t>
        <w:br/>
        <w:t>and Bureau Score Threshold Update</w:t>
      </w:r>
    </w:p>
    <w:p>
      <w:pPr>
        <w:spacing w:after="240"/>
        <w:jc w:val="center"/>
      </w:pPr>
      <w:r>
        <w:rPr>
          <w:sz w:val="24"/>
        </w:rPr>
        <w:t>Business Requirement Document</w:t>
      </w:r>
    </w:p>
    <w:tbl>
      <w:tblPr>
        <w:tblStyle w:val="TableGrid"/>
        <w:tblW w:type="auto" w:w="0"/>
        <w:jc w:val="center"/>
        <w:tblLook w:firstColumn="1" w:firstRow="1" w:lastColumn="0" w:lastRow="0" w:noHBand="0" w:noVBand="1" w:val="04A0"/>
      </w:tblPr>
      <w:tblGrid>
        <w:gridCol w:w="4320"/>
        <w:gridCol w:w="4320"/>
      </w:tblGrid>
      <w:tr>
        <w:tc>
          <w:tcPr>
            <w:tcW w:type="dxa" w:w="2880"/>
            <w:shd w:fill="D6E4F0" w:val="clear"/>
          </w:tcPr>
          <w:p>
            <w:r/>
            <w:r>
              <w:rPr>
                <w:b/>
                <w:sz w:val="20"/>
              </w:rPr>
              <w:t>Document ID</w:t>
            </w:r>
          </w:p>
        </w:tc>
        <w:tc>
          <w:tcPr>
            <w:tcW w:type="dxa" w:w="6480"/>
          </w:tcPr>
          <w:p>
            <w:r>
              <w:rPr>
                <w:sz w:val="20"/>
              </w:rPr>
              <w:t>BRD-PL-2026-001</w:t>
            </w:r>
          </w:p>
        </w:tc>
      </w:tr>
      <w:tr>
        <w:tc>
          <w:tcPr>
            <w:tcW w:type="dxa" w:w="2880"/>
            <w:shd w:fill="D6E4F0" w:val="clear"/>
          </w:tcPr>
          <w:p>
            <w:r/>
            <w:r>
              <w:rPr>
                <w:b/>
                <w:sz w:val="20"/>
              </w:rPr>
              <w:t>Version</w:t>
            </w:r>
          </w:p>
        </w:tc>
        <w:tc>
          <w:tcPr>
            <w:tcW w:type="dxa" w:w="6480"/>
          </w:tcPr>
          <w:p>
            <w:r>
              <w:rPr>
                <w:sz w:val="20"/>
              </w:rPr>
              <w:t>1.0</w:t>
            </w:r>
          </w:p>
        </w:tc>
      </w:tr>
      <w:tr>
        <w:tc>
          <w:tcPr>
            <w:tcW w:type="dxa" w:w="2880"/>
            <w:shd w:fill="D6E4F0" w:val="clear"/>
          </w:tcPr>
          <w:p>
            <w:r/>
            <w:r>
              <w:rPr>
                <w:b/>
                <w:sz w:val="20"/>
              </w:rPr>
              <w:t>Date</w:t>
            </w:r>
          </w:p>
        </w:tc>
        <w:tc>
          <w:tcPr>
            <w:tcW w:type="dxa" w:w="6480"/>
          </w:tcPr>
          <w:p>
            <w:r>
              <w:rPr>
                <w:sz w:val="20"/>
              </w:rPr>
              <w:t>2026-02-15</w:t>
            </w:r>
          </w:p>
        </w:tc>
      </w:tr>
      <w:tr>
        <w:tc>
          <w:tcPr>
            <w:tcW w:type="dxa" w:w="2880"/>
            <w:shd w:fill="D6E4F0" w:val="clear"/>
          </w:tcPr>
          <w:p>
            <w:r/>
            <w:r>
              <w:rPr>
                <w:b/>
                <w:sz w:val="20"/>
              </w:rPr>
              <w:t>Author</w:t>
            </w:r>
          </w:p>
        </w:tc>
        <w:tc>
          <w:tcPr>
            <w:tcW w:type="dxa" w:w="6480"/>
          </w:tcPr>
          <w:p>
            <w:r>
              <w:rPr>
                <w:sz w:val="20"/>
              </w:rPr>
              <w:t>Rajesh Mehta, Senior Credit Policy Analyst</w:t>
            </w:r>
          </w:p>
        </w:tc>
      </w:tr>
      <w:tr>
        <w:tc>
          <w:tcPr>
            <w:tcW w:type="dxa" w:w="2880"/>
            <w:shd w:fill="D6E4F0" w:val="clear"/>
          </w:tcPr>
          <w:p>
            <w:r/>
            <w:r>
              <w:rPr>
                <w:b/>
                <w:sz w:val="20"/>
              </w:rPr>
              <w:t>Department</w:t>
            </w:r>
          </w:p>
        </w:tc>
        <w:tc>
          <w:tcPr>
            <w:tcW w:type="dxa" w:w="6480"/>
          </w:tcPr>
          <w:p>
            <w:r>
              <w:rPr>
                <w:sz w:val="20"/>
              </w:rPr>
              <w:t>Credit Risk &amp; Policy</w:t>
            </w:r>
          </w:p>
        </w:tc>
      </w:tr>
      <w:tr>
        <w:tc>
          <w:tcPr>
            <w:tcW w:type="dxa" w:w="2880"/>
            <w:shd w:fill="D6E4F0" w:val="clear"/>
          </w:tcPr>
          <w:p>
            <w:r/>
            <w:r>
              <w:rPr>
                <w:b/>
                <w:sz w:val="20"/>
              </w:rPr>
              <w:t>Status</w:t>
            </w:r>
          </w:p>
        </w:tc>
        <w:tc>
          <w:tcPr>
            <w:tcW w:type="dxa" w:w="6480"/>
          </w:tcPr>
          <w:p>
            <w:r>
              <w:rPr>
                <w:sz w:val="20"/>
              </w:rPr>
              <w:t>Draft - Pending Approval</w:t>
            </w:r>
          </w:p>
        </w:tc>
      </w:tr>
    </w:tbl>
    <w:p/>
    <w:p>
      <w:pPr>
        <w:pStyle w:val="Heading1"/>
      </w:pPr>
      <w:r>
        <w:t>1.0 Executive Summary</w:t>
      </w:r>
    </w:p>
    <w:p>
      <w:r>
        <w:t>This Business Requirement Document proposes targeted adjustments to the eligibility criteria governing unsecured personal loan origination. The primary changes involve tightening the maximum permissible debt-to-income (DTI) ratio and raising the minimum bureau score threshold for automatic approval. These revisions are designed to reduce portfolio-level default risk while maintaining adequate origination volume.</w:t>
      </w:r>
    </w:p>
    <w:p>
      <w:r>
        <w:t>Additionally, a new credit inquiry frequency cap is introduced to screen out applicants exhibiting credit-seeking behaviour that is correlated with elevated default probability. Together, these three rule changes are expected to improve the 90-day delinquency rate by approximately 80-120 basis points without materially impacting customer acquisition targets.</w:t>
      </w:r>
    </w:p>
    <w:p>
      <w:pPr>
        <w:pStyle w:val="Heading1"/>
      </w:pPr>
      <w:r>
        <w:t>2.0 Background &amp; Rationale</w:t>
      </w:r>
    </w:p>
    <w:p>
      <w:r>
        <w:t>Analysis of the Q3-Q4 2025 portfolio performance reveals that personal loan delinquencies have increased by 1.4 percentage points year-over-year, with the most significant deterioration concentrated among borrowers whose DTI ratios fell between 0.36 and 0.40 at origination. Internal risk modelling suggests that tightening the DTI cap from 0.40 to 0.35 would have prevented approximately 22% of accounts that subsequently entered 90+ DPD status.</w:t>
      </w:r>
    </w:p>
    <w:p>
      <w:r>
        <w:t>Simultaneously, bureau-level data indicates that applicants with CIBIL scores in the 700-719 band exhibit a default rate 1.8x higher than those scoring 720 or above. Raising the floor to 720 aligns with peer-lender benchmarks observed in recent RBI supervisory reports.</w:t>
      </w:r>
    </w:p>
    <w:p>
      <w:pPr>
        <w:pStyle w:val="Heading1"/>
      </w:pPr>
      <w:r>
        <w:t>3.0 Current State</w:t>
      </w:r>
    </w:p>
    <w:p>
      <w:r>
        <w:t>The following eligibility rules are currently enforced in the personal loan underwriting engine: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2F5496" w:val="clear"/>
          </w:tcPr>
          <w:p>
            <w:r/>
            <w:r>
              <w:rPr>
                <w:b/>
                <w:color w:val="FFFFFF"/>
                <w:sz w:val="20"/>
              </w:rPr>
              <w:t>Rule</w:t>
            </w:r>
          </w:p>
        </w:tc>
        <w:tc>
          <w:tcPr>
            <w:tcW w:type="dxa" w:w="2592"/>
            <w:shd w:fill="2F5496" w:val="clear"/>
          </w:tcPr>
          <w:p>
            <w:r/>
            <w:r>
              <w:rPr>
                <w:b/>
                <w:color w:val="FFFFFF"/>
                <w:sz w:val="20"/>
              </w:rPr>
              <w:t>Field</w:t>
            </w:r>
          </w:p>
        </w:tc>
        <w:tc>
          <w:tcPr>
            <w:tcW w:type="dxa" w:w="2160"/>
            <w:shd w:fill="2F5496" w:val="clear"/>
          </w:tcPr>
          <w:p>
            <w:r/>
            <w:r>
              <w:rPr>
                <w:b/>
                <w:color w:val="FFFFFF"/>
                <w:sz w:val="20"/>
              </w:rPr>
              <w:t>Current Threshold</w:t>
            </w:r>
          </w:p>
        </w:tc>
        <w:tc>
          <w:tcPr>
            <w:tcW w:type="dxa" w:w="1728"/>
            <w:shd w:fill="2F5496" w:val="clear"/>
          </w:tcPr>
          <w:p>
            <w:r/>
            <w:r>
              <w:rPr>
                <w:b/>
                <w:color w:val="FFFFFF"/>
                <w:sz w:val="20"/>
              </w:rPr>
              <w:t>Action</w:t>
            </w:r>
          </w:p>
        </w:tc>
      </w:tr>
      <w:tr>
        <w:tc>
          <w:tcPr>
            <w:tcW w:type="dxa" w:w="2880"/>
          </w:tcPr>
          <w:p>
            <w:r>
              <w:rPr>
                <w:sz w:val="20"/>
              </w:rPr>
              <w:t>DTI Cap</w:t>
            </w:r>
          </w:p>
        </w:tc>
        <w:tc>
          <w:tcPr>
            <w:tcW w:type="dxa" w:w="2592"/>
          </w:tcPr>
          <w:p>
            <w:r>
              <w:rPr>
                <w:sz w:val="20"/>
              </w:rPr>
              <w:t>dti_ratio</w:t>
            </w:r>
          </w:p>
        </w:tc>
        <w:tc>
          <w:tcPr>
            <w:tcW w:type="dxa" w:w="2160"/>
          </w:tcPr>
          <w:p>
            <w:r>
              <w:rPr>
                <w:sz w:val="20"/>
              </w:rPr>
              <w:t>&gt; 0.40</w:t>
            </w:r>
          </w:p>
        </w:tc>
        <w:tc>
          <w:tcPr>
            <w:tcW w:type="dxa" w:w="1728"/>
          </w:tcPr>
          <w:p>
            <w:r>
              <w:rPr>
                <w:sz w:val="20"/>
              </w:rPr>
              <w:t>REJECT</w:t>
            </w:r>
          </w:p>
        </w:tc>
      </w:tr>
      <w:tr>
        <w:tc>
          <w:tcPr>
            <w:tcW w:type="dxa" w:w="2880"/>
            <w:shd w:fill="D6E4F0" w:val="clear"/>
          </w:tcPr>
          <w:p>
            <w:r>
              <w:rPr>
                <w:sz w:val="20"/>
              </w:rPr>
              <w:t>Bureau Score Floor</w:t>
            </w:r>
          </w:p>
        </w:tc>
        <w:tc>
          <w:tcPr>
            <w:tcW w:type="dxa" w:w="2592"/>
            <w:shd w:fill="D6E4F0" w:val="clear"/>
          </w:tcPr>
          <w:p>
            <w:r>
              <w:rPr>
                <w:sz w:val="20"/>
              </w:rPr>
              <w:t>bureau_score</w:t>
            </w:r>
          </w:p>
        </w:tc>
        <w:tc>
          <w:tcPr>
            <w:tcW w:type="dxa" w:w="2160"/>
            <w:shd w:fill="D6E4F0" w:val="clear"/>
          </w:tcPr>
          <w:p>
            <w:r>
              <w:rPr>
                <w:sz w:val="20"/>
              </w:rPr>
              <w:t>&lt; 700</w:t>
            </w:r>
          </w:p>
        </w:tc>
        <w:tc>
          <w:tcPr>
            <w:tcW w:type="dxa" w:w="1728"/>
            <w:shd w:fill="D6E4F0" w:val="clear"/>
          </w:tcPr>
          <w:p>
            <w:r>
              <w:rPr>
                <w:sz w:val="20"/>
              </w:rPr>
              <w:t>REJECT</w:t>
            </w:r>
          </w:p>
        </w:tc>
      </w:tr>
      <w:tr>
        <w:tc>
          <w:tcPr>
            <w:tcW w:type="dxa" w:w="2880"/>
          </w:tcPr>
          <w:p>
            <w:r>
              <w:rPr>
                <w:sz w:val="20"/>
              </w:rPr>
              <w:t>Inquiry Cap</w:t>
            </w:r>
          </w:p>
        </w:tc>
        <w:tc>
          <w:tcPr>
            <w:tcW w:type="dxa" w:w="2592"/>
          </w:tcPr>
          <w:p>
            <w:r>
              <w:rPr>
                <w:sz w:val="20"/>
              </w:rPr>
              <w:t>(not enforced)</w:t>
            </w:r>
          </w:p>
        </w:tc>
        <w:tc>
          <w:tcPr>
            <w:tcW w:type="dxa" w:w="2160"/>
          </w:tcPr>
          <w:p>
            <w:r>
              <w:rPr>
                <w:sz w:val="20"/>
              </w:rPr>
              <w:t>N/A</w:t>
            </w:r>
          </w:p>
        </w:tc>
        <w:tc>
          <w:tcPr>
            <w:tcW w:type="dxa" w:w="1728"/>
          </w:tcPr>
          <w:p>
            <w:r>
              <w:rPr>
                <w:sz w:val="20"/>
              </w:rPr>
              <w:t>N/A</w:t>
            </w:r>
          </w:p>
        </w:tc>
      </w:tr>
    </w:tbl>
    <w:p/>
    <w:p>
      <w:pPr>
        <w:pStyle w:val="Heading1"/>
      </w:pPr>
      <w:r>
        <w:t>4.0 Proposed Rule Changes</w:t>
      </w:r>
    </w:p>
    <w:p>
      <w:r>
        <w:t>The following rule modifications shall be applied to all personal loan applications where loan_type = "PERSONAL".</w:t>
      </w:r>
    </w:p>
    <w:p>
      <w:pPr>
        <w:pStyle w:val="Heading2"/>
      </w:pPr>
      <w:r>
        <w:t>4.1 Reduce DTI Cap</w:t>
      </w:r>
    </w:p>
    <w:p>
      <w:r>
        <w:t>The maximum permissible debt-to-income ratio for unsecured personal loans shall be reduced from 0.40 to 0.35. Any application where the applicant's dti_ratio exceeds the new threshold will be automatically rejected.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val="clear"/>
          </w:tcPr>
          <w:p>
            <w:r/>
            <w:r>
              <w:rPr>
                <w:b/>
                <w:color w:val="FFFFFF"/>
                <w:sz w:val="20"/>
              </w:rPr>
              <w:t>Attribute</w:t>
            </w:r>
          </w:p>
        </w:tc>
        <w:tc>
          <w:tcPr>
            <w:tcW w:type="dxa" w:w="2880"/>
            <w:shd w:fill="2F5496" w:val="clear"/>
          </w:tcPr>
          <w:p>
            <w:r/>
            <w:r>
              <w:rPr>
                <w:b/>
                <w:color w:val="FFFFFF"/>
                <w:sz w:val="20"/>
              </w:rPr>
              <w:t>Current Value</w:t>
            </w:r>
          </w:p>
        </w:tc>
        <w:tc>
          <w:tcPr>
            <w:tcW w:type="dxa" w:w="2880"/>
            <w:shd w:fill="2F5496" w:val="clear"/>
          </w:tcPr>
          <w:p>
            <w:r/>
            <w:r>
              <w:rPr>
                <w:b/>
                <w:color w:val="FFFFFF"/>
                <w:sz w:val="20"/>
              </w:rPr>
              <w:t>Proposed Value</w:t>
            </w:r>
          </w:p>
        </w:tc>
      </w:tr>
      <w:tr>
        <w:tc>
          <w:tcPr>
            <w:tcW w:type="dxa" w:w="2880"/>
          </w:tcPr>
          <w:p>
            <w:r>
              <w:rPr>
                <w:sz w:val="20"/>
              </w:rPr>
              <w:t>Field</w:t>
            </w:r>
          </w:p>
        </w:tc>
        <w:tc>
          <w:tcPr>
            <w:tcW w:type="dxa" w:w="2880"/>
          </w:tcPr>
          <w:p>
            <w:r>
              <w:rPr>
                <w:sz w:val="20"/>
              </w:rPr>
              <w:t>dti_ratio</w:t>
            </w:r>
          </w:p>
        </w:tc>
        <w:tc>
          <w:tcPr>
            <w:tcW w:type="dxa" w:w="2880"/>
          </w:tcPr>
          <w:p>
            <w:r>
              <w:rPr>
                <w:sz w:val="20"/>
              </w:rPr>
              <w:t>dti_ratio</w:t>
            </w:r>
          </w:p>
        </w:tc>
      </w:tr>
      <w:tr>
        <w:tc>
          <w:tcPr>
            <w:tcW w:type="dxa" w:w="2880"/>
            <w:shd w:fill="D6E4F0" w:val="clear"/>
          </w:tcPr>
          <w:p>
            <w:r>
              <w:rPr>
                <w:sz w:val="20"/>
              </w:rPr>
              <w:t>Operator</w:t>
            </w:r>
          </w:p>
        </w:tc>
        <w:tc>
          <w:tcPr>
            <w:tcW w:type="dxa" w:w="2880"/>
            <w:shd w:fill="D6E4F0" w:val="clear"/>
          </w:tcPr>
          <w:p>
            <w:r>
              <w:rPr>
                <w:sz w:val="20"/>
              </w:rPr>
              <w:t>&gt;</w:t>
            </w:r>
          </w:p>
        </w:tc>
        <w:tc>
          <w:tcPr>
            <w:tcW w:type="dxa" w:w="2880"/>
            <w:shd w:fill="D6E4F0" w:val="clear"/>
          </w:tcPr>
          <w:p>
            <w:r>
              <w:rPr>
                <w:sz w:val="20"/>
              </w:rPr>
              <w:t>&gt;</w:t>
            </w:r>
          </w:p>
        </w:tc>
      </w:tr>
      <w:tr>
        <w:tc>
          <w:tcPr>
            <w:tcW w:type="dxa" w:w="2880"/>
          </w:tcPr>
          <w:p>
            <w:r>
              <w:rPr>
                <w:sz w:val="20"/>
              </w:rPr>
              <w:t>Threshold</w:t>
            </w:r>
          </w:p>
        </w:tc>
        <w:tc>
          <w:tcPr>
            <w:tcW w:type="dxa" w:w="2880"/>
          </w:tcPr>
          <w:p>
            <w:r>
              <w:rPr>
                <w:sz w:val="20"/>
              </w:rPr>
              <w:t>0.40</w:t>
            </w:r>
          </w:p>
        </w:tc>
        <w:tc>
          <w:tcPr>
            <w:tcW w:type="dxa" w:w="2880"/>
          </w:tcPr>
          <w:p>
            <w:r>
              <w:rPr>
                <w:sz w:val="20"/>
              </w:rPr>
              <w:t>0.35</w:t>
            </w:r>
          </w:p>
        </w:tc>
      </w:tr>
      <w:tr>
        <w:tc>
          <w:tcPr>
            <w:tcW w:type="dxa" w:w="2880"/>
            <w:shd w:fill="D6E4F0" w:val="clear"/>
          </w:tcPr>
          <w:p>
            <w:r>
              <w:rPr>
                <w:sz w:val="20"/>
              </w:rPr>
              <w:t>Action on Breach</w:t>
            </w:r>
          </w:p>
        </w:tc>
        <w:tc>
          <w:tcPr>
            <w:tcW w:type="dxa" w:w="2880"/>
            <w:shd w:fill="D6E4F0" w:val="clear"/>
          </w:tcPr>
          <w:p>
            <w:r>
              <w:rPr>
                <w:sz w:val="20"/>
              </w:rPr>
              <w:t>REJECT</w:t>
            </w:r>
          </w:p>
        </w:tc>
        <w:tc>
          <w:tcPr>
            <w:tcW w:type="dxa" w:w="2880"/>
            <w:shd w:fill="D6E4F0" w:val="clear"/>
          </w:tcPr>
          <w:p>
            <w:r>
              <w:rPr>
                <w:sz w:val="20"/>
              </w:rPr>
              <w:t>REJECT</w:t>
            </w:r>
          </w:p>
        </w:tc>
      </w:tr>
      <w:tr>
        <w:tc>
          <w:tcPr>
            <w:tcW w:type="dxa" w:w="2880"/>
          </w:tcPr>
          <w:p>
            <w:r>
              <w:rPr>
                <w:sz w:val="20"/>
              </w:rPr>
              <w:t>Applies To</w:t>
            </w:r>
          </w:p>
        </w:tc>
        <w:tc>
          <w:tcPr>
            <w:tcW w:type="dxa" w:w="2880"/>
          </w:tcPr>
          <w:p>
            <w:r>
              <w:rPr>
                <w:sz w:val="20"/>
              </w:rPr>
              <w:t>loan_type = PERSONAL</w:t>
            </w:r>
          </w:p>
        </w:tc>
        <w:tc>
          <w:tcPr>
            <w:tcW w:type="dxa" w:w="2880"/>
          </w:tcPr>
          <w:p>
            <w:r>
              <w:rPr>
                <w:sz w:val="20"/>
              </w:rPr>
              <w:t>loan_type = PERSONAL</w:t>
            </w:r>
          </w:p>
        </w:tc>
      </w:tr>
    </w:tbl>
    <w:p/>
    <w:p>
      <w:pPr>
        <w:pStyle w:val="Heading2"/>
      </w:pPr>
      <w:r>
        <w:t>4.2 Increase Bureau Score Minimum</w:t>
      </w:r>
    </w:p>
    <w:p>
      <w:r>
        <w:t>The minimum CIBIL bureau score required for eligibility shall be increased from 700 to 720. Applications where bureau_score is below 720 will be rejected.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val="clear"/>
          </w:tcPr>
          <w:p>
            <w:r/>
            <w:r>
              <w:rPr>
                <w:b/>
                <w:color w:val="FFFFFF"/>
                <w:sz w:val="20"/>
              </w:rPr>
              <w:t>Attribute</w:t>
            </w:r>
          </w:p>
        </w:tc>
        <w:tc>
          <w:tcPr>
            <w:tcW w:type="dxa" w:w="2880"/>
            <w:shd w:fill="2F5496" w:val="clear"/>
          </w:tcPr>
          <w:p>
            <w:r/>
            <w:r>
              <w:rPr>
                <w:b/>
                <w:color w:val="FFFFFF"/>
                <w:sz w:val="20"/>
              </w:rPr>
              <w:t>Current Value</w:t>
            </w:r>
          </w:p>
        </w:tc>
        <w:tc>
          <w:tcPr>
            <w:tcW w:type="dxa" w:w="2880"/>
            <w:shd w:fill="2F5496" w:val="clear"/>
          </w:tcPr>
          <w:p>
            <w:r/>
            <w:r>
              <w:rPr>
                <w:b/>
                <w:color w:val="FFFFFF"/>
                <w:sz w:val="20"/>
              </w:rPr>
              <w:t>Proposed Value</w:t>
            </w:r>
          </w:p>
        </w:tc>
      </w:tr>
      <w:tr>
        <w:tc>
          <w:tcPr>
            <w:tcW w:type="dxa" w:w="2880"/>
          </w:tcPr>
          <w:p>
            <w:r>
              <w:rPr>
                <w:sz w:val="20"/>
              </w:rPr>
              <w:t>Field</w:t>
            </w:r>
          </w:p>
        </w:tc>
        <w:tc>
          <w:tcPr>
            <w:tcW w:type="dxa" w:w="2880"/>
          </w:tcPr>
          <w:p>
            <w:r>
              <w:rPr>
                <w:sz w:val="20"/>
              </w:rPr>
              <w:t>bureau_score</w:t>
            </w:r>
          </w:p>
        </w:tc>
        <w:tc>
          <w:tcPr>
            <w:tcW w:type="dxa" w:w="2880"/>
          </w:tcPr>
          <w:p>
            <w:r>
              <w:rPr>
                <w:sz w:val="20"/>
              </w:rPr>
              <w:t>bureau_score</w:t>
            </w:r>
          </w:p>
        </w:tc>
      </w:tr>
      <w:tr>
        <w:tc>
          <w:tcPr>
            <w:tcW w:type="dxa" w:w="2880"/>
            <w:shd w:fill="D6E4F0" w:val="clear"/>
          </w:tcPr>
          <w:p>
            <w:r>
              <w:rPr>
                <w:sz w:val="20"/>
              </w:rPr>
              <w:t>Operator</w:t>
            </w:r>
          </w:p>
        </w:tc>
        <w:tc>
          <w:tcPr>
            <w:tcW w:type="dxa" w:w="2880"/>
            <w:shd w:fill="D6E4F0" w:val="clear"/>
          </w:tcPr>
          <w:p>
            <w:r>
              <w:rPr>
                <w:sz w:val="20"/>
              </w:rPr>
              <w:t>&lt;</w:t>
            </w:r>
          </w:p>
        </w:tc>
        <w:tc>
          <w:tcPr>
            <w:tcW w:type="dxa" w:w="2880"/>
            <w:shd w:fill="D6E4F0" w:val="clear"/>
          </w:tcPr>
          <w:p>
            <w:r>
              <w:rPr>
                <w:sz w:val="20"/>
              </w:rPr>
              <w:t>&lt;</w:t>
            </w:r>
          </w:p>
        </w:tc>
      </w:tr>
      <w:tr>
        <w:tc>
          <w:tcPr>
            <w:tcW w:type="dxa" w:w="2880"/>
          </w:tcPr>
          <w:p>
            <w:r>
              <w:rPr>
                <w:sz w:val="20"/>
              </w:rPr>
              <w:t>Threshold</w:t>
            </w:r>
          </w:p>
        </w:tc>
        <w:tc>
          <w:tcPr>
            <w:tcW w:type="dxa" w:w="2880"/>
          </w:tcPr>
          <w:p>
            <w:r>
              <w:rPr>
                <w:sz w:val="20"/>
              </w:rPr>
              <w:t>700</w:t>
            </w:r>
          </w:p>
        </w:tc>
        <w:tc>
          <w:tcPr>
            <w:tcW w:type="dxa" w:w="2880"/>
          </w:tcPr>
          <w:p>
            <w:r>
              <w:rPr>
                <w:sz w:val="20"/>
              </w:rPr>
              <w:t>720</w:t>
            </w:r>
          </w:p>
        </w:tc>
      </w:tr>
      <w:tr>
        <w:tc>
          <w:tcPr>
            <w:tcW w:type="dxa" w:w="2880"/>
            <w:shd w:fill="D6E4F0" w:val="clear"/>
          </w:tcPr>
          <w:p>
            <w:r>
              <w:rPr>
                <w:sz w:val="20"/>
              </w:rPr>
              <w:t>Action on Breach</w:t>
            </w:r>
          </w:p>
        </w:tc>
        <w:tc>
          <w:tcPr>
            <w:tcW w:type="dxa" w:w="2880"/>
            <w:shd w:fill="D6E4F0" w:val="clear"/>
          </w:tcPr>
          <w:p>
            <w:r>
              <w:rPr>
                <w:sz w:val="20"/>
              </w:rPr>
              <w:t>REJECT</w:t>
            </w:r>
          </w:p>
        </w:tc>
        <w:tc>
          <w:tcPr>
            <w:tcW w:type="dxa" w:w="2880"/>
            <w:shd w:fill="D6E4F0" w:val="clear"/>
          </w:tcPr>
          <w:p>
            <w:r>
              <w:rPr>
                <w:sz w:val="20"/>
              </w:rPr>
              <w:t>REJECT</w:t>
            </w:r>
          </w:p>
        </w:tc>
      </w:tr>
    </w:tbl>
    <w:p/>
    <w:p>
      <w:pPr>
        <w:pStyle w:val="Heading2"/>
      </w:pPr>
      <w:r>
        <w:t>4.3 Inquiry Frequency Cap</w:t>
      </w:r>
    </w:p>
    <w:p>
      <w:r>
        <w:t>A new rule shall be introduced to reject applications where the applicant has more than 3 credit inquiries recorded within the preceding 3-month period. This rule targets credit-seeking behaviour that is strongly correlated with near-term default.</w:t>
      </w:r>
    </w:p>
    <w:tbl>
      <w:tblPr>
        <w:tblStyle w:val="TableGrid"/>
        <w:tblW w:type="auto" w:w="0"/>
        <w:jc w:val="center"/>
        <w:tblLook w:firstColumn="1" w:firstRow="1" w:lastColumn="0" w:lastRow="0" w:noHBand="0" w:noVBand="1" w:val="04A0"/>
      </w:tblPr>
      <w:tblGrid>
        <w:gridCol w:w="4320"/>
        <w:gridCol w:w="4320"/>
      </w:tblGrid>
      <w:tr>
        <w:tc>
          <w:tcPr>
            <w:tcW w:type="dxa" w:w="3600"/>
            <w:shd w:fill="2F5496" w:val="clear"/>
          </w:tcPr>
          <w:p>
            <w:r/>
            <w:r>
              <w:rPr>
                <w:b/>
                <w:color w:val="FFFFFF"/>
                <w:sz w:val="20"/>
              </w:rPr>
              <w:t>Attribute</w:t>
            </w:r>
          </w:p>
        </w:tc>
        <w:tc>
          <w:tcPr>
            <w:tcW w:type="dxa" w:w="5040"/>
            <w:shd w:fill="2F5496" w:val="clear"/>
          </w:tcPr>
          <w:p>
            <w:r/>
            <w:r>
              <w:rPr>
                <w:b/>
                <w:color w:val="FFFFFF"/>
                <w:sz w:val="20"/>
              </w:rPr>
              <w:t>Value</w:t>
            </w:r>
          </w:p>
        </w:tc>
      </w:tr>
      <w:tr>
        <w:tc>
          <w:tcPr>
            <w:tcW w:type="dxa" w:w="3600"/>
          </w:tcPr>
          <w:p>
            <w:r>
              <w:rPr>
                <w:sz w:val="20"/>
              </w:rPr>
              <w:t>Field</w:t>
            </w:r>
          </w:p>
        </w:tc>
        <w:tc>
          <w:tcPr>
            <w:tcW w:type="dxa" w:w="5040"/>
          </w:tcPr>
          <w:p>
            <w:r>
              <w:rPr>
                <w:sz w:val="20"/>
              </w:rPr>
              <w:t>inquiries_last_3m</w:t>
            </w:r>
          </w:p>
        </w:tc>
      </w:tr>
      <w:tr>
        <w:tc>
          <w:tcPr>
            <w:tcW w:type="dxa" w:w="3600"/>
            <w:shd w:fill="D6E4F0" w:val="clear"/>
          </w:tcPr>
          <w:p>
            <w:r>
              <w:rPr>
                <w:sz w:val="20"/>
              </w:rPr>
              <w:t>Operator</w:t>
            </w:r>
          </w:p>
        </w:tc>
        <w:tc>
          <w:tcPr>
            <w:tcW w:type="dxa" w:w="5040"/>
            <w:shd w:fill="D6E4F0" w:val="clear"/>
          </w:tcPr>
          <w:p>
            <w:r>
              <w:rPr>
                <w:sz w:val="20"/>
              </w:rPr>
              <w:t>&gt;</w:t>
            </w:r>
          </w:p>
        </w:tc>
      </w:tr>
      <w:tr>
        <w:tc>
          <w:tcPr>
            <w:tcW w:type="dxa" w:w="3600"/>
          </w:tcPr>
          <w:p>
            <w:r>
              <w:rPr>
                <w:sz w:val="20"/>
              </w:rPr>
              <w:t>Threshold</w:t>
            </w:r>
          </w:p>
        </w:tc>
        <w:tc>
          <w:tcPr>
            <w:tcW w:type="dxa" w:w="5040"/>
          </w:tcPr>
          <w:p>
            <w:r>
              <w:rPr>
                <w:sz w:val="20"/>
              </w:rPr>
              <w:t>3</w:t>
            </w:r>
          </w:p>
        </w:tc>
      </w:tr>
      <w:tr>
        <w:tc>
          <w:tcPr>
            <w:tcW w:type="dxa" w:w="3600"/>
            <w:shd w:fill="D6E4F0" w:val="clear"/>
          </w:tcPr>
          <w:p>
            <w:r>
              <w:rPr>
                <w:sz w:val="20"/>
              </w:rPr>
              <w:t>Action on Breach</w:t>
            </w:r>
          </w:p>
        </w:tc>
        <w:tc>
          <w:tcPr>
            <w:tcW w:type="dxa" w:w="5040"/>
            <w:shd w:fill="D6E4F0" w:val="clear"/>
          </w:tcPr>
          <w:p>
            <w:r>
              <w:rPr>
                <w:sz w:val="20"/>
              </w:rPr>
              <w:t>REJECT</w:t>
            </w:r>
          </w:p>
        </w:tc>
      </w:tr>
      <w:tr>
        <w:tc>
          <w:tcPr>
            <w:tcW w:type="dxa" w:w="3600"/>
          </w:tcPr>
          <w:p>
            <w:r>
              <w:rPr>
                <w:sz w:val="20"/>
              </w:rPr>
              <w:t>Effective Scope</w:t>
            </w:r>
          </w:p>
        </w:tc>
        <w:tc>
          <w:tcPr>
            <w:tcW w:type="dxa" w:w="5040"/>
          </w:tcPr>
          <w:p>
            <w:r>
              <w:rPr>
                <w:sz w:val="20"/>
              </w:rPr>
              <w:t>All personal loan applications</w:t>
            </w:r>
          </w:p>
        </w:tc>
      </w:tr>
    </w:tbl>
    <w:p/>
    <w:p>
      <w:pPr>
        <w:pStyle w:val="Heading1"/>
      </w:pPr>
      <w:r>
        <w:t>5.0 Expected Impact</w:t>
      </w:r>
    </w:p>
    <w:p>
      <w:r>
        <w:t>Based on back-testing against the Q3-Q4 2025 application dataset, the combined effect of the three proposed rule changes is estimated as follows:</w:t>
      </w:r>
    </w:p>
    <w:tbl>
      <w:tblPr>
        <w:tblStyle w:val="TableGrid"/>
        <w:tblW w:type="auto" w:w="0"/>
        <w:jc w:val="center"/>
        <w:tblLook w:firstColumn="1" w:firstRow="1" w:lastColumn="0" w:lastRow="0" w:noHBand="0" w:noVBand="1" w:val="04A0"/>
      </w:tblPr>
      <w:tblGrid>
        <w:gridCol w:w="4320"/>
        <w:gridCol w:w="4320"/>
      </w:tblGrid>
      <w:tr>
        <w:tc>
          <w:tcPr>
            <w:tcW w:type="dxa" w:w="4320"/>
            <w:shd w:fill="2F5496" w:val="clear"/>
          </w:tcPr>
          <w:p>
            <w:r/>
            <w:r>
              <w:rPr>
                <w:b/>
                <w:color w:val="FFFFFF"/>
                <w:sz w:val="20"/>
              </w:rPr>
              <w:t>Metric</w:t>
            </w:r>
          </w:p>
        </w:tc>
        <w:tc>
          <w:tcPr>
            <w:tcW w:type="dxa" w:w="5040"/>
            <w:shd w:fill="2F5496" w:val="clear"/>
          </w:tcPr>
          <w:p>
            <w:r/>
            <w:r>
              <w:rPr>
                <w:b/>
                <w:color w:val="FFFFFF"/>
                <w:sz w:val="20"/>
              </w:rPr>
              <w:t>Estimated Change</w:t>
            </w:r>
          </w:p>
        </w:tc>
      </w:tr>
      <w:tr>
        <w:tc>
          <w:tcPr>
            <w:tcW w:type="dxa" w:w="4320"/>
          </w:tcPr>
          <w:p>
            <w:r>
              <w:rPr>
                <w:sz w:val="20"/>
              </w:rPr>
              <w:t>Approval Rate</w:t>
            </w:r>
          </w:p>
        </w:tc>
        <w:tc>
          <w:tcPr>
            <w:tcW w:type="dxa" w:w="5040"/>
          </w:tcPr>
          <w:p>
            <w:r>
              <w:rPr>
                <w:sz w:val="20"/>
              </w:rPr>
              <w:t>Decrease by 8-12 percentage points</w:t>
            </w:r>
          </w:p>
        </w:tc>
      </w:tr>
      <w:tr>
        <w:tc>
          <w:tcPr>
            <w:tcW w:type="dxa" w:w="4320"/>
            <w:shd w:fill="D6E4F0" w:val="clear"/>
          </w:tcPr>
          <w:p>
            <w:r>
              <w:rPr>
                <w:sz w:val="20"/>
              </w:rPr>
              <w:t>90-Day Delinquency Rate</w:t>
            </w:r>
          </w:p>
        </w:tc>
        <w:tc>
          <w:tcPr>
            <w:tcW w:type="dxa" w:w="5040"/>
            <w:shd w:fill="D6E4F0" w:val="clear"/>
          </w:tcPr>
          <w:p>
            <w:r>
              <w:rPr>
                <w:sz w:val="20"/>
              </w:rPr>
              <w:t>Improve by 80-120 basis points</w:t>
            </w:r>
          </w:p>
        </w:tc>
      </w:tr>
      <w:tr>
        <w:tc>
          <w:tcPr>
            <w:tcW w:type="dxa" w:w="4320"/>
          </w:tcPr>
          <w:p>
            <w:r>
              <w:rPr>
                <w:sz w:val="20"/>
              </w:rPr>
              <w:t>Portfolio Expected Loss</w:t>
            </w:r>
          </w:p>
        </w:tc>
        <w:tc>
          <w:tcPr>
            <w:tcW w:type="dxa" w:w="5040"/>
          </w:tcPr>
          <w:p>
            <w:r>
              <w:rPr>
                <w:sz w:val="20"/>
              </w:rPr>
              <w:t>Reduce by 15-20%</w:t>
            </w:r>
          </w:p>
        </w:tc>
      </w:tr>
      <w:tr>
        <w:tc>
          <w:tcPr>
            <w:tcW w:type="dxa" w:w="4320"/>
            <w:shd w:fill="D6E4F0" w:val="clear"/>
          </w:tcPr>
          <w:p>
            <w:r>
              <w:rPr>
                <w:sz w:val="20"/>
              </w:rPr>
              <w:t>Average Borrower Credit Quality</w:t>
            </w:r>
          </w:p>
        </w:tc>
        <w:tc>
          <w:tcPr>
            <w:tcW w:type="dxa" w:w="5040"/>
            <w:shd w:fill="D6E4F0" w:val="clear"/>
          </w:tcPr>
          <w:p>
            <w:r>
              <w:rPr>
                <w:sz w:val="20"/>
              </w:rPr>
              <w:t>Improve (higher mean bureau score)</w:t>
            </w:r>
          </w:p>
        </w:tc>
      </w:tr>
    </w:tbl>
    <w:p/>
    <w:p>
      <w:pPr>
        <w:pStyle w:val="Heading1"/>
      </w:pPr>
      <w:r>
        <w:t>6.0 Implementation Timeline</w:t>
      </w:r>
    </w:p>
    <w:tbl>
      <w:tblPr>
        <w:tblStyle w:val="TableGrid"/>
        <w:tblW w:type="auto" w:w="0"/>
        <w:jc w:val="center"/>
        <w:tblLook w:firstColumn="1" w:firstRow="1" w:lastColumn="0" w:lastRow="0" w:noHBand="0" w:noVBand="1" w:val="04A0"/>
      </w:tblPr>
      <w:tblGrid>
        <w:gridCol w:w="4320"/>
        <w:gridCol w:w="4320"/>
      </w:tblGrid>
      <w:tr>
        <w:tc>
          <w:tcPr>
            <w:tcW w:type="dxa" w:w="5040"/>
            <w:shd w:fill="2F5496" w:val="clear"/>
          </w:tcPr>
          <w:p>
            <w:r/>
            <w:r>
              <w:rPr>
                <w:b/>
                <w:color w:val="FFFFFF"/>
                <w:sz w:val="20"/>
              </w:rPr>
              <w:t>Milestone</w:t>
            </w:r>
          </w:p>
        </w:tc>
        <w:tc>
          <w:tcPr>
            <w:tcW w:type="dxa" w:w="4320"/>
            <w:shd w:fill="2F5496" w:val="clear"/>
          </w:tcPr>
          <w:p>
            <w:r/>
            <w:r>
              <w:rPr>
                <w:b/>
                <w:color w:val="FFFFFF"/>
                <w:sz w:val="20"/>
              </w:rPr>
              <w:t>Target Date</w:t>
            </w:r>
          </w:p>
        </w:tc>
      </w:tr>
      <w:tr>
        <w:tc>
          <w:tcPr>
            <w:tcW w:type="dxa" w:w="5040"/>
          </w:tcPr>
          <w:p>
            <w:r>
              <w:rPr>
                <w:sz w:val="20"/>
              </w:rPr>
              <w:t>Policy Committee Approval</w:t>
            </w:r>
          </w:p>
        </w:tc>
        <w:tc>
          <w:tcPr>
            <w:tcW w:type="dxa" w:w="4320"/>
          </w:tcPr>
          <w:p>
            <w:r>
              <w:rPr>
                <w:sz w:val="20"/>
              </w:rPr>
              <w:t>2026-03-01</w:t>
            </w:r>
          </w:p>
        </w:tc>
      </w:tr>
      <w:tr>
        <w:tc>
          <w:tcPr>
            <w:tcW w:type="dxa" w:w="5040"/>
            <w:shd w:fill="D6E4F0" w:val="clear"/>
          </w:tcPr>
          <w:p>
            <w:r>
              <w:rPr>
                <w:sz w:val="20"/>
              </w:rPr>
              <w:t>Rule Engine Configuration</w:t>
            </w:r>
          </w:p>
        </w:tc>
        <w:tc>
          <w:tcPr>
            <w:tcW w:type="dxa" w:w="4320"/>
            <w:shd w:fill="D6E4F0" w:val="clear"/>
          </w:tcPr>
          <w:p>
            <w:r>
              <w:rPr>
                <w:sz w:val="20"/>
              </w:rPr>
              <w:t>2026-03-10</w:t>
            </w:r>
          </w:p>
        </w:tc>
      </w:tr>
      <w:tr>
        <w:tc>
          <w:tcPr>
            <w:tcW w:type="dxa" w:w="5040"/>
          </w:tcPr>
          <w:p>
            <w:r>
              <w:rPr>
                <w:sz w:val="20"/>
              </w:rPr>
              <w:t>UAT &amp; Parallel Run</w:t>
            </w:r>
          </w:p>
        </w:tc>
        <w:tc>
          <w:tcPr>
            <w:tcW w:type="dxa" w:w="4320"/>
          </w:tcPr>
          <w:p>
            <w:r>
              <w:rPr>
                <w:sz w:val="20"/>
              </w:rPr>
              <w:t>2026-03-15 to 2026-03-25</w:t>
            </w:r>
          </w:p>
        </w:tc>
      </w:tr>
      <w:tr>
        <w:tc>
          <w:tcPr>
            <w:tcW w:type="dxa" w:w="5040"/>
            <w:shd w:fill="D6E4F0" w:val="clear"/>
          </w:tcPr>
          <w:p>
            <w:r>
              <w:rPr>
                <w:sz w:val="20"/>
              </w:rPr>
              <w:t>Production Deployment</w:t>
            </w:r>
          </w:p>
        </w:tc>
        <w:tc>
          <w:tcPr>
            <w:tcW w:type="dxa" w:w="4320"/>
            <w:shd w:fill="D6E4F0" w:val="clear"/>
          </w:tcPr>
          <w:p>
            <w:r>
              <w:rPr>
                <w:sz w:val="20"/>
              </w:rPr>
              <w:t>2026-04-01</w:t>
            </w:r>
          </w:p>
        </w:tc>
      </w:tr>
      <w:tr>
        <w:tc>
          <w:tcPr>
            <w:tcW w:type="dxa" w:w="5040"/>
          </w:tcPr>
          <w:p>
            <w:r>
              <w:rPr>
                <w:sz w:val="20"/>
              </w:rPr>
              <w:t>Post-Implementation Review</w:t>
            </w:r>
          </w:p>
        </w:tc>
        <w:tc>
          <w:tcPr>
            <w:tcW w:type="dxa" w:w="4320"/>
          </w:tcPr>
          <w:p>
            <w:r>
              <w:rPr>
                <w:sz w:val="20"/>
              </w:rPr>
              <w:t>2026-05-01</w:t>
            </w:r>
          </w:p>
        </w:tc>
      </w:tr>
    </w:tbl>
    <w:p/>
    <w:p>
      <w:pPr>
        <w:pStyle w:val="Heading1"/>
      </w:pPr>
      <w:r>
        <w:t>7.0 Approval</w:t>
      </w:r>
    </w:p>
    <w:p>
      <w:r>
        <w:t>This document requires approval from the following stakeholders before implementation may proceed.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2F5496" w:val="clear"/>
          </w:tcPr>
          <w:p>
            <w:r/>
            <w:r>
              <w:rPr>
                <w:b/>
                <w:color w:val="FFFFFF"/>
                <w:sz w:val="20"/>
              </w:rPr>
              <w:t>Name</w:t>
            </w:r>
          </w:p>
        </w:tc>
        <w:tc>
          <w:tcPr>
            <w:tcW w:type="dxa" w:w="2880"/>
            <w:shd w:fill="2F5496" w:val="clear"/>
          </w:tcPr>
          <w:p>
            <w:r/>
            <w:r>
              <w:rPr>
                <w:b/>
                <w:color w:val="FFFFFF"/>
                <w:sz w:val="20"/>
              </w:rPr>
              <w:t>Role</w:t>
            </w:r>
          </w:p>
        </w:tc>
        <w:tc>
          <w:tcPr>
            <w:tcW w:type="dxa" w:w="2160"/>
            <w:shd w:fill="2F5496" w:val="clear"/>
          </w:tcPr>
          <w:p>
            <w:r/>
            <w:r>
              <w:rPr>
                <w:b/>
                <w:color w:val="FFFFFF"/>
                <w:sz w:val="20"/>
              </w:rPr>
              <w:t>Signature</w:t>
            </w:r>
          </w:p>
        </w:tc>
        <w:tc>
          <w:tcPr>
            <w:tcW w:type="dxa" w:w="1440"/>
            <w:shd w:fill="2F5496" w:val="clear"/>
          </w:tcPr>
          <w:p>
            <w:r/>
            <w:r>
              <w:rPr>
                <w:b/>
                <w:color w:val="FFFFFF"/>
                <w:sz w:val="20"/>
              </w:rPr>
              <w:t>Date</w:t>
            </w:r>
          </w:p>
        </w:tc>
      </w:tr>
      <w:tr>
        <w:tc>
          <w:tcPr>
            <w:tcW w:type="dxa" w:w="2880"/>
          </w:tcPr>
          <w:p>
            <w:r>
              <w:rPr>
                <w:sz w:val="20"/>
              </w:rPr>
              <w:t>Rajesh Mehta</w:t>
            </w:r>
          </w:p>
        </w:tc>
        <w:tc>
          <w:tcPr>
            <w:tcW w:type="dxa" w:w="2880"/>
          </w:tcPr>
          <w:p>
            <w:r>
              <w:rPr>
                <w:sz w:val="20"/>
              </w:rPr>
              <w:t>Senior Credit Policy Analyst</w:t>
            </w:r>
          </w:p>
        </w:tc>
        <w:tc>
          <w:tcPr>
            <w:tcW w:type="dxa" w:w="2160"/>
          </w:tcPr>
          <w:p>
            <w:r>
              <w:rPr>
                <w:sz w:val="20"/>
              </w:rPr>
            </w:r>
          </w:p>
        </w:tc>
        <w:tc>
          <w:tcPr>
            <w:tcW w:type="dxa" w:w="1440"/>
          </w:tcPr>
          <w:p>
            <w:r>
              <w:rPr>
                <w:sz w:val="20"/>
              </w:rPr>
            </w:r>
          </w:p>
        </w:tc>
      </w:tr>
      <w:tr>
        <w:tc>
          <w:tcPr>
            <w:tcW w:type="dxa" w:w="2880"/>
            <w:shd w:fill="D6E4F0" w:val="clear"/>
          </w:tcPr>
          <w:p>
            <w:r>
              <w:rPr>
                <w:sz w:val="20"/>
              </w:rPr>
              <w:t>Priya Sharma</w:t>
            </w:r>
          </w:p>
        </w:tc>
        <w:tc>
          <w:tcPr>
            <w:tcW w:type="dxa" w:w="2880"/>
            <w:shd w:fill="D6E4F0" w:val="clear"/>
          </w:tcPr>
          <w:p>
            <w:r>
              <w:rPr>
                <w:sz w:val="20"/>
              </w:rPr>
              <w:t>Head of Credit Risk</w:t>
            </w:r>
          </w:p>
        </w:tc>
        <w:tc>
          <w:tcPr>
            <w:tcW w:type="dxa" w:w="2160"/>
            <w:shd w:fill="D6E4F0" w:val="clear"/>
          </w:tcPr>
          <w:p>
            <w:r>
              <w:rPr>
                <w:sz w:val="20"/>
              </w:rPr>
            </w:r>
          </w:p>
        </w:tc>
        <w:tc>
          <w:tcPr>
            <w:tcW w:type="dxa" w:w="1440"/>
            <w:shd w:fill="D6E4F0" w:val="clear"/>
          </w:tcPr>
          <w:p>
            <w:r>
              <w:rPr>
                <w:sz w:val="20"/>
              </w:rPr>
            </w:r>
          </w:p>
        </w:tc>
      </w:tr>
      <w:tr>
        <w:tc>
          <w:tcPr>
            <w:tcW w:type="dxa" w:w="2880"/>
          </w:tcPr>
          <w:p>
            <w:r>
              <w:rPr>
                <w:sz w:val="20"/>
              </w:rPr>
              <w:t>Vikram Desai</w:t>
            </w:r>
          </w:p>
        </w:tc>
        <w:tc>
          <w:tcPr>
            <w:tcW w:type="dxa" w:w="2880"/>
          </w:tcPr>
          <w:p>
            <w:r>
              <w:rPr>
                <w:sz w:val="20"/>
              </w:rPr>
              <w:t>Chief Risk Officer</w:t>
            </w:r>
          </w:p>
        </w:tc>
        <w:tc>
          <w:tcPr>
            <w:tcW w:type="dxa" w:w="2160"/>
          </w:tcPr>
          <w:p>
            <w:r>
              <w:rPr>
                <w:sz w:val="20"/>
              </w:rPr>
            </w:r>
          </w:p>
        </w:tc>
        <w:tc>
          <w:tcPr>
            <w:tcW w:type="dxa" w:w="1440"/>
          </w:tcPr>
          <w:p>
            <w:r>
              <w:rPr>
                <w:sz w:val="20"/>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