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Enhanced Income and Banking Verification Standards</w:t>
        <w:br/>
        <w:t>for High-Value Personal Loans</w:t>
      </w:r>
    </w:p>
    <w:p>
      <w:pPr>
        <w:spacing w:after="240"/>
        <w:jc w:val="center"/>
      </w:pPr>
      <w:r>
        <w:rPr>
          <w:sz w:val="24"/>
        </w:rPr>
        <w:t>Business Requirement Document</w:t>
      </w:r>
    </w:p>
    <w:tbl>
      <w:tblPr>
        <w:tblStyle w:val="TableGrid"/>
        <w:tblW w:type="auto" w:w="0"/>
        <w:jc w:val="center"/>
        <w:tblLook w:firstColumn="1" w:firstRow="1" w:lastColumn="0" w:lastRow="0" w:noHBand="0" w:noVBand="1" w:val="04A0"/>
      </w:tblPr>
      <w:tblGrid>
        <w:gridCol w:w="4320"/>
        <w:gridCol w:w="4320"/>
      </w:tblGrid>
      <w:tr>
        <w:tc>
          <w:tcPr>
            <w:tcW w:type="dxa" w:w="2880"/>
            <w:shd w:fill="D6E4F0" w:val="clear"/>
          </w:tcPr>
          <w:p>
            <w:r/>
            <w:r>
              <w:rPr>
                <w:b/>
                <w:sz w:val="20"/>
              </w:rPr>
              <w:t>Document ID</w:t>
            </w:r>
          </w:p>
        </w:tc>
        <w:tc>
          <w:tcPr>
            <w:tcW w:type="dxa" w:w="6480"/>
          </w:tcPr>
          <w:p>
            <w:r>
              <w:rPr>
                <w:sz w:val="20"/>
              </w:rPr>
              <w:t>BRD-PL-2026-002</w:t>
            </w:r>
          </w:p>
        </w:tc>
      </w:tr>
      <w:tr>
        <w:tc>
          <w:tcPr>
            <w:tcW w:type="dxa" w:w="2880"/>
            <w:shd w:fill="D6E4F0" w:val="clear"/>
          </w:tcPr>
          <w:p>
            <w:r/>
            <w:r>
              <w:rPr>
                <w:b/>
                <w:sz w:val="20"/>
              </w:rPr>
              <w:t>Version</w:t>
            </w:r>
          </w:p>
        </w:tc>
        <w:tc>
          <w:tcPr>
            <w:tcW w:type="dxa" w:w="6480"/>
          </w:tcPr>
          <w:p>
            <w:r>
              <w:rPr>
                <w:sz w:val="20"/>
              </w:rPr>
              <w:t>1.0</w:t>
            </w:r>
          </w:p>
        </w:tc>
      </w:tr>
      <w:tr>
        <w:tc>
          <w:tcPr>
            <w:tcW w:type="dxa" w:w="2880"/>
            <w:shd w:fill="D6E4F0" w:val="clear"/>
          </w:tcPr>
          <w:p>
            <w:r/>
            <w:r>
              <w:rPr>
                <w:b/>
                <w:sz w:val="20"/>
              </w:rPr>
              <w:t>Date</w:t>
            </w:r>
          </w:p>
        </w:tc>
        <w:tc>
          <w:tcPr>
            <w:tcW w:type="dxa" w:w="6480"/>
          </w:tcPr>
          <w:p>
            <w:r>
              <w:rPr>
                <w:sz w:val="20"/>
              </w:rPr>
              <w:t>2026-02-20</w:t>
            </w:r>
          </w:p>
        </w:tc>
      </w:tr>
      <w:tr>
        <w:tc>
          <w:tcPr>
            <w:tcW w:type="dxa" w:w="2880"/>
            <w:shd w:fill="D6E4F0" w:val="clear"/>
          </w:tcPr>
          <w:p>
            <w:r/>
            <w:r>
              <w:rPr>
                <w:b/>
                <w:sz w:val="20"/>
              </w:rPr>
              <w:t>Author</w:t>
            </w:r>
          </w:p>
        </w:tc>
        <w:tc>
          <w:tcPr>
            <w:tcW w:type="dxa" w:w="6480"/>
          </w:tcPr>
          <w:p>
            <w:r>
              <w:rPr>
                <w:sz w:val="20"/>
              </w:rPr>
              <w:t>Anita Kulkarni, Credit Policy Manager</w:t>
            </w:r>
          </w:p>
        </w:tc>
      </w:tr>
      <w:tr>
        <w:tc>
          <w:tcPr>
            <w:tcW w:type="dxa" w:w="2880"/>
            <w:shd w:fill="D6E4F0" w:val="clear"/>
          </w:tcPr>
          <w:p>
            <w:r/>
            <w:r>
              <w:rPr>
                <w:b/>
                <w:sz w:val="20"/>
              </w:rPr>
              <w:t>Department</w:t>
            </w:r>
          </w:p>
        </w:tc>
        <w:tc>
          <w:tcPr>
            <w:tcW w:type="dxa" w:w="6480"/>
          </w:tcPr>
          <w:p>
            <w:r>
              <w:rPr>
                <w:sz w:val="20"/>
              </w:rPr>
              <w:t>Credit Risk &amp; Policy</w:t>
            </w:r>
          </w:p>
        </w:tc>
      </w:tr>
      <w:tr>
        <w:tc>
          <w:tcPr>
            <w:tcW w:type="dxa" w:w="2880"/>
            <w:shd w:fill="D6E4F0" w:val="clear"/>
          </w:tcPr>
          <w:p>
            <w:r/>
            <w:r>
              <w:rPr>
                <w:b/>
                <w:sz w:val="20"/>
              </w:rPr>
              <w:t>Status</w:t>
            </w:r>
          </w:p>
        </w:tc>
        <w:tc>
          <w:tcPr>
            <w:tcW w:type="dxa" w:w="6480"/>
          </w:tcPr>
          <w:p>
            <w:r>
              <w:rPr>
                <w:sz w:val="20"/>
              </w:rPr>
              <w:t>Draft - Pending Approval</w:t>
            </w:r>
          </w:p>
        </w:tc>
      </w:tr>
    </w:tbl>
    <w:p/>
    <w:p>
      <w:pPr>
        <w:pStyle w:val="Heading1"/>
      </w:pPr>
      <w:r>
        <w:t>1.0 Executive Summary</w:t>
      </w:r>
    </w:p>
    <w:p>
      <w:r>
        <w:t>This document outlines proposed enhancements to the income and banking verification standards applied to personal loan applications. The changes focus on three areas: establishing a minimum income requirement for high-value loans, tightening the salary credit consistency threshold, and introducing a banking stability floor.</w:t>
      </w:r>
    </w:p>
    <w:p>
      <w:r>
        <w:t>These measures are intended to strengthen the quality of income verification signals used in the underwriting process, particularly for larger loan exposures where the cost of default is proportionally higher. The changes build upon recent improvements in banking data availability through Account Aggregator integrations.</w:t>
      </w:r>
    </w:p>
    <w:p>
      <w:pPr>
        <w:pStyle w:val="Heading1"/>
      </w:pPr>
      <w:r>
        <w:t>2.0 Background &amp; Rationale</w:t>
      </w:r>
    </w:p>
    <w:p>
      <w:r>
        <w:t>Post-pandemic lending data reveals a growing segment of borrowers who qualify on bureau score alone but whose income stability metrics indicate elevated repayment risk. In particular, high-value personal loans (above INR 1,50,000) originated to borrowers with monthly income below INR 50,000 have exhibited a 60+ DPD rate that is 2.3x the portfolio average.</w:t>
      </w:r>
    </w:p>
    <w:p>
      <w:r>
        <w:t>Furthermore, relaxed salary consistency thresholds introduced during COVID concessions (0.80) have not been revisited despite a return to normalised labour market conditions. Restoring a higher threshold of 0.85 aligns with the pre-pandemic standard and is supported by current risk analytics.</w:t>
      </w:r>
    </w:p>
    <w:p>
      <w:pPr>
        <w:pStyle w:val="Heading1"/>
      </w:pPr>
      <w:r>
        <w:t>3.0 Current 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Rule</w:t>
            </w:r>
          </w:p>
        </w:tc>
        <w:tc>
          <w:tcPr>
            <w:tcW w:type="dxa" w:w="2592"/>
            <w:shd w:fill="2F5496" w:val="clear"/>
          </w:tcPr>
          <w:p>
            <w:r/>
            <w:r>
              <w:rPr>
                <w:b/>
                <w:color w:val="FFFFFF"/>
                <w:sz w:val="20"/>
              </w:rPr>
              <w:t>Field(s)</w:t>
            </w:r>
          </w:p>
        </w:tc>
        <w:tc>
          <w:tcPr>
            <w:tcW w:type="dxa" w:w="1872"/>
            <w:shd w:fill="2F5496" w:val="clear"/>
          </w:tcPr>
          <w:p>
            <w:r/>
            <w:r>
              <w:rPr>
                <w:b/>
                <w:color w:val="FFFFFF"/>
                <w:sz w:val="20"/>
              </w:rPr>
              <w:t>Current Threshold</w:t>
            </w:r>
          </w:p>
        </w:tc>
        <w:tc>
          <w:tcPr>
            <w:tcW w:type="dxa" w:w="1440"/>
            <w:shd w:fill="2F5496" w:val="clear"/>
          </w:tcPr>
          <w:p>
            <w:r/>
            <w:r>
              <w:rPr>
                <w:b/>
                <w:color w:val="FFFFFF"/>
                <w:sz w:val="20"/>
              </w:rPr>
              <w:t>Action</w:t>
            </w:r>
          </w:p>
        </w:tc>
      </w:tr>
      <w:tr>
        <w:tc>
          <w:tcPr>
            <w:tcW w:type="dxa" w:w="2880"/>
          </w:tcPr>
          <w:p>
            <w:r>
              <w:rPr>
                <w:sz w:val="20"/>
              </w:rPr>
              <w:t>Income Floor for High-Value Loans</w:t>
            </w:r>
          </w:p>
        </w:tc>
        <w:tc>
          <w:tcPr>
            <w:tcW w:type="dxa" w:w="2592"/>
          </w:tcPr>
          <w:p>
            <w:r>
              <w:rPr>
                <w:sz w:val="20"/>
              </w:rPr>
              <w:t>monthly_income, desired_amount</w:t>
            </w:r>
          </w:p>
        </w:tc>
        <w:tc>
          <w:tcPr>
            <w:tcW w:type="dxa" w:w="1872"/>
          </w:tcPr>
          <w:p>
            <w:r>
              <w:rPr>
                <w:sz w:val="20"/>
              </w:rPr>
              <w:t>(not enforced)</w:t>
            </w:r>
          </w:p>
        </w:tc>
        <w:tc>
          <w:tcPr>
            <w:tcW w:type="dxa" w:w="1440"/>
          </w:tcPr>
          <w:p>
            <w:r>
              <w:rPr>
                <w:sz w:val="20"/>
              </w:rPr>
              <w:t>N/A</w:t>
            </w:r>
          </w:p>
        </w:tc>
      </w:tr>
      <w:tr>
        <w:tc>
          <w:tcPr>
            <w:tcW w:type="dxa" w:w="2880"/>
            <w:shd w:fill="D6E4F0" w:val="clear"/>
          </w:tcPr>
          <w:p>
            <w:r>
              <w:rPr>
                <w:sz w:val="20"/>
              </w:rPr>
              <w:t>Salary Credit Consistency</w:t>
            </w:r>
          </w:p>
        </w:tc>
        <w:tc>
          <w:tcPr>
            <w:tcW w:type="dxa" w:w="2592"/>
            <w:shd w:fill="D6E4F0" w:val="clear"/>
          </w:tcPr>
          <w:p>
            <w:r>
              <w:rPr>
                <w:sz w:val="20"/>
              </w:rPr>
              <w:t>salary_credit_consistency_6m</w:t>
            </w:r>
          </w:p>
        </w:tc>
        <w:tc>
          <w:tcPr>
            <w:tcW w:type="dxa" w:w="1872"/>
            <w:shd w:fill="D6E4F0" w:val="clear"/>
          </w:tcPr>
          <w:p>
            <w:r>
              <w:rPr>
                <w:sz w:val="20"/>
              </w:rPr>
              <w:t>&lt; 0.80</w:t>
            </w:r>
          </w:p>
        </w:tc>
        <w:tc>
          <w:tcPr>
            <w:tcW w:type="dxa" w:w="1440"/>
            <w:shd w:fill="D6E4F0" w:val="clear"/>
          </w:tcPr>
          <w:p>
            <w:r>
              <w:rPr>
                <w:sz w:val="20"/>
              </w:rPr>
              <w:t>REJECT</w:t>
            </w:r>
          </w:p>
        </w:tc>
      </w:tr>
      <w:tr>
        <w:tc>
          <w:tcPr>
            <w:tcW w:type="dxa" w:w="2880"/>
          </w:tcPr>
          <w:p>
            <w:r>
              <w:rPr>
                <w:sz w:val="20"/>
              </w:rPr>
              <w:t>Banking Stability Index</w:t>
            </w:r>
          </w:p>
        </w:tc>
        <w:tc>
          <w:tcPr>
            <w:tcW w:type="dxa" w:w="2592"/>
          </w:tcPr>
          <w:p>
            <w:r>
              <w:rPr>
                <w:sz w:val="20"/>
              </w:rPr>
              <w:t>banking_stability_index</w:t>
            </w:r>
          </w:p>
        </w:tc>
        <w:tc>
          <w:tcPr>
            <w:tcW w:type="dxa" w:w="1872"/>
          </w:tcPr>
          <w:p>
            <w:r>
              <w:rPr>
                <w:sz w:val="20"/>
              </w:rPr>
              <w:t>(not enforced)</w:t>
            </w:r>
          </w:p>
        </w:tc>
        <w:tc>
          <w:tcPr>
            <w:tcW w:type="dxa" w:w="1440"/>
          </w:tcPr>
          <w:p>
            <w:r>
              <w:rPr>
                <w:sz w:val="20"/>
              </w:rPr>
              <w:t>N/A</w:t>
            </w:r>
          </w:p>
        </w:tc>
      </w:tr>
    </w:tbl>
    <w:p/>
    <w:p>
      <w:pPr>
        <w:pStyle w:val="Heading1"/>
      </w:pPr>
      <w:r>
        <w:t>4.0 Proposed Rule Changes</w:t>
      </w:r>
    </w:p>
    <w:p>
      <w:pPr>
        <w:pStyle w:val="Heading2"/>
      </w:pPr>
      <w:r>
        <w:t>4.1 Minimum Income for High-Value Loans</w:t>
      </w:r>
    </w:p>
    <w:p>
      <w:r>
        <w:t>A new eligibility rule shall be introduced requiring that applicants requesting a loan amount (desired_amount) exceeding 150,000 must demonstrate a monthly_income of at least 50,000. Applications that do not meet this combined condition will be rejected.</w:t>
      </w:r>
    </w:p>
    <w:tbl>
      <w:tblPr>
        <w:tblStyle w:val="TableGrid"/>
        <w:tblW w:type="auto" w:w="0"/>
        <w:jc w:val="center"/>
        <w:tblLook w:firstColumn="1" w:firstRow="1" w:lastColumn="0" w:lastRow="0" w:noHBand="0" w:noVBand="1" w:val="04A0"/>
      </w:tblPr>
      <w:tblGrid>
        <w:gridCol w:w="4320"/>
        <w:gridCol w:w="4320"/>
      </w:tblGrid>
      <w:tr>
        <w:tc>
          <w:tcPr>
            <w:tcW w:type="dxa" w:w="2880"/>
            <w:shd w:fill="2F5496" w:val="clear"/>
          </w:tcPr>
          <w:p>
            <w:r/>
            <w:r>
              <w:rPr>
                <w:b/>
                <w:color w:val="FFFFFF"/>
                <w:sz w:val="20"/>
              </w:rPr>
              <w:t>Attribute</w:t>
            </w:r>
          </w:p>
        </w:tc>
        <w:tc>
          <w:tcPr>
            <w:tcW w:type="dxa" w:w="6480"/>
            <w:shd w:fill="2F5496" w:val="clear"/>
          </w:tcPr>
          <w:p>
            <w:r/>
            <w:r>
              <w:rPr>
                <w:b/>
                <w:color w:val="FFFFFF"/>
                <w:sz w:val="20"/>
              </w:rPr>
              <w:t>Value</w:t>
            </w:r>
          </w:p>
        </w:tc>
      </w:tr>
      <w:tr>
        <w:tc>
          <w:tcPr>
            <w:tcW w:type="dxa" w:w="2880"/>
          </w:tcPr>
          <w:p>
            <w:r>
              <w:rPr>
                <w:sz w:val="20"/>
              </w:rPr>
              <w:t>Condition</w:t>
            </w:r>
          </w:p>
        </w:tc>
        <w:tc>
          <w:tcPr>
            <w:tcW w:type="dxa" w:w="6480"/>
          </w:tcPr>
          <w:p>
            <w:r>
              <w:rPr>
                <w:sz w:val="20"/>
              </w:rPr>
              <w:t>desired_amount &gt; 150000 AND monthly_income &lt; 50000</w:t>
            </w:r>
          </w:p>
        </w:tc>
      </w:tr>
      <w:tr>
        <w:tc>
          <w:tcPr>
            <w:tcW w:type="dxa" w:w="2880"/>
            <w:shd w:fill="D6E4F0" w:val="clear"/>
          </w:tcPr>
          <w:p>
            <w:r>
              <w:rPr>
                <w:sz w:val="20"/>
              </w:rPr>
              <w:t>Action</w:t>
            </w:r>
          </w:p>
        </w:tc>
        <w:tc>
          <w:tcPr>
            <w:tcW w:type="dxa" w:w="6480"/>
            <w:shd w:fill="D6E4F0" w:val="clear"/>
          </w:tcPr>
          <w:p>
            <w:r>
              <w:rPr>
                <w:sz w:val="20"/>
              </w:rPr>
              <w:t>REJECT</w:t>
            </w:r>
          </w:p>
        </w:tc>
      </w:tr>
      <w:tr>
        <w:tc>
          <w:tcPr>
            <w:tcW w:type="dxa" w:w="2880"/>
          </w:tcPr>
          <w:p>
            <w:r>
              <w:rPr>
                <w:sz w:val="20"/>
              </w:rPr>
              <w:t>Rationale</w:t>
            </w:r>
          </w:p>
        </w:tc>
        <w:tc>
          <w:tcPr>
            <w:tcW w:type="dxa" w:w="6480"/>
          </w:tcPr>
          <w:p>
            <w:r>
              <w:rPr>
                <w:sz w:val="20"/>
              </w:rPr>
              <w:t>Ensure debt serviceability for large exposures</w:t>
            </w:r>
          </w:p>
        </w:tc>
      </w:tr>
    </w:tbl>
    <w:p/>
    <w:p>
      <w:pPr>
        <w:pStyle w:val="Heading2"/>
      </w:pPr>
      <w:r>
        <w:t>4.2 Salary Credit Consistency Requirement</w:t>
      </w:r>
    </w:p>
    <w:p>
      <w:r>
        <w:t>The minimum acceptable salary credit consistency score over a trailing 6-month window shall be increased from 0.80 to 0.85. This metric measures the regularity and predictability of salary credits into the applicant's primary bank account. Applications where salary_credit_consistency_6m is below 0.85 will be rejected.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r/>
            <w:r>
              <w:rPr>
                <w:b/>
                <w:color w:val="FFFFFF"/>
                <w:sz w:val="20"/>
              </w:rPr>
              <w:t>Attribute</w:t>
            </w:r>
          </w:p>
        </w:tc>
        <w:tc>
          <w:tcPr>
            <w:tcW w:type="dxa" w:w="2880"/>
            <w:shd w:fill="2F5496" w:val="clear"/>
          </w:tcPr>
          <w:p>
            <w:r/>
            <w:r>
              <w:rPr>
                <w:b/>
                <w:color w:val="FFFFFF"/>
                <w:sz w:val="20"/>
              </w:rPr>
              <w:t>Current Value</w:t>
            </w:r>
          </w:p>
        </w:tc>
        <w:tc>
          <w:tcPr>
            <w:tcW w:type="dxa" w:w="2880"/>
            <w:shd w:fill="2F5496" w:val="clear"/>
          </w:tcPr>
          <w:p>
            <w:r/>
            <w:r>
              <w:rPr>
                <w:b/>
                <w:color w:val="FFFFFF"/>
                <w:sz w:val="20"/>
              </w:rPr>
              <w:t>Proposed Value</w:t>
            </w:r>
          </w:p>
        </w:tc>
      </w:tr>
      <w:tr>
        <w:tc>
          <w:tcPr>
            <w:tcW w:type="dxa" w:w="2880"/>
          </w:tcPr>
          <w:p>
            <w:r>
              <w:rPr>
                <w:sz w:val="20"/>
              </w:rPr>
              <w:t>Field</w:t>
            </w:r>
          </w:p>
        </w:tc>
        <w:tc>
          <w:tcPr>
            <w:tcW w:type="dxa" w:w="2880"/>
          </w:tcPr>
          <w:p>
            <w:r>
              <w:rPr>
                <w:sz w:val="20"/>
              </w:rPr>
              <w:t>salary_credit_consistency_6m</w:t>
            </w:r>
          </w:p>
        </w:tc>
        <w:tc>
          <w:tcPr>
            <w:tcW w:type="dxa" w:w="2880"/>
          </w:tcPr>
          <w:p>
            <w:r>
              <w:rPr>
                <w:sz w:val="20"/>
              </w:rPr>
              <w:t>salary_credit_consistency_6m</w:t>
            </w:r>
          </w:p>
        </w:tc>
      </w:tr>
      <w:tr>
        <w:tc>
          <w:tcPr>
            <w:tcW w:type="dxa" w:w="2880"/>
            <w:shd w:fill="D6E4F0" w:val="clear"/>
          </w:tcPr>
          <w:p>
            <w:r>
              <w:rPr>
                <w:sz w:val="20"/>
              </w:rPr>
              <w:t>Operator</w:t>
            </w:r>
          </w:p>
        </w:tc>
        <w:tc>
          <w:tcPr>
            <w:tcW w:type="dxa" w:w="2880"/>
            <w:shd w:fill="D6E4F0" w:val="clear"/>
          </w:tcPr>
          <w:p>
            <w:r>
              <w:rPr>
                <w:sz w:val="20"/>
              </w:rPr>
              <w:t>&lt;</w:t>
            </w:r>
          </w:p>
        </w:tc>
        <w:tc>
          <w:tcPr>
            <w:tcW w:type="dxa" w:w="2880"/>
            <w:shd w:fill="D6E4F0" w:val="clear"/>
          </w:tcPr>
          <w:p>
            <w:r>
              <w:rPr>
                <w:sz w:val="20"/>
              </w:rPr>
              <w:t>&lt;</w:t>
            </w:r>
          </w:p>
        </w:tc>
      </w:tr>
      <w:tr>
        <w:tc>
          <w:tcPr>
            <w:tcW w:type="dxa" w:w="2880"/>
          </w:tcPr>
          <w:p>
            <w:r>
              <w:rPr>
                <w:sz w:val="20"/>
              </w:rPr>
              <w:t>Threshold</w:t>
            </w:r>
          </w:p>
        </w:tc>
        <w:tc>
          <w:tcPr>
            <w:tcW w:type="dxa" w:w="2880"/>
          </w:tcPr>
          <w:p>
            <w:r>
              <w:rPr>
                <w:sz w:val="20"/>
              </w:rPr>
              <w:t>0.80</w:t>
            </w:r>
          </w:p>
        </w:tc>
        <w:tc>
          <w:tcPr>
            <w:tcW w:type="dxa" w:w="2880"/>
          </w:tcPr>
          <w:p>
            <w:r>
              <w:rPr>
                <w:sz w:val="20"/>
              </w:rPr>
              <w:t>0.85</w:t>
            </w:r>
          </w:p>
        </w:tc>
      </w:tr>
      <w:tr>
        <w:tc>
          <w:tcPr>
            <w:tcW w:type="dxa" w:w="2880"/>
            <w:shd w:fill="D6E4F0" w:val="clear"/>
          </w:tcPr>
          <w:p>
            <w:r>
              <w:rPr>
                <w:sz w:val="20"/>
              </w:rPr>
              <w:t>Action on Breach</w:t>
            </w:r>
          </w:p>
        </w:tc>
        <w:tc>
          <w:tcPr>
            <w:tcW w:type="dxa" w:w="2880"/>
            <w:shd w:fill="D6E4F0" w:val="clear"/>
          </w:tcPr>
          <w:p>
            <w:r>
              <w:rPr>
                <w:sz w:val="20"/>
              </w:rPr>
              <w:t>REJECT</w:t>
            </w:r>
          </w:p>
        </w:tc>
        <w:tc>
          <w:tcPr>
            <w:tcW w:type="dxa" w:w="2880"/>
            <w:shd w:fill="D6E4F0" w:val="clear"/>
          </w:tcPr>
          <w:p>
            <w:r>
              <w:rPr>
                <w:sz w:val="20"/>
              </w:rPr>
              <w:t>REJECT</w:t>
            </w:r>
          </w:p>
        </w:tc>
      </w:tr>
    </w:tbl>
    <w:p/>
    <w:p>
      <w:pPr>
        <w:pStyle w:val="Heading2"/>
      </w:pPr>
      <w:r>
        <w:t>4.3 Banking Stability Floor</w:t>
      </w:r>
    </w:p>
    <w:p>
      <w:r>
        <w:t>A new minimum threshold shall be established for the banking stability index (banking_stability_index). This composite score reflects account tenure, average balance maintenance, and transaction regularity. Applications where the banking_stability_index is below 0.75 will be rejected.</w:t>
      </w:r>
    </w:p>
    <w:tbl>
      <w:tblPr>
        <w:tblStyle w:val="TableGrid"/>
        <w:tblW w:type="auto" w:w="0"/>
        <w:jc w:val="center"/>
        <w:tblLook w:firstColumn="1" w:firstRow="1" w:lastColumn="0" w:lastRow="0" w:noHBand="0" w:noVBand="1" w:val="04A0"/>
      </w:tblPr>
      <w:tblGrid>
        <w:gridCol w:w="4320"/>
        <w:gridCol w:w="4320"/>
      </w:tblGrid>
      <w:tr>
        <w:tc>
          <w:tcPr>
            <w:tcW w:type="dxa" w:w="3600"/>
            <w:shd w:fill="2F5496" w:val="clear"/>
          </w:tcPr>
          <w:p>
            <w:r/>
            <w:r>
              <w:rPr>
                <w:b/>
                <w:color w:val="FFFFFF"/>
                <w:sz w:val="20"/>
              </w:rPr>
              <w:t>Attribute</w:t>
            </w:r>
          </w:p>
        </w:tc>
        <w:tc>
          <w:tcPr>
            <w:tcW w:type="dxa" w:w="5040"/>
            <w:shd w:fill="2F5496" w:val="clear"/>
          </w:tcPr>
          <w:p>
            <w:r/>
            <w:r>
              <w:rPr>
                <w:b/>
                <w:color w:val="FFFFFF"/>
                <w:sz w:val="20"/>
              </w:rPr>
              <w:t>Value</w:t>
            </w:r>
          </w:p>
        </w:tc>
      </w:tr>
      <w:tr>
        <w:tc>
          <w:tcPr>
            <w:tcW w:type="dxa" w:w="3600"/>
          </w:tcPr>
          <w:p>
            <w:r>
              <w:rPr>
                <w:sz w:val="20"/>
              </w:rPr>
              <w:t>Field</w:t>
            </w:r>
          </w:p>
        </w:tc>
        <w:tc>
          <w:tcPr>
            <w:tcW w:type="dxa" w:w="5040"/>
          </w:tcPr>
          <w:p>
            <w:r>
              <w:rPr>
                <w:sz w:val="20"/>
              </w:rPr>
              <w:t>banking_stability_index</w:t>
            </w:r>
          </w:p>
        </w:tc>
      </w:tr>
      <w:tr>
        <w:tc>
          <w:tcPr>
            <w:tcW w:type="dxa" w:w="3600"/>
            <w:shd w:fill="D6E4F0" w:val="clear"/>
          </w:tcPr>
          <w:p>
            <w:r>
              <w:rPr>
                <w:sz w:val="20"/>
              </w:rPr>
              <w:t>Operator</w:t>
            </w:r>
          </w:p>
        </w:tc>
        <w:tc>
          <w:tcPr>
            <w:tcW w:type="dxa" w:w="5040"/>
            <w:shd w:fill="D6E4F0" w:val="clear"/>
          </w:tcPr>
          <w:p>
            <w:r>
              <w:rPr>
                <w:sz w:val="20"/>
              </w:rPr>
              <w:t>&lt;</w:t>
            </w:r>
          </w:p>
        </w:tc>
      </w:tr>
      <w:tr>
        <w:tc>
          <w:tcPr>
            <w:tcW w:type="dxa" w:w="3600"/>
          </w:tcPr>
          <w:p>
            <w:r>
              <w:rPr>
                <w:sz w:val="20"/>
              </w:rPr>
              <w:t>Threshold</w:t>
            </w:r>
          </w:p>
        </w:tc>
        <w:tc>
          <w:tcPr>
            <w:tcW w:type="dxa" w:w="5040"/>
          </w:tcPr>
          <w:p>
            <w:r>
              <w:rPr>
                <w:sz w:val="20"/>
              </w:rPr>
              <w:t>0.75</w:t>
            </w:r>
          </w:p>
        </w:tc>
      </w:tr>
      <w:tr>
        <w:tc>
          <w:tcPr>
            <w:tcW w:type="dxa" w:w="3600"/>
            <w:shd w:fill="D6E4F0" w:val="clear"/>
          </w:tcPr>
          <w:p>
            <w:r>
              <w:rPr>
                <w:sz w:val="20"/>
              </w:rPr>
              <w:t>Action on Breach</w:t>
            </w:r>
          </w:p>
        </w:tc>
        <w:tc>
          <w:tcPr>
            <w:tcW w:type="dxa" w:w="5040"/>
            <w:shd w:fill="D6E4F0" w:val="clear"/>
          </w:tcPr>
          <w:p>
            <w:r>
              <w:rPr>
                <w:sz w:val="20"/>
              </w:rPr>
              <w:t>REJECT</w:t>
            </w:r>
          </w:p>
        </w:tc>
      </w:tr>
    </w:tbl>
    <w:p/>
    <w:p>
      <w:pPr>
        <w:pStyle w:val="Heading1"/>
      </w:pPr>
      <w:r>
        <w:t>5.0 Expected Impact</w:t>
      </w:r>
    </w:p>
    <w:p>
      <w:r>
        <w:t>The proposed changes are expected to yield the following outcomes:</w:t>
      </w:r>
    </w:p>
    <w:tbl>
      <w:tblPr>
        <w:tblStyle w:val="TableGrid"/>
        <w:tblW w:type="auto" w:w="0"/>
        <w:jc w:val="center"/>
        <w:tblLook w:firstColumn="1" w:firstRow="1" w:lastColumn="0" w:lastRow="0" w:noHBand="0" w:noVBand="1" w:val="04A0"/>
      </w:tblPr>
      <w:tblGrid>
        <w:gridCol w:w="4320"/>
        <w:gridCol w:w="4320"/>
      </w:tblGrid>
      <w:tr>
        <w:tc>
          <w:tcPr>
            <w:tcW w:type="dxa" w:w="4320"/>
            <w:shd w:fill="2F5496" w:val="clear"/>
          </w:tcPr>
          <w:p>
            <w:r/>
            <w:r>
              <w:rPr>
                <w:b/>
                <w:color w:val="FFFFFF"/>
                <w:sz w:val="20"/>
              </w:rPr>
              <w:t>Metric</w:t>
            </w:r>
          </w:p>
        </w:tc>
        <w:tc>
          <w:tcPr>
            <w:tcW w:type="dxa" w:w="5040"/>
            <w:shd w:fill="2F5496" w:val="clear"/>
          </w:tcPr>
          <w:p>
            <w:r/>
            <w:r>
              <w:rPr>
                <w:b/>
                <w:color w:val="FFFFFF"/>
                <w:sz w:val="20"/>
              </w:rPr>
              <w:t>Estimated Change</w:t>
            </w:r>
          </w:p>
        </w:tc>
      </w:tr>
      <w:tr>
        <w:tc>
          <w:tcPr>
            <w:tcW w:type="dxa" w:w="4320"/>
          </w:tcPr>
          <w:p>
            <w:r>
              <w:rPr>
                <w:sz w:val="20"/>
              </w:rPr>
              <w:t>Approval Rate (High-Value Segment)</w:t>
            </w:r>
          </w:p>
        </w:tc>
        <w:tc>
          <w:tcPr>
            <w:tcW w:type="dxa" w:w="5040"/>
          </w:tcPr>
          <w:p>
            <w:r>
              <w:rPr>
                <w:sz w:val="20"/>
              </w:rPr>
              <w:t>Decrease by 5-8 percentage points</w:t>
            </w:r>
          </w:p>
        </w:tc>
      </w:tr>
      <w:tr>
        <w:tc>
          <w:tcPr>
            <w:tcW w:type="dxa" w:w="4320"/>
            <w:shd w:fill="D6E4F0" w:val="clear"/>
          </w:tcPr>
          <w:p>
            <w:r>
              <w:rPr>
                <w:sz w:val="20"/>
              </w:rPr>
              <w:t>60+ DPD Rate (High-Value Segment)</w:t>
            </w:r>
          </w:p>
        </w:tc>
        <w:tc>
          <w:tcPr>
            <w:tcW w:type="dxa" w:w="5040"/>
            <w:shd w:fill="D6E4F0" w:val="clear"/>
          </w:tcPr>
          <w:p>
            <w:r>
              <w:rPr>
                <w:sz w:val="20"/>
              </w:rPr>
              <w:t>Improve by 100-150 basis points</w:t>
            </w:r>
          </w:p>
        </w:tc>
      </w:tr>
      <w:tr>
        <w:tc>
          <w:tcPr>
            <w:tcW w:type="dxa" w:w="4320"/>
          </w:tcPr>
          <w:p>
            <w:r>
              <w:rPr>
                <w:sz w:val="20"/>
              </w:rPr>
              <w:t>Income Verification Confidence</w:t>
            </w:r>
          </w:p>
        </w:tc>
        <w:tc>
          <w:tcPr>
            <w:tcW w:type="dxa" w:w="5040"/>
          </w:tcPr>
          <w:p>
            <w:r>
              <w:rPr>
                <w:sz w:val="20"/>
              </w:rPr>
              <w:t>Increase from 78% to 88%</w:t>
            </w:r>
          </w:p>
        </w:tc>
      </w:tr>
      <w:tr>
        <w:tc>
          <w:tcPr>
            <w:tcW w:type="dxa" w:w="4320"/>
            <w:shd w:fill="D6E4F0" w:val="clear"/>
          </w:tcPr>
          <w:p>
            <w:r>
              <w:rPr>
                <w:sz w:val="20"/>
              </w:rPr>
              <w:t>False Positive Rate (Income Fraud)</w:t>
            </w:r>
          </w:p>
        </w:tc>
        <w:tc>
          <w:tcPr>
            <w:tcW w:type="dxa" w:w="5040"/>
            <w:shd w:fill="D6E4F0" w:val="clear"/>
          </w:tcPr>
          <w:p>
            <w:r>
              <w:rPr>
                <w:sz w:val="20"/>
              </w:rPr>
              <w:t>Reduce by approximately 30%</w:t>
            </w:r>
          </w:p>
        </w:tc>
      </w:tr>
    </w:tbl>
    <w:p/>
    <w:p>
      <w:pPr>
        <w:pStyle w:val="Heading1"/>
      </w:pPr>
      <w:r>
        <w:t>6.0 Implementation Timeline</w:t>
      </w:r>
    </w:p>
    <w:tbl>
      <w:tblPr>
        <w:tblStyle w:val="TableGrid"/>
        <w:tblW w:type="auto" w:w="0"/>
        <w:jc w:val="center"/>
        <w:tblLook w:firstColumn="1" w:firstRow="1" w:lastColumn="0" w:lastRow="0" w:noHBand="0" w:noVBand="1" w:val="04A0"/>
      </w:tblPr>
      <w:tblGrid>
        <w:gridCol w:w="4320"/>
        <w:gridCol w:w="4320"/>
      </w:tblGrid>
      <w:tr>
        <w:tc>
          <w:tcPr>
            <w:tcW w:type="dxa" w:w="5040"/>
            <w:shd w:fill="2F5496" w:val="clear"/>
          </w:tcPr>
          <w:p>
            <w:r/>
            <w:r>
              <w:rPr>
                <w:b/>
                <w:color w:val="FFFFFF"/>
                <w:sz w:val="20"/>
              </w:rPr>
              <w:t>Milestone</w:t>
            </w:r>
          </w:p>
        </w:tc>
        <w:tc>
          <w:tcPr>
            <w:tcW w:type="dxa" w:w="4320"/>
            <w:shd w:fill="2F5496" w:val="clear"/>
          </w:tcPr>
          <w:p>
            <w:r/>
            <w:r>
              <w:rPr>
                <w:b/>
                <w:color w:val="FFFFFF"/>
                <w:sz w:val="20"/>
              </w:rPr>
              <w:t>Target Date</w:t>
            </w:r>
          </w:p>
        </w:tc>
      </w:tr>
      <w:tr>
        <w:tc>
          <w:tcPr>
            <w:tcW w:type="dxa" w:w="5040"/>
          </w:tcPr>
          <w:p>
            <w:r>
              <w:rPr>
                <w:sz w:val="20"/>
              </w:rPr>
              <w:t>Policy Committee Approval</w:t>
            </w:r>
          </w:p>
        </w:tc>
        <w:tc>
          <w:tcPr>
            <w:tcW w:type="dxa" w:w="4320"/>
          </w:tcPr>
          <w:p>
            <w:r>
              <w:rPr>
                <w:sz w:val="20"/>
              </w:rPr>
              <w:t>2026-03-05</w:t>
            </w:r>
          </w:p>
        </w:tc>
      </w:tr>
      <w:tr>
        <w:tc>
          <w:tcPr>
            <w:tcW w:type="dxa" w:w="5040"/>
            <w:shd w:fill="D6E4F0" w:val="clear"/>
          </w:tcPr>
          <w:p>
            <w:r>
              <w:rPr>
                <w:sz w:val="20"/>
              </w:rPr>
              <w:t>Account Aggregator Data Validation</w:t>
            </w:r>
          </w:p>
        </w:tc>
        <w:tc>
          <w:tcPr>
            <w:tcW w:type="dxa" w:w="4320"/>
            <w:shd w:fill="D6E4F0" w:val="clear"/>
          </w:tcPr>
          <w:p>
            <w:r>
              <w:rPr>
                <w:sz w:val="20"/>
              </w:rPr>
              <w:t>2026-03-10</w:t>
            </w:r>
          </w:p>
        </w:tc>
      </w:tr>
      <w:tr>
        <w:tc>
          <w:tcPr>
            <w:tcW w:type="dxa" w:w="5040"/>
          </w:tcPr>
          <w:p>
            <w:r>
              <w:rPr>
                <w:sz w:val="20"/>
              </w:rPr>
              <w:t>Rule Engine Configuration</w:t>
            </w:r>
          </w:p>
        </w:tc>
        <w:tc>
          <w:tcPr>
            <w:tcW w:type="dxa" w:w="4320"/>
          </w:tcPr>
          <w:p>
            <w:r>
              <w:rPr>
                <w:sz w:val="20"/>
              </w:rPr>
              <w:t>2026-03-15</w:t>
            </w:r>
          </w:p>
        </w:tc>
      </w:tr>
      <w:tr>
        <w:tc>
          <w:tcPr>
            <w:tcW w:type="dxa" w:w="5040"/>
            <w:shd w:fill="D6E4F0" w:val="clear"/>
          </w:tcPr>
          <w:p>
            <w:r>
              <w:rPr>
                <w:sz w:val="20"/>
              </w:rPr>
              <w:t>UAT &amp; Parallel Run</w:t>
            </w:r>
          </w:p>
        </w:tc>
        <w:tc>
          <w:tcPr>
            <w:tcW w:type="dxa" w:w="4320"/>
            <w:shd w:fill="D6E4F0" w:val="clear"/>
          </w:tcPr>
          <w:p>
            <w:r>
              <w:rPr>
                <w:sz w:val="20"/>
              </w:rPr>
              <w:t>2026-03-20 to 2026-03-30</w:t>
            </w:r>
          </w:p>
        </w:tc>
      </w:tr>
      <w:tr>
        <w:tc>
          <w:tcPr>
            <w:tcW w:type="dxa" w:w="5040"/>
          </w:tcPr>
          <w:p>
            <w:r>
              <w:rPr>
                <w:sz w:val="20"/>
              </w:rPr>
              <w:t>Production Deployment</w:t>
            </w:r>
          </w:p>
        </w:tc>
        <w:tc>
          <w:tcPr>
            <w:tcW w:type="dxa" w:w="4320"/>
          </w:tcPr>
          <w:p>
            <w:r>
              <w:rPr>
                <w:sz w:val="20"/>
              </w:rPr>
              <w:t>2026-04-05</w:t>
            </w:r>
          </w:p>
        </w:tc>
      </w:tr>
    </w:tbl>
    <w:p/>
    <w:p>
      <w:pPr>
        <w:pStyle w:val="Heading1"/>
      </w:pPr>
      <w:r>
        <w:t>7.0 Approval</w:t>
      </w:r>
    </w:p>
    <w:p>
      <w:r>
        <w:t>This document requires approval from the following stakeholders before implementation may proceed.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Name</w:t>
            </w:r>
          </w:p>
        </w:tc>
        <w:tc>
          <w:tcPr>
            <w:tcW w:type="dxa" w:w="2880"/>
            <w:shd w:fill="2F5496" w:val="clear"/>
          </w:tcPr>
          <w:p>
            <w:r/>
            <w:r>
              <w:rPr>
                <w:b/>
                <w:color w:val="FFFFFF"/>
                <w:sz w:val="20"/>
              </w:rPr>
              <w:t>Role</w:t>
            </w:r>
          </w:p>
        </w:tc>
        <w:tc>
          <w:tcPr>
            <w:tcW w:type="dxa" w:w="2160"/>
            <w:shd w:fill="2F5496" w:val="clear"/>
          </w:tcPr>
          <w:p>
            <w:r/>
            <w:r>
              <w:rPr>
                <w:b/>
                <w:color w:val="FFFFFF"/>
                <w:sz w:val="20"/>
              </w:rPr>
              <w:t>Signature</w:t>
            </w:r>
          </w:p>
        </w:tc>
        <w:tc>
          <w:tcPr>
            <w:tcW w:type="dxa" w:w="1440"/>
            <w:shd w:fill="2F5496" w:val="clear"/>
          </w:tcPr>
          <w:p>
            <w:r/>
            <w:r>
              <w:rPr>
                <w:b/>
                <w:color w:val="FFFFFF"/>
                <w:sz w:val="20"/>
              </w:rPr>
              <w:t>Date</w:t>
            </w:r>
          </w:p>
        </w:tc>
      </w:tr>
      <w:tr>
        <w:tc>
          <w:tcPr>
            <w:tcW w:type="dxa" w:w="2880"/>
          </w:tcPr>
          <w:p>
            <w:r>
              <w:rPr>
                <w:sz w:val="20"/>
              </w:rPr>
              <w:t>Anita Kulkarni</w:t>
            </w:r>
          </w:p>
        </w:tc>
        <w:tc>
          <w:tcPr>
            <w:tcW w:type="dxa" w:w="2880"/>
          </w:tcPr>
          <w:p>
            <w:r>
              <w:rPr>
                <w:sz w:val="20"/>
              </w:rPr>
              <w:t>Credit Policy Manager</w:t>
            </w:r>
          </w:p>
        </w:tc>
        <w:tc>
          <w:tcPr>
            <w:tcW w:type="dxa" w:w="2160"/>
          </w:tcPr>
          <w:p>
            <w:r>
              <w:rPr>
                <w:sz w:val="20"/>
              </w:rPr>
            </w:r>
          </w:p>
        </w:tc>
        <w:tc>
          <w:tcPr>
            <w:tcW w:type="dxa" w:w="1440"/>
          </w:tcPr>
          <w:p>
            <w:r>
              <w:rPr>
                <w:sz w:val="20"/>
              </w:rPr>
            </w:r>
          </w:p>
        </w:tc>
      </w:tr>
      <w:tr>
        <w:tc>
          <w:tcPr>
            <w:tcW w:type="dxa" w:w="2880"/>
            <w:shd w:fill="D6E4F0" w:val="clear"/>
          </w:tcPr>
          <w:p>
            <w:r>
              <w:rPr>
                <w:sz w:val="20"/>
              </w:rPr>
              <w:t>Suresh Iyer</w:t>
            </w:r>
          </w:p>
        </w:tc>
        <w:tc>
          <w:tcPr>
            <w:tcW w:type="dxa" w:w="2880"/>
            <w:shd w:fill="D6E4F0" w:val="clear"/>
          </w:tcPr>
          <w:p>
            <w:r>
              <w:rPr>
                <w:sz w:val="20"/>
              </w:rPr>
              <w:t>VP - Risk Analytics</w:t>
            </w:r>
          </w:p>
        </w:tc>
        <w:tc>
          <w:tcPr>
            <w:tcW w:type="dxa" w:w="2160"/>
            <w:shd w:fill="D6E4F0" w:val="clear"/>
          </w:tcPr>
          <w:p>
            <w:r>
              <w:rPr>
                <w:sz w:val="20"/>
              </w:rPr>
            </w:r>
          </w:p>
        </w:tc>
        <w:tc>
          <w:tcPr>
            <w:tcW w:type="dxa" w:w="1440"/>
            <w:shd w:fill="D6E4F0" w:val="clear"/>
          </w:tcPr>
          <w:p>
            <w:r>
              <w:rPr>
                <w:sz w:val="20"/>
              </w:rPr>
            </w:r>
          </w:p>
        </w:tc>
      </w:tr>
      <w:tr>
        <w:tc>
          <w:tcPr>
            <w:tcW w:type="dxa" w:w="2880"/>
          </w:tcPr>
          <w:p>
            <w:r>
              <w:rPr>
                <w:sz w:val="20"/>
              </w:rPr>
              <w:t>Priya Sharma</w:t>
            </w:r>
          </w:p>
        </w:tc>
        <w:tc>
          <w:tcPr>
            <w:tcW w:type="dxa" w:w="2880"/>
          </w:tcPr>
          <w:p>
            <w:r>
              <w:rPr>
                <w:sz w:val="20"/>
              </w:rPr>
              <w:t>Head of Credit Risk</w:t>
            </w:r>
          </w:p>
        </w:tc>
        <w:tc>
          <w:tcPr>
            <w:tcW w:type="dxa" w:w="2160"/>
          </w:tcPr>
          <w:p>
            <w:r>
              <w:rPr>
                <w:sz w:val="20"/>
              </w:rPr>
            </w:r>
          </w:p>
        </w:tc>
        <w:tc>
          <w:tcPr>
            <w:tcW w:type="dxa" w:w="1440"/>
          </w:tcPr>
          <w:p>
            <w:r>
              <w:rPr>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