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Post-Pandemic Risk Mitigation Framework</w:t>
        <w:br/>
        <w:t>Enhanced Eligibility Criteria</w:t>
      </w:r>
    </w:p>
    <w:p>
      <w:pPr>
        <w:spacing w:after="240"/>
        <w:jc w:val="center"/>
      </w:pPr>
      <w:r>
        <w:rPr>
          <w:sz w:val="24"/>
        </w:rPr>
        <w:t>Business Requirement Document</w:t>
      </w:r>
    </w:p>
    <w:tbl>
      <w:tblPr>
        <w:tblStyle w:val="TableGrid"/>
        <w:tblW w:type="auto" w:w="0"/>
        <w:jc w:val="center"/>
        <w:tblLook w:firstColumn="1" w:firstRow="1" w:lastColumn="0" w:lastRow="0" w:noHBand="0" w:noVBand="1" w:val="04A0"/>
      </w:tblPr>
      <w:tblGrid>
        <w:gridCol w:w="4320"/>
        <w:gridCol w:w="4320"/>
      </w:tblGrid>
      <w:tr>
        <w:tc>
          <w:tcPr>
            <w:tcW w:type="dxa" w:w="2880"/>
            <w:shd w:fill="D6E4F0" w:val="clear"/>
          </w:tcPr>
          <w:p>
            <w:r/>
            <w:r>
              <w:rPr>
                <w:b/>
                <w:sz w:val="20"/>
              </w:rPr>
              <w:t>Document ID</w:t>
            </w:r>
          </w:p>
        </w:tc>
        <w:tc>
          <w:tcPr>
            <w:tcW w:type="dxa" w:w="6480"/>
          </w:tcPr>
          <w:p>
            <w:r>
              <w:rPr>
                <w:sz w:val="20"/>
              </w:rPr>
              <w:t>BRD-PL-2026-004</w:t>
            </w:r>
          </w:p>
        </w:tc>
      </w:tr>
      <w:tr>
        <w:tc>
          <w:tcPr>
            <w:tcW w:type="dxa" w:w="2880"/>
            <w:shd w:fill="D6E4F0" w:val="clear"/>
          </w:tcPr>
          <w:p>
            <w:r/>
            <w:r>
              <w:rPr>
                <w:b/>
                <w:sz w:val="20"/>
              </w:rPr>
              <w:t>Version</w:t>
            </w:r>
          </w:p>
        </w:tc>
        <w:tc>
          <w:tcPr>
            <w:tcW w:type="dxa" w:w="6480"/>
          </w:tcPr>
          <w:p>
            <w:r>
              <w:rPr>
                <w:sz w:val="20"/>
              </w:rPr>
              <w:t>1.0</w:t>
            </w:r>
          </w:p>
        </w:tc>
      </w:tr>
      <w:tr>
        <w:tc>
          <w:tcPr>
            <w:tcW w:type="dxa" w:w="2880"/>
            <w:shd w:fill="D6E4F0" w:val="clear"/>
          </w:tcPr>
          <w:p>
            <w:r/>
            <w:r>
              <w:rPr>
                <w:b/>
                <w:sz w:val="20"/>
              </w:rPr>
              <w:t>Date</w:t>
            </w:r>
          </w:p>
        </w:tc>
        <w:tc>
          <w:tcPr>
            <w:tcW w:type="dxa" w:w="6480"/>
          </w:tcPr>
          <w:p>
            <w:r>
              <w:rPr>
                <w:sz w:val="20"/>
              </w:rPr>
              <w:t>2026-03-01</w:t>
            </w:r>
          </w:p>
        </w:tc>
      </w:tr>
      <w:tr>
        <w:tc>
          <w:tcPr>
            <w:tcW w:type="dxa" w:w="2880"/>
            <w:shd w:fill="D6E4F0" w:val="clear"/>
          </w:tcPr>
          <w:p>
            <w:r/>
            <w:r>
              <w:rPr>
                <w:b/>
                <w:sz w:val="20"/>
              </w:rPr>
              <w:t>Author</w:t>
            </w:r>
          </w:p>
        </w:tc>
        <w:tc>
          <w:tcPr>
            <w:tcW w:type="dxa" w:w="6480"/>
          </w:tcPr>
          <w:p>
            <w:r>
              <w:rPr>
                <w:sz w:val="20"/>
              </w:rPr>
              <w:t>Priya Sharma, Head of Credit Risk</w:t>
            </w:r>
          </w:p>
        </w:tc>
      </w:tr>
      <w:tr>
        <w:tc>
          <w:tcPr>
            <w:tcW w:type="dxa" w:w="2880"/>
            <w:shd w:fill="D6E4F0" w:val="clear"/>
          </w:tcPr>
          <w:p>
            <w:r/>
            <w:r>
              <w:rPr>
                <w:b/>
                <w:sz w:val="20"/>
              </w:rPr>
              <w:t>Department</w:t>
            </w:r>
          </w:p>
        </w:tc>
        <w:tc>
          <w:tcPr>
            <w:tcW w:type="dxa" w:w="6480"/>
          </w:tcPr>
          <w:p>
            <w:r>
              <w:rPr>
                <w:sz w:val="20"/>
              </w:rPr>
              <w:t>Credit Risk &amp; Policy</w:t>
            </w:r>
          </w:p>
        </w:tc>
      </w:tr>
      <w:tr>
        <w:tc>
          <w:tcPr>
            <w:tcW w:type="dxa" w:w="2880"/>
            <w:shd w:fill="D6E4F0" w:val="clear"/>
          </w:tcPr>
          <w:p>
            <w:r/>
            <w:r>
              <w:rPr>
                <w:b/>
                <w:sz w:val="20"/>
              </w:rPr>
              <w:t>Status</w:t>
            </w:r>
          </w:p>
        </w:tc>
        <w:tc>
          <w:tcPr>
            <w:tcW w:type="dxa" w:w="6480"/>
          </w:tcPr>
          <w:p>
            <w:r>
              <w:rPr>
                <w:sz w:val="20"/>
              </w:rPr>
              <w:t>Urgent - Executive Review</w:t>
            </w:r>
          </w:p>
        </w:tc>
      </w:tr>
    </w:tbl>
    <w:p/>
    <w:p>
      <w:pPr>
        <w:pStyle w:val="Heading1"/>
      </w:pPr>
      <w:r>
        <w:t>1.0 Executive Summary</w:t>
      </w:r>
    </w:p>
    <w:p>
      <w:r>
        <w:t>This document presents a comprehensive risk tightening framework designed to materially reduce portfolio exposure during the current period of macroeconomic uncertainty. The proposed rules represent the most significant eligibility revision since the onset of the COVID-19 pandemic and are intended to function as a temporary protective measure until credit conditions normalise.</w:t>
      </w:r>
    </w:p>
    <w:p>
      <w:r>
        <w:t>The framework introduces five rule changes spanning bureau score thresholds, DTI limits, employment tenure requirements, self-employed loan caps, and cash deposit scrutiny. Collectively, these changes are expected to increase the rejection rate by approximately 20-30 percentage points but will significantly improve portfolio resilience against projected economic headwinds.</w:t>
      </w:r>
    </w:p>
    <w:p>
      <w:r>
        <w:t>This is the strictest set of policy changes proposed in the current cycle and is designed to demonstrate the full impact of aggressive risk tightening on the loan portfolio.</w:t>
      </w:r>
    </w:p>
    <w:p>
      <w:pPr>
        <w:pStyle w:val="Heading1"/>
      </w:pPr>
      <w:r>
        <w:t>2.0 Background &amp; Rationale</w:t>
      </w:r>
    </w:p>
    <w:p>
      <w:r>
        <w:t>Leading economic indicators suggest a potential contraction in consumer credit quality over the next 6-12 months. Key concerns include rising unemployment in the informal sector, declining real wage growth, and an increase in household leverage ratios. The RBI's Financial Stability Report has flagged personal loan portfolios as an area of supervisory focus.</w:t>
      </w:r>
    </w:p>
    <w:p>
      <w:r>
        <w:t>Internal stress-testing shows that under a moderate-adverse scenario, the existing eligibility criteria would result in a portfolio loss rate exceeding the risk appetite threshold by approximately 200 basis points. The proposed framework is calibrated to bring projected losses within acceptable bounds even under the severe-adverse scenario.</w:t>
      </w:r>
    </w:p>
    <w:p>
      <w:pPr>
        <w:pStyle w:val="Heading1"/>
      </w:pPr>
      <w:r>
        <w:t>3.0 Current State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F5496" w:val="clear"/>
          </w:tcPr>
          <w:p>
            <w:r/>
            <w:r>
              <w:rPr>
                <w:b/>
                <w:color w:val="FFFFFF"/>
                <w:sz w:val="20"/>
              </w:rPr>
              <w:t>Rule</w:t>
            </w:r>
          </w:p>
        </w:tc>
        <w:tc>
          <w:tcPr>
            <w:tcW w:type="dxa" w:w="2592"/>
            <w:shd w:fill="2F5496" w:val="clear"/>
          </w:tcPr>
          <w:p>
            <w:r/>
            <w:r>
              <w:rPr>
                <w:b/>
                <w:color w:val="FFFFFF"/>
                <w:sz w:val="20"/>
              </w:rPr>
              <w:t>Field</w:t>
            </w:r>
          </w:p>
        </w:tc>
        <w:tc>
          <w:tcPr>
            <w:tcW w:type="dxa" w:w="1872"/>
            <w:shd w:fill="2F5496" w:val="clear"/>
          </w:tcPr>
          <w:p>
            <w:r/>
            <w:r>
              <w:rPr>
                <w:b/>
                <w:color w:val="FFFFFF"/>
                <w:sz w:val="20"/>
              </w:rPr>
              <w:t>Current Threshold</w:t>
            </w:r>
          </w:p>
        </w:tc>
        <w:tc>
          <w:tcPr>
            <w:tcW w:type="dxa" w:w="1440"/>
            <w:shd w:fill="2F5496" w:val="clear"/>
          </w:tcPr>
          <w:p>
            <w:r/>
            <w:r>
              <w:rPr>
                <w:b/>
                <w:color w:val="FFFFFF"/>
                <w:sz w:val="20"/>
              </w:rPr>
              <w:t>Action</w:t>
            </w:r>
          </w:p>
        </w:tc>
      </w:tr>
      <w:tr>
        <w:tc>
          <w:tcPr>
            <w:tcW w:type="dxa" w:w="2880"/>
          </w:tcPr>
          <w:p>
            <w:r>
              <w:rPr>
                <w:sz w:val="20"/>
              </w:rPr>
              <w:t>Bureau Score Floor</w:t>
            </w:r>
          </w:p>
        </w:tc>
        <w:tc>
          <w:tcPr>
            <w:tcW w:type="dxa" w:w="2592"/>
          </w:tcPr>
          <w:p>
            <w:r>
              <w:rPr>
                <w:sz w:val="20"/>
              </w:rPr>
              <w:t>bureau_score</w:t>
            </w:r>
          </w:p>
        </w:tc>
        <w:tc>
          <w:tcPr>
            <w:tcW w:type="dxa" w:w="1872"/>
          </w:tcPr>
          <w:p>
            <w:r>
              <w:rPr>
                <w:sz w:val="20"/>
              </w:rPr>
              <w:t>&lt; 700</w:t>
            </w:r>
          </w:p>
        </w:tc>
        <w:tc>
          <w:tcPr>
            <w:tcW w:type="dxa" w:w="1440"/>
          </w:tcPr>
          <w:p>
            <w:r>
              <w:rPr>
                <w:sz w:val="20"/>
              </w:rPr>
              <w:t>REJECT</w:t>
            </w:r>
          </w:p>
        </w:tc>
      </w:tr>
      <w:tr>
        <w:tc>
          <w:tcPr>
            <w:tcW w:type="dxa" w:w="2880"/>
            <w:shd w:fill="D6E4F0" w:val="clear"/>
          </w:tcPr>
          <w:p>
            <w:r>
              <w:rPr>
                <w:sz w:val="20"/>
              </w:rPr>
              <w:t>DTI Cap</w:t>
            </w:r>
          </w:p>
        </w:tc>
        <w:tc>
          <w:tcPr>
            <w:tcW w:type="dxa" w:w="2592"/>
            <w:shd w:fill="D6E4F0" w:val="clear"/>
          </w:tcPr>
          <w:p>
            <w:r>
              <w:rPr>
                <w:sz w:val="20"/>
              </w:rPr>
              <w:t>dti_ratio</w:t>
            </w:r>
          </w:p>
        </w:tc>
        <w:tc>
          <w:tcPr>
            <w:tcW w:type="dxa" w:w="1872"/>
            <w:shd w:fill="D6E4F0" w:val="clear"/>
          </w:tcPr>
          <w:p>
            <w:r>
              <w:rPr>
                <w:sz w:val="20"/>
              </w:rPr>
              <w:t>&gt; 0.40</w:t>
            </w:r>
          </w:p>
        </w:tc>
        <w:tc>
          <w:tcPr>
            <w:tcW w:type="dxa" w:w="1440"/>
            <w:shd w:fill="D6E4F0" w:val="clear"/>
          </w:tcPr>
          <w:p>
            <w:r>
              <w:rPr>
                <w:sz w:val="20"/>
              </w:rPr>
              <w:t>REJECT</w:t>
            </w:r>
          </w:p>
        </w:tc>
      </w:tr>
      <w:tr>
        <w:tc>
          <w:tcPr>
            <w:tcW w:type="dxa" w:w="2880"/>
          </w:tcPr>
          <w:p>
            <w:r>
              <w:rPr>
                <w:sz w:val="20"/>
              </w:rPr>
              <w:t>Employment Tenure</w:t>
            </w:r>
          </w:p>
        </w:tc>
        <w:tc>
          <w:tcPr>
            <w:tcW w:type="dxa" w:w="2592"/>
          </w:tcPr>
          <w:p>
            <w:r>
              <w:rPr>
                <w:sz w:val="20"/>
              </w:rPr>
              <w:t>employment_tenure_months</w:t>
            </w:r>
          </w:p>
        </w:tc>
        <w:tc>
          <w:tcPr>
            <w:tcW w:type="dxa" w:w="1872"/>
          </w:tcPr>
          <w:p>
            <w:r>
              <w:rPr>
                <w:sz w:val="20"/>
              </w:rPr>
              <w:t>(not enforced)</w:t>
            </w:r>
          </w:p>
        </w:tc>
        <w:tc>
          <w:tcPr>
            <w:tcW w:type="dxa" w:w="1440"/>
          </w:tcPr>
          <w:p>
            <w:r>
              <w:rPr>
                <w:sz w:val="20"/>
              </w:rPr>
              <w:t>N/A</w:t>
            </w:r>
          </w:p>
        </w:tc>
      </w:tr>
      <w:tr>
        <w:tc>
          <w:tcPr>
            <w:tcW w:type="dxa" w:w="2880"/>
            <w:shd w:fill="D6E4F0" w:val="clear"/>
          </w:tcPr>
          <w:p>
            <w:r>
              <w:rPr>
                <w:sz w:val="20"/>
              </w:rPr>
              <w:t>Self-Employed Loan Cap</w:t>
            </w:r>
          </w:p>
        </w:tc>
        <w:tc>
          <w:tcPr>
            <w:tcW w:type="dxa" w:w="2592"/>
            <w:shd w:fill="D6E4F0" w:val="clear"/>
          </w:tcPr>
          <w:p>
            <w:r>
              <w:rPr>
                <w:sz w:val="20"/>
              </w:rPr>
              <w:t>desired_amount</w:t>
            </w:r>
          </w:p>
        </w:tc>
        <w:tc>
          <w:tcPr>
            <w:tcW w:type="dxa" w:w="1872"/>
            <w:shd w:fill="D6E4F0" w:val="clear"/>
          </w:tcPr>
          <w:p>
            <w:r>
              <w:rPr>
                <w:sz w:val="20"/>
              </w:rPr>
              <w:t>(not enforced)</w:t>
            </w:r>
          </w:p>
        </w:tc>
        <w:tc>
          <w:tcPr>
            <w:tcW w:type="dxa" w:w="1440"/>
            <w:shd w:fill="D6E4F0" w:val="clear"/>
          </w:tcPr>
          <w:p>
            <w:r>
              <w:rPr>
                <w:sz w:val="20"/>
              </w:rPr>
              <w:t>N/A</w:t>
            </w:r>
          </w:p>
        </w:tc>
      </w:tr>
      <w:tr>
        <w:tc>
          <w:tcPr>
            <w:tcW w:type="dxa" w:w="2880"/>
          </w:tcPr>
          <w:p>
            <w:r>
              <w:rPr>
                <w:sz w:val="20"/>
              </w:rPr>
              <w:t>Cash Deposit Scrutiny</w:t>
            </w:r>
          </w:p>
        </w:tc>
        <w:tc>
          <w:tcPr>
            <w:tcW w:type="dxa" w:w="2592"/>
          </w:tcPr>
          <w:p>
            <w:r>
              <w:rPr>
                <w:sz w:val="20"/>
              </w:rPr>
              <w:t>cash_deposits_6m</w:t>
            </w:r>
          </w:p>
        </w:tc>
        <w:tc>
          <w:tcPr>
            <w:tcW w:type="dxa" w:w="1872"/>
          </w:tcPr>
          <w:p>
            <w:r>
              <w:rPr>
                <w:sz w:val="20"/>
              </w:rPr>
              <w:t>(not enforced)</w:t>
            </w:r>
          </w:p>
        </w:tc>
        <w:tc>
          <w:tcPr>
            <w:tcW w:type="dxa" w:w="1440"/>
          </w:tcPr>
          <w:p>
            <w:r>
              <w:rPr>
                <w:sz w:val="20"/>
              </w:rPr>
              <w:t>N/A</w:t>
            </w:r>
          </w:p>
        </w:tc>
      </w:tr>
    </w:tbl>
    <w:p/>
    <w:p>
      <w:pPr>
        <w:pStyle w:val="Heading1"/>
      </w:pPr>
      <w:r>
        <w:t>4.0 Proposed Rule Changes</w:t>
      </w:r>
    </w:p>
    <w:p>
      <w:r>
        <w:t>The following five rules shall be implemented simultaneously as part of the post-pandemic risk mitigation framework.</w:t>
      </w:r>
    </w:p>
    <w:p>
      <w:pPr>
        <w:pStyle w:val="Heading2"/>
      </w:pPr>
      <w:r>
        <w:t>4.1 Bureau Score Floor Raised</w:t>
      </w:r>
    </w:p>
    <w:p>
      <w:r>
        <w:t>The minimum CIBIL bureau score for personal loan eligibility shall be increased from 700 to 750. This is a significant tightening that will exclude a substantial portion of the current applicant pool but is deemed necessary given the projected deterioration in credit quality.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r/>
            <w:r>
              <w:rPr>
                <w:b/>
                <w:color w:val="FFFFFF"/>
                <w:sz w:val="20"/>
              </w:rPr>
              <w:t>Attribute</w:t>
            </w:r>
          </w:p>
        </w:tc>
        <w:tc>
          <w:tcPr>
            <w:tcW w:type="dxa" w:w="2880"/>
            <w:shd w:fill="2F5496" w:val="clear"/>
          </w:tcPr>
          <w:p>
            <w:r/>
            <w:r>
              <w:rPr>
                <w:b/>
                <w:color w:val="FFFFFF"/>
                <w:sz w:val="20"/>
              </w:rPr>
              <w:t>Current Value</w:t>
            </w:r>
          </w:p>
        </w:tc>
        <w:tc>
          <w:tcPr>
            <w:tcW w:type="dxa" w:w="2880"/>
            <w:shd w:fill="2F5496" w:val="clear"/>
          </w:tcPr>
          <w:p>
            <w:r/>
            <w:r>
              <w:rPr>
                <w:b/>
                <w:color w:val="FFFFFF"/>
                <w:sz w:val="20"/>
              </w:rPr>
              <w:t>Proposed Value</w:t>
            </w:r>
          </w:p>
        </w:tc>
      </w:tr>
      <w:tr>
        <w:tc>
          <w:tcPr>
            <w:tcW w:type="dxa" w:w="2880"/>
          </w:tcPr>
          <w:p>
            <w:r>
              <w:rPr>
                <w:sz w:val="20"/>
              </w:rPr>
              <w:t>Field</w:t>
            </w:r>
          </w:p>
        </w:tc>
        <w:tc>
          <w:tcPr>
            <w:tcW w:type="dxa" w:w="2880"/>
          </w:tcPr>
          <w:p>
            <w:r>
              <w:rPr>
                <w:sz w:val="20"/>
              </w:rPr>
              <w:t>bureau_score</w:t>
            </w:r>
          </w:p>
        </w:tc>
        <w:tc>
          <w:tcPr>
            <w:tcW w:type="dxa" w:w="2880"/>
          </w:tcPr>
          <w:p>
            <w:r>
              <w:rPr>
                <w:sz w:val="20"/>
              </w:rPr>
              <w:t>bureau_score</w:t>
            </w:r>
          </w:p>
        </w:tc>
      </w:tr>
      <w:tr>
        <w:tc>
          <w:tcPr>
            <w:tcW w:type="dxa" w:w="2880"/>
            <w:shd w:fill="D6E4F0" w:val="clear"/>
          </w:tcPr>
          <w:p>
            <w:r>
              <w:rPr>
                <w:sz w:val="20"/>
              </w:rPr>
              <w:t>Operator</w:t>
            </w:r>
          </w:p>
        </w:tc>
        <w:tc>
          <w:tcPr>
            <w:tcW w:type="dxa" w:w="2880"/>
            <w:shd w:fill="D6E4F0" w:val="clear"/>
          </w:tcPr>
          <w:p>
            <w:r>
              <w:rPr>
                <w:sz w:val="20"/>
              </w:rPr>
              <w:t>&lt;</w:t>
            </w:r>
          </w:p>
        </w:tc>
        <w:tc>
          <w:tcPr>
            <w:tcW w:type="dxa" w:w="2880"/>
            <w:shd w:fill="D6E4F0" w:val="clear"/>
          </w:tcPr>
          <w:p>
            <w:r>
              <w:rPr>
                <w:sz w:val="20"/>
              </w:rPr>
              <w:t>&lt;</w:t>
            </w:r>
          </w:p>
        </w:tc>
      </w:tr>
      <w:tr>
        <w:tc>
          <w:tcPr>
            <w:tcW w:type="dxa" w:w="2880"/>
          </w:tcPr>
          <w:p>
            <w:r>
              <w:rPr>
                <w:sz w:val="20"/>
              </w:rPr>
              <w:t>Threshold</w:t>
            </w:r>
          </w:p>
        </w:tc>
        <w:tc>
          <w:tcPr>
            <w:tcW w:type="dxa" w:w="2880"/>
          </w:tcPr>
          <w:p>
            <w:r>
              <w:rPr>
                <w:sz w:val="20"/>
              </w:rPr>
              <w:t>700</w:t>
            </w:r>
          </w:p>
        </w:tc>
        <w:tc>
          <w:tcPr>
            <w:tcW w:type="dxa" w:w="2880"/>
          </w:tcPr>
          <w:p>
            <w:r>
              <w:rPr>
                <w:sz w:val="20"/>
              </w:rPr>
              <w:t>750</w:t>
            </w:r>
          </w:p>
        </w:tc>
      </w:tr>
      <w:tr>
        <w:tc>
          <w:tcPr>
            <w:tcW w:type="dxa" w:w="2880"/>
            <w:shd w:fill="D6E4F0" w:val="clear"/>
          </w:tcPr>
          <w:p>
            <w:r>
              <w:rPr>
                <w:sz w:val="20"/>
              </w:rPr>
              <w:t>Action on Breach</w:t>
            </w:r>
          </w:p>
        </w:tc>
        <w:tc>
          <w:tcPr>
            <w:tcW w:type="dxa" w:w="2880"/>
            <w:shd w:fill="D6E4F0" w:val="clear"/>
          </w:tcPr>
          <w:p>
            <w:r>
              <w:rPr>
                <w:sz w:val="20"/>
              </w:rPr>
              <w:t>REJECT</w:t>
            </w:r>
          </w:p>
        </w:tc>
        <w:tc>
          <w:tcPr>
            <w:tcW w:type="dxa" w:w="2880"/>
            <w:shd w:fill="D6E4F0" w:val="clear"/>
          </w:tcPr>
          <w:p>
            <w:r>
              <w:rPr>
                <w:sz w:val="20"/>
              </w:rPr>
              <w:t>REJECT</w:t>
            </w:r>
          </w:p>
        </w:tc>
      </w:tr>
    </w:tbl>
    <w:p/>
    <w:p>
      <w:pPr>
        <w:pStyle w:val="Heading2"/>
      </w:pPr>
      <w:r>
        <w:t>4.2 DTI Cap Tightened</w:t>
      </w:r>
    </w:p>
    <w:p>
      <w:r>
        <w:t>The maximum permissible debt-to-income ratio shall be reduced from 0.40 to 0.30. This is the most aggressive DTI threshold in the institution's recent history and reflects the need to ensure borrowers maintain adequate income headroom for debt servicing under stress conditions.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r/>
            <w:r>
              <w:rPr>
                <w:b/>
                <w:color w:val="FFFFFF"/>
                <w:sz w:val="20"/>
              </w:rPr>
              <w:t>Attribute</w:t>
            </w:r>
          </w:p>
        </w:tc>
        <w:tc>
          <w:tcPr>
            <w:tcW w:type="dxa" w:w="2880"/>
            <w:shd w:fill="2F5496" w:val="clear"/>
          </w:tcPr>
          <w:p>
            <w:r/>
            <w:r>
              <w:rPr>
                <w:b/>
                <w:color w:val="FFFFFF"/>
                <w:sz w:val="20"/>
              </w:rPr>
              <w:t>Current Value</w:t>
            </w:r>
          </w:p>
        </w:tc>
        <w:tc>
          <w:tcPr>
            <w:tcW w:type="dxa" w:w="2880"/>
            <w:shd w:fill="2F5496" w:val="clear"/>
          </w:tcPr>
          <w:p>
            <w:r/>
            <w:r>
              <w:rPr>
                <w:b/>
                <w:color w:val="FFFFFF"/>
                <w:sz w:val="20"/>
              </w:rPr>
              <w:t>Proposed Value</w:t>
            </w:r>
          </w:p>
        </w:tc>
      </w:tr>
      <w:tr>
        <w:tc>
          <w:tcPr>
            <w:tcW w:type="dxa" w:w="2880"/>
          </w:tcPr>
          <w:p>
            <w:r>
              <w:rPr>
                <w:sz w:val="20"/>
              </w:rPr>
              <w:t>Field</w:t>
            </w:r>
          </w:p>
        </w:tc>
        <w:tc>
          <w:tcPr>
            <w:tcW w:type="dxa" w:w="2880"/>
          </w:tcPr>
          <w:p>
            <w:r>
              <w:rPr>
                <w:sz w:val="20"/>
              </w:rPr>
              <w:t>dti_ratio</w:t>
            </w:r>
          </w:p>
        </w:tc>
        <w:tc>
          <w:tcPr>
            <w:tcW w:type="dxa" w:w="2880"/>
          </w:tcPr>
          <w:p>
            <w:r>
              <w:rPr>
                <w:sz w:val="20"/>
              </w:rPr>
              <w:t>dti_ratio</w:t>
            </w:r>
          </w:p>
        </w:tc>
      </w:tr>
      <w:tr>
        <w:tc>
          <w:tcPr>
            <w:tcW w:type="dxa" w:w="2880"/>
            <w:shd w:fill="D6E4F0" w:val="clear"/>
          </w:tcPr>
          <w:p>
            <w:r>
              <w:rPr>
                <w:sz w:val="20"/>
              </w:rPr>
              <w:t>Operator</w:t>
            </w:r>
          </w:p>
        </w:tc>
        <w:tc>
          <w:tcPr>
            <w:tcW w:type="dxa" w:w="2880"/>
            <w:shd w:fill="D6E4F0" w:val="clear"/>
          </w:tcPr>
          <w:p>
            <w:r>
              <w:rPr>
                <w:sz w:val="20"/>
              </w:rPr>
              <w:t>&gt;</w:t>
            </w:r>
          </w:p>
        </w:tc>
        <w:tc>
          <w:tcPr>
            <w:tcW w:type="dxa" w:w="2880"/>
            <w:shd w:fill="D6E4F0" w:val="clear"/>
          </w:tcPr>
          <w:p>
            <w:r>
              <w:rPr>
                <w:sz w:val="20"/>
              </w:rPr>
              <w:t>&gt;</w:t>
            </w:r>
          </w:p>
        </w:tc>
      </w:tr>
      <w:tr>
        <w:tc>
          <w:tcPr>
            <w:tcW w:type="dxa" w:w="2880"/>
          </w:tcPr>
          <w:p>
            <w:r>
              <w:rPr>
                <w:sz w:val="20"/>
              </w:rPr>
              <w:t>Threshold</w:t>
            </w:r>
          </w:p>
        </w:tc>
        <w:tc>
          <w:tcPr>
            <w:tcW w:type="dxa" w:w="2880"/>
          </w:tcPr>
          <w:p>
            <w:r>
              <w:rPr>
                <w:sz w:val="20"/>
              </w:rPr>
              <w:t>0.40</w:t>
            </w:r>
          </w:p>
        </w:tc>
        <w:tc>
          <w:tcPr>
            <w:tcW w:type="dxa" w:w="2880"/>
          </w:tcPr>
          <w:p>
            <w:r>
              <w:rPr>
                <w:sz w:val="20"/>
              </w:rPr>
              <w:t>0.30</w:t>
            </w:r>
          </w:p>
        </w:tc>
      </w:tr>
      <w:tr>
        <w:tc>
          <w:tcPr>
            <w:tcW w:type="dxa" w:w="2880"/>
            <w:shd w:fill="D6E4F0" w:val="clear"/>
          </w:tcPr>
          <w:p>
            <w:r>
              <w:rPr>
                <w:sz w:val="20"/>
              </w:rPr>
              <w:t>Action on Breach</w:t>
            </w:r>
          </w:p>
        </w:tc>
        <w:tc>
          <w:tcPr>
            <w:tcW w:type="dxa" w:w="2880"/>
            <w:shd w:fill="D6E4F0" w:val="clear"/>
          </w:tcPr>
          <w:p>
            <w:r>
              <w:rPr>
                <w:sz w:val="20"/>
              </w:rPr>
              <w:t>REJECT</w:t>
            </w:r>
          </w:p>
        </w:tc>
        <w:tc>
          <w:tcPr>
            <w:tcW w:type="dxa" w:w="2880"/>
            <w:shd w:fill="D6E4F0" w:val="clear"/>
          </w:tcPr>
          <w:p>
            <w:r>
              <w:rPr>
                <w:sz w:val="20"/>
              </w:rPr>
              <w:t>REJECT</w:t>
            </w:r>
          </w:p>
        </w:tc>
      </w:tr>
    </w:tbl>
    <w:p/>
    <w:p>
      <w:pPr>
        <w:pStyle w:val="Heading2"/>
      </w:pPr>
      <w:r>
        <w:t>4.3 Employment Tenure Minimum</w:t>
      </w:r>
    </w:p>
    <w:p>
      <w:r>
        <w:t>A new minimum employment tenure requirement of 24 months shall be introduced. Applicants whose employment_tenure_months is below 24 will be rejected. This rule targets job-hopping behaviour and ensures a minimum level of employment stability.</w:t>
      </w:r>
    </w:p>
    <w:tbl>
      <w:tblPr>
        <w:tblStyle w:val="TableGrid"/>
        <w:tblW w:type="auto" w:w="0"/>
        <w:jc w:val="center"/>
        <w:tblLook w:firstColumn="1" w:firstRow="1" w:lastColumn="0" w:lastRow="0" w:noHBand="0" w:noVBand="1" w:val="04A0"/>
      </w:tblPr>
      <w:tblGrid>
        <w:gridCol w:w="4320"/>
        <w:gridCol w:w="4320"/>
      </w:tblGrid>
      <w:tr>
        <w:tc>
          <w:tcPr>
            <w:tcW w:type="dxa" w:w="3600"/>
            <w:shd w:fill="2F5496" w:val="clear"/>
          </w:tcPr>
          <w:p>
            <w:r/>
            <w:r>
              <w:rPr>
                <w:b/>
                <w:color w:val="FFFFFF"/>
                <w:sz w:val="20"/>
              </w:rPr>
              <w:t>Attribute</w:t>
            </w:r>
          </w:p>
        </w:tc>
        <w:tc>
          <w:tcPr>
            <w:tcW w:type="dxa" w:w="5040"/>
            <w:shd w:fill="2F5496" w:val="clear"/>
          </w:tcPr>
          <w:p>
            <w:r/>
            <w:r>
              <w:rPr>
                <w:b/>
                <w:color w:val="FFFFFF"/>
                <w:sz w:val="20"/>
              </w:rPr>
              <w:t>Value</w:t>
            </w:r>
          </w:p>
        </w:tc>
      </w:tr>
      <w:tr>
        <w:tc>
          <w:tcPr>
            <w:tcW w:type="dxa" w:w="3600"/>
          </w:tcPr>
          <w:p>
            <w:r>
              <w:rPr>
                <w:sz w:val="20"/>
              </w:rPr>
              <w:t>Field</w:t>
            </w:r>
          </w:p>
        </w:tc>
        <w:tc>
          <w:tcPr>
            <w:tcW w:type="dxa" w:w="5040"/>
          </w:tcPr>
          <w:p>
            <w:r>
              <w:rPr>
                <w:sz w:val="20"/>
              </w:rPr>
              <w:t>employment_tenure_months</w:t>
            </w:r>
          </w:p>
        </w:tc>
      </w:tr>
      <w:tr>
        <w:tc>
          <w:tcPr>
            <w:tcW w:type="dxa" w:w="3600"/>
            <w:shd w:fill="D6E4F0" w:val="clear"/>
          </w:tcPr>
          <w:p>
            <w:r>
              <w:rPr>
                <w:sz w:val="20"/>
              </w:rPr>
              <w:t>Operator</w:t>
            </w:r>
          </w:p>
        </w:tc>
        <w:tc>
          <w:tcPr>
            <w:tcW w:type="dxa" w:w="5040"/>
            <w:shd w:fill="D6E4F0" w:val="clear"/>
          </w:tcPr>
          <w:p>
            <w:r>
              <w:rPr>
                <w:sz w:val="20"/>
              </w:rPr>
              <w:t>&lt;</w:t>
            </w:r>
          </w:p>
        </w:tc>
      </w:tr>
      <w:tr>
        <w:tc>
          <w:tcPr>
            <w:tcW w:type="dxa" w:w="3600"/>
          </w:tcPr>
          <w:p>
            <w:r>
              <w:rPr>
                <w:sz w:val="20"/>
              </w:rPr>
              <w:t>Threshold</w:t>
            </w:r>
          </w:p>
        </w:tc>
        <w:tc>
          <w:tcPr>
            <w:tcW w:type="dxa" w:w="5040"/>
          </w:tcPr>
          <w:p>
            <w:r>
              <w:rPr>
                <w:sz w:val="20"/>
              </w:rPr>
              <w:t>24</w:t>
            </w:r>
          </w:p>
        </w:tc>
      </w:tr>
      <w:tr>
        <w:tc>
          <w:tcPr>
            <w:tcW w:type="dxa" w:w="3600"/>
            <w:shd w:fill="D6E4F0" w:val="clear"/>
          </w:tcPr>
          <w:p>
            <w:r>
              <w:rPr>
                <w:sz w:val="20"/>
              </w:rPr>
              <w:t>Action on Breach</w:t>
            </w:r>
          </w:p>
        </w:tc>
        <w:tc>
          <w:tcPr>
            <w:tcW w:type="dxa" w:w="5040"/>
            <w:shd w:fill="D6E4F0" w:val="clear"/>
          </w:tcPr>
          <w:p>
            <w:r>
              <w:rPr>
                <w:sz w:val="20"/>
              </w:rPr>
              <w:t>REJECT</w:t>
            </w:r>
          </w:p>
        </w:tc>
      </w:tr>
    </w:tbl>
    <w:p/>
    <w:p>
      <w:pPr>
        <w:pStyle w:val="Heading2"/>
      </w:pPr>
      <w:r>
        <w:t>4.4 Self-Employed Loan Cap</w:t>
      </w:r>
    </w:p>
    <w:p>
      <w:r>
        <w:t>Self-employed applicants (employment_type == "SELF_EMPLOYED") shall be subject to a maximum loan amount cap of 100,000. If a self-employed applicant requests a desired_amount exceeding 100,000, the eligible_amount shall be set to 100,000 rather than rejecting the application outright.</w:t>
      </w:r>
    </w:p>
    <w:tbl>
      <w:tblPr>
        <w:tblStyle w:val="TableGrid"/>
        <w:tblW w:type="auto" w:w="0"/>
        <w:jc w:val="center"/>
        <w:tblLook w:firstColumn="1" w:firstRow="1" w:lastColumn="0" w:lastRow="0" w:noHBand="0" w:noVBand="1" w:val="04A0"/>
      </w:tblPr>
      <w:tblGrid>
        <w:gridCol w:w="4320"/>
        <w:gridCol w:w="4320"/>
      </w:tblGrid>
      <w:tr>
        <w:tc>
          <w:tcPr>
            <w:tcW w:type="dxa" w:w="2880"/>
            <w:shd w:fill="2F5496" w:val="clear"/>
          </w:tcPr>
          <w:p>
            <w:r/>
            <w:r>
              <w:rPr>
                <w:b/>
                <w:color w:val="FFFFFF"/>
                <w:sz w:val="20"/>
              </w:rPr>
              <w:t>Attribute</w:t>
            </w:r>
          </w:p>
        </w:tc>
        <w:tc>
          <w:tcPr>
            <w:tcW w:type="dxa" w:w="6480"/>
            <w:shd w:fill="2F5496" w:val="clear"/>
          </w:tcPr>
          <w:p>
            <w:r/>
            <w:r>
              <w:rPr>
                <w:b/>
                <w:color w:val="FFFFFF"/>
                <w:sz w:val="20"/>
              </w:rPr>
              <w:t>Value</w:t>
            </w:r>
          </w:p>
        </w:tc>
      </w:tr>
      <w:tr>
        <w:tc>
          <w:tcPr>
            <w:tcW w:type="dxa" w:w="2880"/>
          </w:tcPr>
          <w:p>
            <w:r>
              <w:rPr>
                <w:sz w:val="20"/>
              </w:rPr>
              <w:t>Condition</w:t>
            </w:r>
          </w:p>
        </w:tc>
        <w:tc>
          <w:tcPr>
            <w:tcW w:type="dxa" w:w="6480"/>
          </w:tcPr>
          <w:p>
            <w:r>
              <w:rPr>
                <w:sz w:val="20"/>
              </w:rPr>
              <w:t>employment_type == "SELF_EMPLOYED" AND desired_amount &gt; 100000</w:t>
            </w:r>
          </w:p>
        </w:tc>
      </w:tr>
      <w:tr>
        <w:tc>
          <w:tcPr>
            <w:tcW w:type="dxa" w:w="2880"/>
            <w:shd w:fill="D6E4F0" w:val="clear"/>
          </w:tcPr>
          <w:p>
            <w:r>
              <w:rPr>
                <w:sz w:val="20"/>
              </w:rPr>
              <w:t>Action</w:t>
            </w:r>
          </w:p>
        </w:tc>
        <w:tc>
          <w:tcPr>
            <w:tcW w:type="dxa" w:w="6480"/>
            <w:shd w:fill="D6E4F0" w:val="clear"/>
          </w:tcPr>
          <w:p>
            <w:r>
              <w:rPr>
                <w:sz w:val="20"/>
              </w:rPr>
              <w:t>SET eligible_amount to 100000</w:t>
            </w:r>
          </w:p>
        </w:tc>
      </w:tr>
      <w:tr>
        <w:tc>
          <w:tcPr>
            <w:tcW w:type="dxa" w:w="2880"/>
          </w:tcPr>
          <w:p>
            <w:r>
              <w:rPr>
                <w:sz w:val="20"/>
              </w:rPr>
              <w:t>Type</w:t>
            </w:r>
          </w:p>
        </w:tc>
        <w:tc>
          <w:tcPr>
            <w:tcW w:type="dxa" w:w="6480"/>
          </w:tcPr>
          <w:p>
            <w:r>
              <w:rPr>
                <w:sz w:val="20"/>
              </w:rPr>
              <w:t>Amount cap (not a rejection)</w:t>
            </w:r>
          </w:p>
        </w:tc>
      </w:tr>
    </w:tbl>
    <w:p/>
    <w:p>
      <w:pPr>
        <w:pStyle w:val="Heading2"/>
      </w:pPr>
      <w:r>
        <w:t>4.5 Cash Deposit Scrutiny</w:t>
      </w:r>
    </w:p>
    <w:p>
      <w:r>
        <w:t>Applications where the applicant has more than 10 cash deposits recorded in the preceding 6-month period (cash_deposits_6m &gt; 10) shall be flagged for manual review. This rule does not result in automatic rejection but routes the application to a specialised review queue for enhanced due diligence.</w:t>
      </w:r>
    </w:p>
    <w:tbl>
      <w:tblPr>
        <w:tblStyle w:val="TableGrid"/>
        <w:tblW w:type="auto" w:w="0"/>
        <w:jc w:val="center"/>
        <w:tblLook w:firstColumn="1" w:firstRow="1" w:lastColumn="0" w:lastRow="0" w:noHBand="0" w:noVBand="1" w:val="04A0"/>
      </w:tblPr>
      <w:tblGrid>
        <w:gridCol w:w="4320"/>
        <w:gridCol w:w="4320"/>
      </w:tblGrid>
      <w:tr>
        <w:tc>
          <w:tcPr>
            <w:tcW w:type="dxa" w:w="2880"/>
            <w:shd w:fill="2F5496" w:val="clear"/>
          </w:tcPr>
          <w:p>
            <w:r/>
            <w:r>
              <w:rPr>
                <w:b/>
                <w:color w:val="FFFFFF"/>
                <w:sz w:val="20"/>
              </w:rPr>
              <w:t>Attribute</w:t>
            </w:r>
          </w:p>
        </w:tc>
        <w:tc>
          <w:tcPr>
            <w:tcW w:type="dxa" w:w="6480"/>
            <w:shd w:fill="2F5496" w:val="clear"/>
          </w:tcPr>
          <w:p>
            <w:r/>
            <w:r>
              <w:rPr>
                <w:b/>
                <w:color w:val="FFFFFF"/>
                <w:sz w:val="20"/>
              </w:rPr>
              <w:t>Value</w:t>
            </w:r>
          </w:p>
        </w:tc>
      </w:tr>
      <w:tr>
        <w:tc>
          <w:tcPr>
            <w:tcW w:type="dxa" w:w="2880"/>
          </w:tcPr>
          <w:p>
            <w:r>
              <w:rPr>
                <w:sz w:val="20"/>
              </w:rPr>
              <w:t>Condition</w:t>
            </w:r>
          </w:p>
        </w:tc>
        <w:tc>
          <w:tcPr>
            <w:tcW w:type="dxa" w:w="6480"/>
          </w:tcPr>
          <w:p>
            <w:r>
              <w:rPr>
                <w:sz w:val="20"/>
              </w:rPr>
              <w:t>cash_deposits_6m &gt; 10</w:t>
            </w:r>
          </w:p>
        </w:tc>
      </w:tr>
      <w:tr>
        <w:tc>
          <w:tcPr>
            <w:tcW w:type="dxa" w:w="2880"/>
            <w:shd w:fill="D6E4F0" w:val="clear"/>
          </w:tcPr>
          <w:p>
            <w:r>
              <w:rPr>
                <w:sz w:val="20"/>
              </w:rPr>
              <w:t>Action</w:t>
            </w:r>
          </w:p>
        </w:tc>
        <w:tc>
          <w:tcPr>
            <w:tcW w:type="dxa" w:w="6480"/>
            <w:shd w:fill="D6E4F0" w:val="clear"/>
          </w:tcPr>
          <w:p>
            <w:r>
              <w:rPr>
                <w:sz w:val="20"/>
              </w:rPr>
              <w:t>FLAG for_manual_review</w:t>
            </w:r>
          </w:p>
        </w:tc>
      </w:tr>
      <w:tr>
        <w:tc>
          <w:tcPr>
            <w:tcW w:type="dxa" w:w="2880"/>
          </w:tcPr>
          <w:p>
            <w:r>
              <w:rPr>
                <w:sz w:val="20"/>
              </w:rPr>
              <w:t>Type</w:t>
            </w:r>
          </w:p>
        </w:tc>
        <w:tc>
          <w:tcPr>
            <w:tcW w:type="dxa" w:w="6480"/>
          </w:tcPr>
          <w:p>
            <w:r>
              <w:rPr>
                <w:sz w:val="20"/>
              </w:rPr>
              <w:t>Flag (routes to manual review queue)</w:t>
            </w:r>
          </w:p>
        </w:tc>
      </w:tr>
    </w:tbl>
    <w:p/>
    <w:p>
      <w:pPr>
        <w:pStyle w:val="Heading1"/>
      </w:pPr>
      <w:r>
        <w:t>5.0 Expected Impact</w:t>
      </w:r>
    </w:p>
    <w:p>
      <w:r>
        <w:t>This is the most aggressive tightening scenario and is expected to produce a significant shift in portfolio composition:</w:t>
      </w:r>
    </w:p>
    <w:tbl>
      <w:tblPr>
        <w:tblStyle w:val="TableGrid"/>
        <w:tblW w:type="auto" w:w="0"/>
        <w:jc w:val="center"/>
        <w:tblLook w:firstColumn="1" w:firstRow="1" w:lastColumn="0" w:lastRow="0" w:noHBand="0" w:noVBand="1" w:val="04A0"/>
      </w:tblPr>
      <w:tblGrid>
        <w:gridCol w:w="4320"/>
        <w:gridCol w:w="4320"/>
      </w:tblGrid>
      <w:tr>
        <w:tc>
          <w:tcPr>
            <w:tcW w:type="dxa" w:w="4320"/>
            <w:shd w:fill="2F5496" w:val="clear"/>
          </w:tcPr>
          <w:p>
            <w:r/>
            <w:r>
              <w:rPr>
                <w:b/>
                <w:color w:val="FFFFFF"/>
                <w:sz w:val="20"/>
              </w:rPr>
              <w:t>Metric</w:t>
            </w:r>
          </w:p>
        </w:tc>
        <w:tc>
          <w:tcPr>
            <w:tcW w:type="dxa" w:w="5040"/>
            <w:shd w:fill="2F5496" w:val="clear"/>
          </w:tcPr>
          <w:p>
            <w:r/>
            <w:r>
              <w:rPr>
                <w:b/>
                <w:color w:val="FFFFFF"/>
                <w:sz w:val="20"/>
              </w:rPr>
              <w:t>Estimated Change</w:t>
            </w:r>
          </w:p>
        </w:tc>
      </w:tr>
      <w:tr>
        <w:tc>
          <w:tcPr>
            <w:tcW w:type="dxa" w:w="4320"/>
          </w:tcPr>
          <w:p>
            <w:r>
              <w:rPr>
                <w:sz w:val="20"/>
              </w:rPr>
              <w:t>Overall Approval Rate</w:t>
            </w:r>
          </w:p>
        </w:tc>
        <w:tc>
          <w:tcPr>
            <w:tcW w:type="dxa" w:w="5040"/>
          </w:tcPr>
          <w:p>
            <w:r>
              <w:rPr>
                <w:sz w:val="20"/>
              </w:rPr>
              <w:t>Decrease by 20-30 percentage points</w:t>
            </w:r>
          </w:p>
        </w:tc>
      </w:tr>
      <w:tr>
        <w:tc>
          <w:tcPr>
            <w:tcW w:type="dxa" w:w="4320"/>
            <w:shd w:fill="D6E4F0" w:val="clear"/>
          </w:tcPr>
          <w:p>
            <w:r>
              <w:rPr>
                <w:sz w:val="20"/>
              </w:rPr>
              <w:t>90-Day Delinquency Rate</w:t>
            </w:r>
          </w:p>
        </w:tc>
        <w:tc>
          <w:tcPr>
            <w:tcW w:type="dxa" w:w="5040"/>
            <w:shd w:fill="D6E4F0" w:val="clear"/>
          </w:tcPr>
          <w:p>
            <w:r>
              <w:rPr>
                <w:sz w:val="20"/>
              </w:rPr>
              <w:t>Improve by 200-300 basis points</w:t>
            </w:r>
          </w:p>
        </w:tc>
      </w:tr>
      <w:tr>
        <w:tc>
          <w:tcPr>
            <w:tcW w:type="dxa" w:w="4320"/>
          </w:tcPr>
          <w:p>
            <w:r>
              <w:rPr>
                <w:sz w:val="20"/>
              </w:rPr>
              <w:t>Portfolio Expected Loss</w:t>
            </w:r>
          </w:p>
        </w:tc>
        <w:tc>
          <w:tcPr>
            <w:tcW w:type="dxa" w:w="5040"/>
          </w:tcPr>
          <w:p>
            <w:r>
              <w:rPr>
                <w:sz w:val="20"/>
              </w:rPr>
              <w:t>Reduce by 35-45%</w:t>
            </w:r>
          </w:p>
        </w:tc>
      </w:tr>
      <w:tr>
        <w:tc>
          <w:tcPr>
            <w:tcW w:type="dxa" w:w="4320"/>
            <w:shd w:fill="D6E4F0" w:val="clear"/>
          </w:tcPr>
          <w:p>
            <w:r>
              <w:rPr>
                <w:sz w:val="20"/>
              </w:rPr>
              <w:t>Average Loan Ticket Size</w:t>
            </w:r>
          </w:p>
        </w:tc>
        <w:tc>
          <w:tcPr>
            <w:tcW w:type="dxa" w:w="5040"/>
            <w:shd w:fill="D6E4F0" w:val="clear"/>
          </w:tcPr>
          <w:p>
            <w:r>
              <w:rPr>
                <w:sz w:val="20"/>
              </w:rPr>
              <w:t>Decrease by 15-20%</w:t>
            </w:r>
          </w:p>
        </w:tc>
      </w:tr>
      <w:tr>
        <w:tc>
          <w:tcPr>
            <w:tcW w:type="dxa" w:w="4320"/>
          </w:tcPr>
          <w:p>
            <w:r>
              <w:rPr>
                <w:sz w:val="20"/>
              </w:rPr>
              <w:t>Manual Review Queue Volume</w:t>
            </w:r>
          </w:p>
        </w:tc>
        <w:tc>
          <w:tcPr>
            <w:tcW w:type="dxa" w:w="5040"/>
          </w:tcPr>
          <w:p>
            <w:r>
              <w:rPr>
                <w:sz w:val="20"/>
              </w:rPr>
              <w:t>Increase by approximately 8-12%</w:t>
            </w:r>
          </w:p>
        </w:tc>
      </w:tr>
    </w:tbl>
    <w:p/>
    <w:p>
      <w:pPr>
        <w:pStyle w:val="Heading1"/>
      </w:pPr>
      <w:r>
        <w:t>6.0 Implementation Timeline</w:t>
      </w:r>
    </w:p>
    <w:tbl>
      <w:tblPr>
        <w:tblStyle w:val="TableGrid"/>
        <w:tblW w:type="auto" w:w="0"/>
        <w:jc w:val="center"/>
        <w:tblLook w:firstColumn="1" w:firstRow="1" w:lastColumn="0" w:lastRow="0" w:noHBand="0" w:noVBand="1" w:val="04A0"/>
      </w:tblPr>
      <w:tblGrid>
        <w:gridCol w:w="4320"/>
        <w:gridCol w:w="4320"/>
      </w:tblGrid>
      <w:tr>
        <w:tc>
          <w:tcPr>
            <w:tcW w:type="dxa" w:w="5040"/>
            <w:shd w:fill="2F5496" w:val="clear"/>
          </w:tcPr>
          <w:p>
            <w:r/>
            <w:r>
              <w:rPr>
                <w:b/>
                <w:color w:val="FFFFFF"/>
                <w:sz w:val="20"/>
              </w:rPr>
              <w:t>Milestone</w:t>
            </w:r>
          </w:p>
        </w:tc>
        <w:tc>
          <w:tcPr>
            <w:tcW w:type="dxa" w:w="4320"/>
            <w:shd w:fill="2F5496" w:val="clear"/>
          </w:tcPr>
          <w:p>
            <w:r/>
            <w:r>
              <w:rPr>
                <w:b/>
                <w:color w:val="FFFFFF"/>
                <w:sz w:val="20"/>
              </w:rPr>
              <w:t>Target Date</w:t>
            </w:r>
          </w:p>
        </w:tc>
      </w:tr>
      <w:tr>
        <w:tc>
          <w:tcPr>
            <w:tcW w:type="dxa" w:w="5040"/>
          </w:tcPr>
          <w:p>
            <w:r>
              <w:rPr>
                <w:sz w:val="20"/>
              </w:rPr>
              <w:t>Emergency Risk Committee Approval</w:t>
            </w:r>
          </w:p>
        </w:tc>
        <w:tc>
          <w:tcPr>
            <w:tcW w:type="dxa" w:w="4320"/>
          </w:tcPr>
          <w:p>
            <w:r>
              <w:rPr>
                <w:sz w:val="20"/>
              </w:rPr>
              <w:t>2026-03-15</w:t>
            </w:r>
          </w:p>
        </w:tc>
      </w:tr>
      <w:tr>
        <w:tc>
          <w:tcPr>
            <w:tcW w:type="dxa" w:w="5040"/>
            <w:shd w:fill="D6E4F0" w:val="clear"/>
          </w:tcPr>
          <w:p>
            <w:r>
              <w:rPr>
                <w:sz w:val="20"/>
              </w:rPr>
              <w:t>Rule Engine Configuration</w:t>
            </w:r>
          </w:p>
        </w:tc>
        <w:tc>
          <w:tcPr>
            <w:tcW w:type="dxa" w:w="4320"/>
            <w:shd w:fill="D6E4F0" w:val="clear"/>
          </w:tcPr>
          <w:p>
            <w:r>
              <w:rPr>
                <w:sz w:val="20"/>
              </w:rPr>
              <w:t>2026-03-18</w:t>
            </w:r>
          </w:p>
        </w:tc>
      </w:tr>
      <w:tr>
        <w:tc>
          <w:tcPr>
            <w:tcW w:type="dxa" w:w="5040"/>
          </w:tcPr>
          <w:p>
            <w:r>
              <w:rPr>
                <w:sz w:val="20"/>
              </w:rPr>
              <w:t>Accelerated UAT</w:t>
            </w:r>
          </w:p>
        </w:tc>
        <w:tc>
          <w:tcPr>
            <w:tcW w:type="dxa" w:w="4320"/>
          </w:tcPr>
          <w:p>
            <w:r>
              <w:rPr>
                <w:sz w:val="20"/>
              </w:rPr>
              <w:t>2026-03-20 to 2026-03-22</w:t>
            </w:r>
          </w:p>
        </w:tc>
      </w:tr>
      <w:tr>
        <w:tc>
          <w:tcPr>
            <w:tcW w:type="dxa" w:w="5040"/>
            <w:shd w:fill="D6E4F0" w:val="clear"/>
          </w:tcPr>
          <w:p>
            <w:r>
              <w:rPr>
                <w:sz w:val="20"/>
              </w:rPr>
              <w:t>Production Deployment</w:t>
            </w:r>
          </w:p>
        </w:tc>
        <w:tc>
          <w:tcPr>
            <w:tcW w:type="dxa" w:w="4320"/>
            <w:shd w:fill="D6E4F0" w:val="clear"/>
          </w:tcPr>
          <w:p>
            <w:r>
              <w:rPr>
                <w:sz w:val="20"/>
              </w:rPr>
              <w:t>2026-03-25</w:t>
            </w:r>
          </w:p>
        </w:tc>
      </w:tr>
      <w:tr>
        <w:tc>
          <w:tcPr>
            <w:tcW w:type="dxa" w:w="5040"/>
          </w:tcPr>
          <w:p>
            <w:r>
              <w:rPr>
                <w:sz w:val="20"/>
              </w:rPr>
              <w:t>Weekly Performance Monitoring</w:t>
            </w:r>
          </w:p>
        </w:tc>
        <w:tc>
          <w:tcPr>
            <w:tcW w:type="dxa" w:w="4320"/>
          </w:tcPr>
          <w:p>
            <w:r>
              <w:rPr>
                <w:sz w:val="20"/>
              </w:rPr>
              <w:t>Ongoing from 2026-03-25</w:t>
            </w:r>
          </w:p>
        </w:tc>
      </w:tr>
      <w:tr>
        <w:tc>
          <w:tcPr>
            <w:tcW w:type="dxa" w:w="5040"/>
            <w:shd w:fill="D6E4F0" w:val="clear"/>
          </w:tcPr>
          <w:p>
            <w:r>
              <w:rPr>
                <w:sz w:val="20"/>
              </w:rPr>
              <w:t>Framework Review &amp; Potential Relaxation</w:t>
            </w:r>
          </w:p>
        </w:tc>
        <w:tc>
          <w:tcPr>
            <w:tcW w:type="dxa" w:w="4320"/>
            <w:shd w:fill="D6E4F0" w:val="clear"/>
          </w:tcPr>
          <w:p>
            <w:r>
              <w:rPr>
                <w:sz w:val="20"/>
              </w:rPr>
              <w:t>2026-06-30</w:t>
            </w:r>
          </w:p>
        </w:tc>
      </w:tr>
    </w:tbl>
    <w:p/>
    <w:p>
      <w:pPr>
        <w:pStyle w:val="Heading1"/>
      </w:pPr>
      <w:r>
        <w:t>7.0 Approval</w:t>
      </w:r>
    </w:p>
    <w:p>
      <w:r>
        <w:t>This document requires approval from the following stakeholders before implementation may proceed.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2F5496" w:val="clear"/>
          </w:tcPr>
          <w:p>
            <w:r/>
            <w:r>
              <w:rPr>
                <w:b/>
                <w:color w:val="FFFFFF"/>
                <w:sz w:val="20"/>
              </w:rPr>
              <w:t>Name</w:t>
            </w:r>
          </w:p>
        </w:tc>
        <w:tc>
          <w:tcPr>
            <w:tcW w:type="dxa" w:w="2880"/>
            <w:shd w:fill="2F5496" w:val="clear"/>
          </w:tcPr>
          <w:p>
            <w:r/>
            <w:r>
              <w:rPr>
                <w:b/>
                <w:color w:val="FFFFFF"/>
                <w:sz w:val="20"/>
              </w:rPr>
              <w:t>Role</w:t>
            </w:r>
          </w:p>
        </w:tc>
        <w:tc>
          <w:tcPr>
            <w:tcW w:type="dxa" w:w="2160"/>
            <w:shd w:fill="2F5496" w:val="clear"/>
          </w:tcPr>
          <w:p>
            <w:r/>
            <w:r>
              <w:rPr>
                <w:b/>
                <w:color w:val="FFFFFF"/>
                <w:sz w:val="20"/>
              </w:rPr>
              <w:t>Signature</w:t>
            </w:r>
          </w:p>
        </w:tc>
        <w:tc>
          <w:tcPr>
            <w:tcW w:type="dxa" w:w="1440"/>
            <w:shd w:fill="2F5496" w:val="clear"/>
          </w:tcPr>
          <w:p>
            <w:r/>
            <w:r>
              <w:rPr>
                <w:b/>
                <w:color w:val="FFFFFF"/>
                <w:sz w:val="20"/>
              </w:rPr>
              <w:t>Date</w:t>
            </w:r>
          </w:p>
        </w:tc>
      </w:tr>
      <w:tr>
        <w:tc>
          <w:tcPr>
            <w:tcW w:type="dxa" w:w="2880"/>
          </w:tcPr>
          <w:p>
            <w:r>
              <w:rPr>
                <w:sz w:val="20"/>
              </w:rPr>
              <w:t>Priya Sharma</w:t>
            </w:r>
          </w:p>
        </w:tc>
        <w:tc>
          <w:tcPr>
            <w:tcW w:type="dxa" w:w="2880"/>
          </w:tcPr>
          <w:p>
            <w:r>
              <w:rPr>
                <w:sz w:val="20"/>
              </w:rPr>
              <w:t>Head of Credit Risk</w:t>
            </w:r>
          </w:p>
        </w:tc>
        <w:tc>
          <w:tcPr>
            <w:tcW w:type="dxa" w:w="2160"/>
          </w:tcPr>
          <w:p>
            <w:r>
              <w:rPr>
                <w:sz w:val="20"/>
              </w:rPr>
            </w:r>
          </w:p>
        </w:tc>
        <w:tc>
          <w:tcPr>
            <w:tcW w:type="dxa" w:w="1440"/>
          </w:tcPr>
          <w:p>
            <w:r>
              <w:rPr>
                <w:sz w:val="20"/>
              </w:rPr>
            </w:r>
          </w:p>
        </w:tc>
      </w:tr>
      <w:tr>
        <w:tc>
          <w:tcPr>
            <w:tcW w:type="dxa" w:w="2880"/>
            <w:shd w:fill="D6E4F0" w:val="clear"/>
          </w:tcPr>
          <w:p>
            <w:r>
              <w:rPr>
                <w:sz w:val="20"/>
              </w:rPr>
              <w:t>Vikram Desai</w:t>
            </w:r>
          </w:p>
        </w:tc>
        <w:tc>
          <w:tcPr>
            <w:tcW w:type="dxa" w:w="2880"/>
            <w:shd w:fill="D6E4F0" w:val="clear"/>
          </w:tcPr>
          <w:p>
            <w:r>
              <w:rPr>
                <w:sz w:val="20"/>
              </w:rPr>
              <w:t>Chief Risk Officer</w:t>
            </w:r>
          </w:p>
        </w:tc>
        <w:tc>
          <w:tcPr>
            <w:tcW w:type="dxa" w:w="2160"/>
            <w:shd w:fill="D6E4F0" w:val="clear"/>
          </w:tcPr>
          <w:p>
            <w:r>
              <w:rPr>
                <w:sz w:val="20"/>
              </w:rPr>
            </w:r>
          </w:p>
        </w:tc>
        <w:tc>
          <w:tcPr>
            <w:tcW w:type="dxa" w:w="1440"/>
            <w:shd w:fill="D6E4F0" w:val="clear"/>
          </w:tcPr>
          <w:p>
            <w:r>
              <w:rPr>
                <w:sz w:val="20"/>
              </w:rPr>
            </w:r>
          </w:p>
        </w:tc>
      </w:tr>
      <w:tr>
        <w:tc>
          <w:tcPr>
            <w:tcW w:type="dxa" w:w="2880"/>
          </w:tcPr>
          <w:p>
            <w:r>
              <w:rPr>
                <w:sz w:val="20"/>
              </w:rPr>
              <w:t>Arjun Kapoor</w:t>
            </w:r>
          </w:p>
        </w:tc>
        <w:tc>
          <w:tcPr>
            <w:tcW w:type="dxa" w:w="2880"/>
          </w:tcPr>
          <w:p>
            <w:r>
              <w:rPr>
                <w:sz w:val="20"/>
              </w:rPr>
              <w:t>Managing Director - Retail Lending</w:t>
            </w:r>
          </w:p>
        </w:tc>
        <w:tc>
          <w:tcPr>
            <w:tcW w:type="dxa" w:w="2160"/>
          </w:tcPr>
          <w:p>
            <w:r>
              <w:rPr>
                <w:sz w:val="20"/>
              </w:rPr>
            </w:r>
          </w:p>
        </w:tc>
        <w:tc>
          <w:tcPr>
            <w:tcW w:type="dxa" w:w="1440"/>
          </w:tcPr>
          <w:p>
            <w:r>
              <w:rPr>
                <w:sz w:val="20"/>
              </w:rPr>
            </w:r>
          </w:p>
        </w:tc>
      </w:tr>
      <w:tr>
        <w:tc>
          <w:tcPr>
            <w:tcW w:type="dxa" w:w="2880"/>
            <w:shd w:fill="D6E4F0" w:val="clear"/>
          </w:tcPr>
          <w:p>
            <w:r>
              <w:rPr>
                <w:sz w:val="20"/>
              </w:rPr>
              <w:t>Board Risk Committee</w:t>
            </w:r>
          </w:p>
        </w:tc>
        <w:tc>
          <w:tcPr>
            <w:tcW w:type="dxa" w:w="2880"/>
            <w:shd w:fill="D6E4F0" w:val="clear"/>
          </w:tcPr>
          <w:p>
            <w:r>
              <w:rPr>
                <w:sz w:val="20"/>
              </w:rPr>
              <w:t>Governance</w:t>
            </w:r>
          </w:p>
        </w:tc>
        <w:tc>
          <w:tcPr>
            <w:tcW w:type="dxa" w:w="2160"/>
            <w:shd w:fill="D6E4F0" w:val="clear"/>
          </w:tcPr>
          <w:p>
            <w:r>
              <w:rPr>
                <w:sz w:val="20"/>
              </w:rPr>
            </w:r>
          </w:p>
        </w:tc>
        <w:tc>
          <w:tcPr>
            <w:tcW w:type="dxa" w:w="1440"/>
            <w:shd w:fill="D6E4F0" w:val="clear"/>
          </w:tcPr>
          <w:p>
            <w:r>
              <w:rPr>
                <w:sz w:val="20"/>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