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ind w:left="0"/>
        <w:jc w:val="center"/>
      </w:pPr>
      <w:r>
        <w:rPr>
          <w:rFonts w:ascii="Arial" w:hAnsi="Arial" w:cs="Arial"/>
          <w:b/>
          <w:i w:val="0"/>
          <w:color w:val="595959"/>
          <w:sz w:val="28"/>
        </w:rPr>
        <w:t>LIBERTY LIVING HOMECARE</w:t>
      </w:r>
    </w:p>
    <w:p>
      <w:pPr>
        <w:spacing w:after="40"/>
        <w:ind w:left="0"/>
        <w:jc w:val="center"/>
      </w:pPr>
      <w:r>
        <w:rPr>
          <w:rFonts w:ascii="Arial" w:hAnsi="Arial" w:cs="Arial"/>
          <w:b/>
          <w:i w:val="0"/>
          <w:color w:val="1F4E79"/>
          <w:sz w:val="52"/>
        </w:rPr>
        <w:t>GOVERNANCE REPORTING TEMPLATES</w:t>
      </w:r>
    </w:p>
    <w:p>
      <w:pPr>
        <w:spacing w:after="360"/>
        <w:ind w:left="0"/>
        <w:jc w:val="center"/>
      </w:pPr>
      <w:r>
        <w:rPr>
          <w:rFonts w:ascii="Arial" w:hAnsi="Arial" w:cs="Arial"/>
          <w:b w:val="0"/>
          <w:i/>
          <w:color w:val="404040"/>
          <w:sz w:val="24"/>
        </w:rPr>
        <w:t>EMT  ·  Clinical Governance Committee  ·  Board Quality &amp; Risk Committee  ·  Annual Quality Review</w:t>
      </w:r>
    </w:p>
    <w:p/>
    <w:p/>
    <w:p/>
    <w:p/>
    <w:tbl>
      <w:tblPr>
        <w:tblW w:type="auto" w:w="0"/>
        <w:tblLook w:firstColumn="1" w:firstRow="1" w:lastColumn="0" w:lastRow="0" w:noHBand="0" w:noVBand="1" w:val="04A0"/>
      </w:tblPr>
      <w:tblGrid>
        <w:gridCol w:w="9412"/>
      </w:tblGrid>
      <w:tr>
        <w:tc>
          <w:tcPr>
            <w:tcW w:type="dxa" w:w="9412"/>
            <w:tcBorders>
              <w:top w:val="single" w:sz="4" w:color="E0E0E0"/>
              <w:left w:val="single" w:sz="24" w:color="1F4E79"/>
              <w:bottom w:val="single" w:sz="4" w:color="E0E0E0"/>
              <w:right w:val="single" w:sz="4" w:color="E0E0E0"/>
            </w:tcBorders>
            <w:shd w:val="clear" w:color="auto" w:fill="EAF2FA"/>
          </w:tcPr>
          <w:p>
            <w:pPr>
              <w:spacing w:after="40"/>
            </w:pPr>
            <w:r/>
            <w:r>
              <w:rPr>
                <w:rFonts w:ascii="Arial" w:hAnsi="Arial" w:cs="Arial"/>
                <w:b/>
                <w:i w:val="0"/>
                <w:color w:val="1F4E79"/>
                <w:sz w:val="20"/>
              </w:rPr>
              <w:t>What this document contains.</w:t>
            </w:r>
          </w:p>
          <w:p>
            <w:pPr>
              <w:spacing w:after="0"/>
            </w:pPr>
            <w:r>
              <w:rPr>
                <w:rFonts w:ascii="Arial" w:hAnsi="Arial" w:cs="Arial"/>
                <w:b w:val="0"/>
                <w:i w:val="0"/>
                <w:sz w:val="22"/>
              </w:rPr>
              <w:t>Four reusable reporting pack templates that together form Liberty Living's assurance reporting cycle. Each has a defined audience, frequency, standing agenda and pack structure. Used together, they ensure that quality, safety, risk and compliance information flows consistently from operational data at the frontline up to the Board, and externally to HSE and HIQA where required.</w:t>
            </w:r>
          </w:p>
        </w:tc>
      </w:tr>
    </w:tbl>
    <w:p/>
    <w:p/>
    <w:p/>
    <w:p/>
    <w:p>
      <w:pPr>
        <w:spacing w:after="80"/>
        <w:ind w:left="0"/>
        <w:jc w:val="center"/>
      </w:pPr>
      <w:r>
        <w:rPr>
          <w:rFonts w:ascii="Arial" w:hAnsi="Arial" w:cs="Arial"/>
          <w:b/>
          <w:i w:val="0"/>
          <w:color w:val="000000"/>
          <w:sz w:val="22"/>
        </w:rPr>
        <w:t>Issued by: Shauna Delaney, CEO</w:t>
      </w:r>
    </w:p>
    <w:p>
      <w:pPr>
        <w:spacing w:after="80"/>
        <w:ind w:left="0"/>
        <w:jc w:val="center"/>
      </w:pPr>
      <w:r>
        <w:rPr>
          <w:rFonts w:ascii="Arial" w:hAnsi="Arial" w:cs="Arial"/>
          <w:b w:val="0"/>
          <w:i w:val="0"/>
          <w:color w:val="000000"/>
          <w:sz w:val="22"/>
        </w:rPr>
        <w:t>Issue date: 15 May 2026  ·  Version 1.0</w:t>
      </w:r>
    </w:p>
    <w:p>
      <w:r>
        <w:br w:type="page"/>
      </w:r>
    </w:p>
    <w:p>
      <w:pPr>
        <w:pStyle w:val="Heading1"/>
        <w:spacing w:before="200" w:after="120"/>
      </w:pPr>
      <w:r>
        <w:rPr>
          <w:rFonts w:ascii="Arial" w:hAnsi="Arial" w:cs="Arial"/>
          <w:b/>
          <w:i w:val="0"/>
          <w:color w:val="1F4E79"/>
          <w:sz w:val="44"/>
        </w:rPr>
        <w:t>Contents</w:t>
      </w:r>
    </w:p>
    <w:p>
      <w:pPr>
        <w:spacing w:after="80"/>
        <w:ind w:left="288"/>
      </w:pPr>
      <w:r>
        <w:rPr>
          <w:rFonts w:ascii="Arial" w:hAnsi="Arial" w:cs="Arial"/>
          <w:b/>
          <w:i w:val="0"/>
          <w:color w:val="1F4E79"/>
          <w:sz w:val="24"/>
        </w:rPr>
        <w:t>1.  Executive Management Team (EMT) Monthly Pack</w:t>
      </w:r>
    </w:p>
    <w:p>
      <w:pPr>
        <w:spacing w:after="80"/>
        <w:ind w:left="288"/>
      </w:pPr>
      <w:r>
        <w:rPr>
          <w:rFonts w:ascii="Arial" w:hAnsi="Arial" w:cs="Arial"/>
          <w:b/>
          <w:i w:val="0"/>
          <w:color w:val="00838F"/>
          <w:sz w:val="24"/>
        </w:rPr>
        <w:t>2.  Clinical Governance Committee (CGC) Quarterly Pack</w:t>
      </w:r>
    </w:p>
    <w:p>
      <w:pPr>
        <w:spacing w:after="80"/>
        <w:ind w:left="288"/>
      </w:pPr>
      <w:r>
        <w:rPr>
          <w:rFonts w:ascii="Arial" w:hAnsi="Arial" w:cs="Arial"/>
          <w:b/>
          <w:i w:val="0"/>
          <w:color w:val="6A1B9A"/>
          <w:sz w:val="24"/>
        </w:rPr>
        <w:t>3.  Board Quality &amp; Risk Committee Quarterly Report</w:t>
      </w:r>
    </w:p>
    <w:p>
      <w:pPr>
        <w:spacing w:after="80"/>
        <w:ind w:left="288"/>
      </w:pPr>
      <w:r>
        <w:rPr>
          <w:rFonts w:ascii="Arial" w:hAnsi="Arial" w:cs="Arial"/>
          <w:b/>
          <w:i w:val="0"/>
          <w:color w:val="2E7D32"/>
          <w:sz w:val="24"/>
        </w:rPr>
        <w:t>4.  Annual Quality and Safety Review</w:t>
      </w:r>
    </w:p>
    <w:p>
      <w:pPr>
        <w:spacing w:after="80"/>
        <w:ind w:left="0"/>
      </w:pPr>
      <w:r>
        <w:rPr>
          <w:rFonts w:ascii="Arial" w:hAnsi="Arial" w:cs="Arial"/>
          <w:b w:val="0"/>
          <w:i/>
          <w:color w:val="595959"/>
          <w:sz w:val="20"/>
        </w:rPr>
        <w:t>All four templates assume monthly EMT cadence, quarterly CGC and Board cycles, and an annual Quality and Safety Review aligned to the calendar year. Each template includes a cover sheet, standing agenda (or pack structure), guidance for each item, and space for content and decisions.</w:t>
      </w:r>
    </w:p>
    <w:p>
      <w:r>
        <w:br w:type="page"/>
      </w:r>
    </w:p>
    <w:p>
      <w:pPr>
        <w:pStyle w:val="Heading1"/>
        <w:spacing w:before="200" w:after="120"/>
        <w:jc w:val="center"/>
      </w:pPr>
      <w:r>
        <w:rPr>
          <w:rFonts w:ascii="Arial" w:hAnsi="Arial" w:cs="Arial"/>
          <w:b/>
          <w:i w:val="0"/>
          <w:color w:val="1F4E79"/>
          <w:sz w:val="44"/>
        </w:rPr>
        <w:t>Executive Management Team (EMT) Monthly Pack</w:t>
      </w:r>
    </w:p>
    <w:p>
      <w:pPr>
        <w:spacing w:after="80"/>
        <w:ind w:left="0"/>
        <w:jc w:val="center"/>
      </w:pPr>
      <w:r>
        <w:rPr>
          <w:rFonts w:ascii="Arial" w:hAnsi="Arial" w:cs="Arial"/>
          <w:b w:val="0"/>
          <w:i/>
          <w:color w:val="595959"/>
          <w:sz w:val="20"/>
        </w:rPr>
        <w:t>Frequency: Monthly - first Tuesday of each month (rolling)    ·    Audience: CEO (Shauna Delaney), Director of Operations, Director of Quality &amp; Compliance, Director of Care, Clinical Lead. Standing invitees as required: HR Director, Designated Safeguarding Officer, Complaints Officer, Data Protection Officer.</w:t>
      </w:r>
    </w:p>
    <w:p/>
    <w:tbl>
      <w:tblPr>
        <w:tblW w:type="auto" w:w="0"/>
        <w:tblLook w:firstColumn="1" w:firstRow="1" w:lastColumn="0" w:lastRow="0" w:noHBand="0" w:noVBand="1" w:val="04A0"/>
      </w:tblPr>
      <w:tblGrid>
        <w:gridCol w:w="9412"/>
      </w:tblGrid>
      <w:tr>
        <w:tc>
          <w:tcPr>
            <w:tcW w:type="dxa" w:w="9412"/>
            <w:tcBorders>
              <w:top w:val="single" w:sz="4" w:color="E0E0E0"/>
              <w:left w:val="single" w:sz="24" w:color="1F4E79"/>
              <w:bottom w:val="single" w:sz="4" w:color="E0E0E0"/>
              <w:right w:val="single" w:sz="4" w:color="E0E0E0"/>
            </w:tcBorders>
            <w:shd w:val="clear" w:color="auto" w:fill="EAF2FA"/>
          </w:tcPr>
          <w:p>
            <w:pPr>
              <w:spacing w:after="40"/>
            </w:pPr>
            <w:r/>
            <w:r>
              <w:rPr>
                <w:rFonts w:ascii="Arial" w:hAnsi="Arial" w:cs="Arial"/>
                <w:b/>
                <w:i w:val="0"/>
                <w:color w:val="1F4E79"/>
                <w:sz w:val="20"/>
              </w:rPr>
              <w:t>Purpose of this pack.</w:t>
            </w:r>
          </w:p>
          <w:p>
            <w:pPr>
              <w:spacing w:after="0"/>
            </w:pPr>
            <w:r>
              <w:rPr>
                <w:rFonts w:ascii="Arial" w:hAnsi="Arial" w:cs="Arial"/>
                <w:b w:val="0"/>
                <w:i w:val="0"/>
                <w:sz w:val="22"/>
              </w:rPr>
              <w:t>Operational performance review against the agreed KPI framework; exception management of variance against plan; decisions required for the month ahead; oversight of risk register movements, open quality improvement plans (QIPs), audit programme and statutory obligations. Provides the operational layer that supports the Clinical Governance Committee's quarterly review and the Board Quality &amp; Risk Committee's quarterly assurance.</w:t>
            </w:r>
          </w:p>
        </w:tc>
      </w:tr>
    </w:tbl>
    <w:p/>
    <w:p>
      <w:pPr>
        <w:pStyle w:val="Heading2"/>
        <w:spacing w:before="200" w:after="120"/>
      </w:pPr>
      <w:r>
        <w:rPr>
          <w:rFonts w:ascii="Arial" w:hAnsi="Arial" w:cs="Arial"/>
          <w:b/>
          <w:i w:val="0"/>
          <w:color w:val="1F4E79"/>
          <w:sz w:val="28"/>
        </w:rPr>
        <w:t>Cover sheet</w:t>
      </w:r>
    </w:p>
    <w:tbl>
      <w:tblPr>
        <w:tblStyle w:val="LightGrid-Accent1"/>
        <w:tblW w:type="auto" w:w="0"/>
        <w:tblLook w:firstColumn="1" w:firstRow="1" w:lastColumn="0" w:lastRow="0" w:noHBand="0" w:noVBand="1" w:val="04A0"/>
      </w:tblPr>
      <w:tblGrid>
        <w:gridCol w:w="4706"/>
        <w:gridCol w:w="4706"/>
      </w:tblGrid>
      <w:tr>
        <w:tc>
          <w:tcPr>
            <w:tcW w:type="dxa" w:w="2880"/>
            <w:shd w:val="clear" w:color="auto" w:fill="F2F2F2"/>
          </w:tcPr>
          <w:p>
            <w:r/>
            <w:r>
              <w:rPr>
                <w:rFonts w:ascii="Arial" w:hAnsi="Arial" w:cs="Arial"/>
                <w:b/>
                <w:i w:val="0"/>
                <w:color w:val="1F4E79"/>
                <w:sz w:val="20"/>
              </w:rPr>
              <w:t>Meeting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1F4E79"/>
                <w:sz w:val="20"/>
              </w:rPr>
              <w:t>Period covered</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1F4E79"/>
                <w:sz w:val="20"/>
              </w:rPr>
              <w:t>Meeting chair</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1F4E79"/>
                <w:sz w:val="20"/>
              </w:rPr>
              <w:t>Author of pack</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1F4E79"/>
                <w:sz w:val="20"/>
              </w:rPr>
              <w:t>Distribution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1F4E79"/>
                <w:sz w:val="20"/>
              </w:rPr>
              <w:t>Version</w:t>
            </w:r>
          </w:p>
        </w:tc>
        <w:tc>
          <w:tcPr>
            <w:tcW w:type="dxa" w:w="6624"/>
          </w:tcPr>
          <w:p>
            <w:r/>
            <w:r>
              <w:rPr>
                <w:rFonts w:ascii="Arial" w:hAnsi="Arial" w:cs="Arial"/>
                <w:b w:val="0"/>
                <w:i w:val="0"/>
                <w:sz w:val="20"/>
              </w:rPr>
            </w:r>
          </w:p>
        </w:tc>
      </w:tr>
    </w:tbl>
    <w:p/>
    <w:p>
      <w:pPr>
        <w:pStyle w:val="Heading2"/>
        <w:spacing w:before="200" w:after="120"/>
      </w:pPr>
      <w:r>
        <w:rPr>
          <w:rFonts w:ascii="Arial" w:hAnsi="Arial" w:cs="Arial"/>
          <w:b/>
          <w:i w:val="0"/>
          <w:color w:val="1F4E79"/>
          <w:sz w:val="28"/>
        </w:rPr>
        <w:t>Standing agenda</w:t>
      </w:r>
    </w:p>
    <w:p>
      <w:pPr>
        <w:spacing w:after="40"/>
        <w:ind w:left="0"/>
      </w:pPr>
      <w:r>
        <w:rPr>
          <w:rFonts w:ascii="Arial" w:hAnsi="Arial" w:cs="Arial"/>
          <w:b/>
          <w:i w:val="0"/>
          <w:color w:val="1F4E79"/>
          <w:sz w:val="24"/>
        </w:rPr>
        <w:t>1. Apologies, declarations of interest, and review of previous minutes and actions</w:t>
      </w:r>
    </w:p>
    <w:p>
      <w:pPr>
        <w:spacing w:after="80"/>
        <w:ind w:left="360"/>
      </w:pPr>
      <w:r>
        <w:rPr>
          <w:rFonts w:ascii="Arial" w:hAnsi="Arial" w:cs="Arial"/>
          <w:b w:val="0"/>
          <w:i/>
          <w:color w:val="595959"/>
          <w:sz w:val="20"/>
        </w:rPr>
        <w:t>Guidance: Confirm a quorum (CEO plus at least three other Directors). Members declare any conflicts of interest relevant to the agenda. Previous minutes are confirmed and the actions log is reviewed for completion, slippage, and re-assignment. Any action overdue by more than one month is flagged for the CEO's attention.</w:t>
      </w:r>
    </w:p>
    <w:p>
      <w:pPr>
        <w:spacing w:after="80"/>
        <w:ind w:left="360"/>
      </w:pPr>
      <w:r>
        <w:rPr>
          <w:rFonts w:ascii="Arial" w:hAnsi="Arial" w:cs="Arial"/>
          <w:b w:val="0"/>
          <w:i w:val="0"/>
          <w:color w:val="000000"/>
          <w:sz w:val="20"/>
        </w:rPr>
        <w:t>Data required: Previous month's minutes (signed); rolling EMT action log with owners, due-dates, RAG status; declarations of interest register</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2. CEO update</w:t>
      </w:r>
    </w:p>
    <w:p>
      <w:pPr>
        <w:spacing w:after="80"/>
        <w:ind w:left="360"/>
      </w:pPr>
      <w:r>
        <w:rPr>
          <w:rFonts w:ascii="Arial" w:hAnsi="Arial" w:cs="Arial"/>
          <w:b w:val="0"/>
          <w:i/>
          <w:color w:val="595959"/>
          <w:sz w:val="20"/>
        </w:rPr>
        <w:t>Guidance: Brief verbal and / or one-page written update from the CEO covering strategic priorities, external matters (HSE, HIQA, sectoral developments), and any urgent matters not captured elsewhere on the agenda. CEO highlights items requiring a decision in the meeting.</w:t>
      </w:r>
    </w:p>
    <w:p>
      <w:pPr>
        <w:spacing w:after="80"/>
        <w:ind w:left="360"/>
      </w:pPr>
      <w:r>
        <w:rPr>
          <w:rFonts w:ascii="Arial" w:hAnsi="Arial" w:cs="Arial"/>
          <w:b w:val="0"/>
          <w:i w:val="0"/>
          <w:color w:val="000000"/>
          <w:sz w:val="20"/>
        </w:rPr>
        <w:t>Data required: CEO briefing note (1 page maximum); external correspondence summary; any strategic risks emerging</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3. Service delivery KPIs</w:t>
      </w:r>
    </w:p>
    <w:p>
      <w:pPr>
        <w:spacing w:after="80"/>
        <w:ind w:left="360"/>
      </w:pPr>
      <w:r>
        <w:rPr>
          <w:rFonts w:ascii="Arial" w:hAnsi="Arial" w:cs="Arial"/>
          <w:b w:val="0"/>
          <w:i/>
          <w:color w:val="595959"/>
          <w:sz w:val="20"/>
        </w:rPr>
        <w:t>Guidance: Review the Service Delivery KPI dashboard for the preceding calendar month. Focus on exceptions against thresholds, trend across rolling 12 months, and impact of any service-design changes. Director of Operations presents.</w:t>
      </w:r>
    </w:p>
    <w:p>
      <w:pPr>
        <w:spacing w:after="80"/>
        <w:ind w:left="360"/>
      </w:pPr>
      <w:r>
        <w:rPr>
          <w:rFonts w:ascii="Arial" w:hAnsi="Arial" w:cs="Arial"/>
          <w:b w:val="0"/>
          <w:i w:val="0"/>
          <w:color w:val="000000"/>
          <w:sz w:val="20"/>
        </w:rPr>
        <w:t>Data required: Visit completion %, missed visit %, late visit % (&gt;30 minutes), on-time response %, NFC tag compliance %, hours delivered vs authorised, capacity utilisation %, on-call call volume and response time</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4. Quality and safety KPIs</w:t>
      </w:r>
    </w:p>
    <w:p>
      <w:pPr>
        <w:spacing w:after="80"/>
        <w:ind w:left="360"/>
      </w:pPr>
      <w:r>
        <w:rPr>
          <w:rFonts w:ascii="Arial" w:hAnsi="Arial" w:cs="Arial"/>
          <w:b w:val="0"/>
          <w:i/>
          <w:color w:val="595959"/>
          <w:sz w:val="20"/>
        </w:rPr>
        <w:t>Guidance: Review of incident rates by category (per QA-13), Open Disclosure events, complaints volume and timeliness (per QA-03), safeguarding alerts and outcomes, IPC indicators (hand hygiene compliance, vaccination uptake, outbreak count), audit programme progress. Director of Quality presents.</w:t>
      </w:r>
    </w:p>
    <w:p>
      <w:pPr>
        <w:spacing w:after="80"/>
        <w:ind w:left="360"/>
      </w:pPr>
      <w:r>
        <w:rPr>
          <w:rFonts w:ascii="Arial" w:hAnsi="Arial" w:cs="Arial"/>
          <w:b w:val="0"/>
          <w:i w:val="0"/>
          <w:color w:val="000000"/>
          <w:sz w:val="20"/>
        </w:rPr>
        <w:t>Data required: Incident rate per 1,000 visit hours by category; Category 1 incidents in period; complaints volume, % acknowledged in 5 days, % outcome within 30 days; safeguarding alerts opened / closed; PSF1/PSF2 throughput; HIQA / HSE referrals; IPC scorecard</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5. Workforce KPIs</w:t>
      </w:r>
    </w:p>
    <w:p>
      <w:pPr>
        <w:spacing w:after="80"/>
        <w:ind w:left="360"/>
      </w:pPr>
      <w:r>
        <w:rPr>
          <w:rFonts w:ascii="Arial" w:hAnsi="Arial" w:cs="Arial"/>
          <w:b w:val="0"/>
          <w:i/>
          <w:color w:val="595959"/>
          <w:sz w:val="20"/>
        </w:rPr>
        <w:t>Guidance: Review of training compliance, vetting currency, supervision rates, recruitment pipeline, turnover and absence. HR Director presents (or written report tabled where not in attendance).</w:t>
      </w:r>
    </w:p>
    <w:p>
      <w:pPr>
        <w:spacing w:after="80"/>
        <w:ind w:left="360"/>
      </w:pPr>
      <w:r>
        <w:rPr>
          <w:rFonts w:ascii="Arial" w:hAnsi="Arial" w:cs="Arial"/>
          <w:b w:val="0"/>
          <w:i w:val="0"/>
          <w:color w:val="000000"/>
          <w:sz w:val="20"/>
        </w:rPr>
        <w:t>Data required: Training matrix RAG (% staff fully trained), Garda vetting currency %, supervision completion %, agency hours % of total hours, vacancy count, time-to-hire, turnover %, absence %</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6. Risk register movements</w:t>
      </w:r>
    </w:p>
    <w:p>
      <w:pPr>
        <w:spacing w:after="80"/>
        <w:ind w:left="360"/>
      </w:pPr>
      <w:r>
        <w:rPr>
          <w:rFonts w:ascii="Arial" w:hAnsi="Arial" w:cs="Arial"/>
          <w:b w:val="0"/>
          <w:i/>
          <w:color w:val="595959"/>
          <w:sz w:val="20"/>
        </w:rPr>
        <w:t>Guidance: Review additions, modifications, escalations and de-escalations on both the Corporate (Strategic) Risk Register and the Service and Care Delivery Risk Register since the last EMT. Confirm Top 10 Risks remains accurate (per HS-31 s.8.0). Decide on any risks requiring escalation to the Clinical Governance Committee or Board.</w:t>
      </w:r>
    </w:p>
    <w:p>
      <w:pPr>
        <w:spacing w:after="80"/>
        <w:ind w:left="360"/>
      </w:pPr>
      <w:r>
        <w:rPr>
          <w:rFonts w:ascii="Arial" w:hAnsi="Arial" w:cs="Arial"/>
          <w:b w:val="0"/>
          <w:i w:val="0"/>
          <w:color w:val="000000"/>
          <w:sz w:val="20"/>
        </w:rPr>
        <w:t>Data required: Risk register version-controlled extract; Top 10 Risks summary; new risk submissions; risk treatment plan progress</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7. Audit programme progress</w:t>
      </w:r>
    </w:p>
    <w:p>
      <w:pPr>
        <w:spacing w:after="80"/>
        <w:ind w:left="360"/>
      </w:pPr>
      <w:r>
        <w:rPr>
          <w:rFonts w:ascii="Arial" w:hAnsi="Arial" w:cs="Arial"/>
          <w:b w:val="0"/>
          <w:i/>
          <w:color w:val="595959"/>
          <w:sz w:val="20"/>
        </w:rPr>
        <w:t>Guidance: Review of internal audit calendar (the ten Phase 1 audits plus thematic and dip-sample audits). Confirm completions, identify any slippage against scheduled audits, review findings from completed audits and the status of resulting QIPs.</w:t>
      </w:r>
    </w:p>
    <w:p>
      <w:pPr>
        <w:spacing w:after="80"/>
        <w:ind w:left="360"/>
      </w:pPr>
      <w:r>
        <w:rPr>
          <w:rFonts w:ascii="Arial" w:hAnsi="Arial" w:cs="Arial"/>
          <w:b w:val="0"/>
          <w:i w:val="0"/>
          <w:color w:val="000000"/>
          <w:sz w:val="20"/>
        </w:rPr>
        <w:t>Data required: Audit calendar with planned vs actual completion; findings summary for completed audits; QIP register with RAG status; any external review activity (HSE, HIQA, internal audit)</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8. Open QIPs and lessons learned</w:t>
      </w:r>
    </w:p>
    <w:p>
      <w:pPr>
        <w:spacing w:after="80"/>
        <w:ind w:left="360"/>
      </w:pPr>
      <w:r>
        <w:rPr>
          <w:rFonts w:ascii="Arial" w:hAnsi="Arial" w:cs="Arial"/>
          <w:b w:val="0"/>
          <w:i/>
          <w:color w:val="595959"/>
          <w:sz w:val="20"/>
        </w:rPr>
        <w:t>Guidance: Review the QIP register. Each QIP must have a named owner, target date and measure of effectiveness. EMT escalates any QIP at risk of slipping. Lessons learned from incidents and complaints are summarised and decisions made on dissemination.</w:t>
      </w:r>
    </w:p>
    <w:p>
      <w:pPr>
        <w:spacing w:after="80"/>
        <w:ind w:left="360"/>
      </w:pPr>
      <w:r>
        <w:rPr>
          <w:rFonts w:ascii="Arial" w:hAnsi="Arial" w:cs="Arial"/>
          <w:b w:val="0"/>
          <w:i w:val="0"/>
          <w:color w:val="000000"/>
          <w:sz w:val="20"/>
        </w:rPr>
        <w:t>Data required: QIP register with status, owner, target date, slippage flag; lessons-learned dossier from the month; staff briefings issued</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9. Policy review status</w:t>
      </w:r>
    </w:p>
    <w:p>
      <w:pPr>
        <w:spacing w:after="80"/>
        <w:ind w:left="360"/>
      </w:pPr>
      <w:r>
        <w:rPr>
          <w:rFonts w:ascii="Arial" w:hAnsi="Arial" w:cs="Arial"/>
          <w:b w:val="0"/>
          <w:i/>
          <w:color w:val="595959"/>
          <w:sz w:val="20"/>
        </w:rPr>
        <w:t>Guidance: Review of the policy review calendar against the 3-year cycle in the master policy register. Identify policies due for review in the next 3 months. Confirm any policy revisions for approval and onward circulation.</w:t>
      </w:r>
    </w:p>
    <w:p>
      <w:pPr>
        <w:spacing w:after="80"/>
        <w:ind w:left="360"/>
      </w:pPr>
      <w:r>
        <w:rPr>
          <w:rFonts w:ascii="Arial" w:hAnsi="Arial" w:cs="Arial"/>
          <w:b w:val="0"/>
          <w:i w:val="0"/>
          <w:color w:val="000000"/>
          <w:sz w:val="20"/>
        </w:rPr>
        <w:t>Data required: Master policy register with next-review-due dates; policies in draft / out for consultation; policies pending approval</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10. Statutory and regulatory matters</w:t>
      </w:r>
    </w:p>
    <w:p>
      <w:pPr>
        <w:spacing w:after="80"/>
        <w:ind w:left="360"/>
      </w:pPr>
      <w:r>
        <w:rPr>
          <w:rFonts w:ascii="Arial" w:hAnsi="Arial" w:cs="Arial"/>
          <w:b w:val="0"/>
          <w:i/>
          <w:color w:val="595959"/>
          <w:sz w:val="20"/>
        </w:rPr>
        <w:t>Guidance: Standing item to confirm all statutory notifications (HSE, HIQA, DPC, HSA, Tusla, An Garda Siochana, coroner) have been made within timeframes. Tracking of HSE Authorisation Scheme compliance and any external engagement (HIQA inspection follow-up, HSE quarterly complaints report submission).</w:t>
      </w:r>
    </w:p>
    <w:p>
      <w:pPr>
        <w:spacing w:after="80"/>
        <w:ind w:left="360"/>
      </w:pPr>
      <w:r>
        <w:rPr>
          <w:rFonts w:ascii="Arial" w:hAnsi="Arial" w:cs="Arial"/>
          <w:b w:val="0"/>
          <w:i w:val="0"/>
          <w:color w:val="000000"/>
          <w:sz w:val="20"/>
        </w:rPr>
        <w:t>Data required: Statutory notifications log; HSE quarterly complaints submission status; external regulator correspondence; HSE Authorisation Scheme compliance dashboard</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11. Service User experience and feedback themes</w:t>
      </w:r>
    </w:p>
    <w:p>
      <w:pPr>
        <w:spacing w:after="80"/>
        <w:ind w:left="360"/>
      </w:pPr>
      <w:r>
        <w:rPr>
          <w:rFonts w:ascii="Arial" w:hAnsi="Arial" w:cs="Arial"/>
          <w:b w:val="0"/>
          <w:i/>
          <w:color w:val="595959"/>
          <w:sz w:val="20"/>
        </w:rPr>
        <w:t>Guidance: Themes from feedback (QA-03.2) and complaints (QA-03) reviewed in summary; any urgent matters or systemic issues identified for further action. Service User Designated Liaison Person reports any active Open Disclosure cases (status only, not detail unless decision required).</w:t>
      </w:r>
    </w:p>
    <w:p>
      <w:pPr>
        <w:spacing w:after="80"/>
        <w:ind w:left="360"/>
      </w:pPr>
      <w:r>
        <w:rPr>
          <w:rFonts w:ascii="Arial" w:hAnsi="Arial" w:cs="Arial"/>
          <w:b w:val="0"/>
          <w:i w:val="0"/>
          <w:color w:val="000000"/>
          <w:sz w:val="20"/>
        </w:rPr>
        <w:t>Data required: Feedback summary by channel; complaints theme analysis; active Open Disclosure case status (anonymised)</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1F4E79"/>
          <w:sz w:val="24"/>
        </w:rPr>
        <w:t>12. Any other business and decisions log</w:t>
      </w:r>
    </w:p>
    <w:p>
      <w:pPr>
        <w:spacing w:after="80"/>
        <w:ind w:left="360"/>
      </w:pPr>
      <w:r>
        <w:rPr>
          <w:rFonts w:ascii="Arial" w:hAnsi="Arial" w:cs="Arial"/>
          <w:b w:val="0"/>
          <w:i/>
          <w:color w:val="595959"/>
          <w:sz w:val="20"/>
        </w:rPr>
        <w:t>Guidance: Items raised under AOB are time-limited. The decisions log is updated in real time during the meeting and confirmed before close. Decisions log captures: decision, decision-maker(s), date, rationale, communication plan.</w:t>
      </w:r>
    </w:p>
    <w:p>
      <w:pPr>
        <w:spacing w:after="80"/>
        <w:ind w:left="360"/>
      </w:pPr>
      <w:r>
        <w:rPr>
          <w:rFonts w:ascii="Arial" w:hAnsi="Arial" w:cs="Arial"/>
          <w:b w:val="0"/>
          <w:i w:val="0"/>
          <w:color w:val="000000"/>
          <w:sz w:val="20"/>
        </w:rPr>
        <w:t>Data required: Decisions log template</w:t>
      </w:r>
    </w:p>
    <w:p>
      <w:pPr>
        <w:spacing w:after="40"/>
        <w:ind w:left="360"/>
      </w:pPr>
      <w:r>
        <w:rPr>
          <w:rFonts w:ascii="Arial" w:hAnsi="Arial" w:cs="Arial"/>
          <w:b/>
          <w:i w:val="0"/>
          <w:color w:val="1F4E79"/>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pStyle w:val="Heading2"/>
        <w:spacing w:before="200" w:after="120"/>
      </w:pPr>
      <w:r>
        <w:rPr>
          <w:rFonts w:ascii="Arial" w:hAnsi="Arial" w:cs="Arial"/>
          <w:b/>
          <w:i w:val="0"/>
          <w:color w:val="1F4E79"/>
          <w:sz w:val="28"/>
        </w:rPr>
        <w:t>Appendices</w:t>
      </w:r>
    </w:p>
    <w:p>
      <w:pPr>
        <w:spacing w:after="60"/>
        <w:ind w:left="432" w:hanging="288"/>
      </w:pPr>
      <w:r>
        <w:rPr>
          <w:rFonts w:ascii="Arial" w:hAnsi="Arial" w:cs="Arial"/>
          <w:b/>
          <w:i w:val="0"/>
          <w:color w:val="1F4E79"/>
          <w:sz w:val="22"/>
        </w:rPr>
        <w:t xml:space="preserve">●  </w:t>
      </w:r>
      <w:r>
        <w:rPr>
          <w:rFonts w:ascii="Arial" w:hAnsi="Arial" w:cs="Arial"/>
          <w:b w:val="0"/>
          <w:i w:val="0"/>
          <w:sz w:val="22"/>
        </w:rPr>
        <w:t>Monthly KPI dashboard (full version - data behind summary slides)</w:t>
      </w:r>
    </w:p>
    <w:p>
      <w:pPr>
        <w:spacing w:after="60"/>
        <w:ind w:left="432" w:hanging="288"/>
      </w:pPr>
      <w:r>
        <w:rPr>
          <w:rFonts w:ascii="Arial" w:hAnsi="Arial" w:cs="Arial"/>
          <w:b/>
          <w:i w:val="0"/>
          <w:color w:val="1F4E79"/>
          <w:sz w:val="22"/>
        </w:rPr>
        <w:t xml:space="preserve">●  </w:t>
      </w:r>
      <w:r>
        <w:rPr>
          <w:rFonts w:ascii="Arial" w:hAnsi="Arial" w:cs="Arial"/>
          <w:b w:val="0"/>
          <w:i w:val="0"/>
          <w:sz w:val="22"/>
        </w:rPr>
        <w:t>Risk register movements detail (with prior and current scores)</w:t>
      </w:r>
    </w:p>
    <w:p>
      <w:pPr>
        <w:spacing w:after="60"/>
        <w:ind w:left="432" w:hanging="288"/>
      </w:pPr>
      <w:r>
        <w:rPr>
          <w:rFonts w:ascii="Arial" w:hAnsi="Arial" w:cs="Arial"/>
          <w:b/>
          <w:i w:val="0"/>
          <w:color w:val="1F4E79"/>
          <w:sz w:val="22"/>
        </w:rPr>
        <w:t xml:space="preserve">●  </w:t>
      </w:r>
      <w:r>
        <w:rPr>
          <w:rFonts w:ascii="Arial" w:hAnsi="Arial" w:cs="Arial"/>
          <w:b w:val="0"/>
          <w:i w:val="0"/>
          <w:sz w:val="22"/>
        </w:rPr>
        <w:t>Open QIPs status report (all active QIPs with movement)</w:t>
      </w:r>
    </w:p>
    <w:p>
      <w:pPr>
        <w:spacing w:after="60"/>
        <w:ind w:left="432" w:hanging="288"/>
      </w:pPr>
      <w:r>
        <w:rPr>
          <w:rFonts w:ascii="Arial" w:hAnsi="Arial" w:cs="Arial"/>
          <w:b/>
          <w:i w:val="0"/>
          <w:color w:val="1F4E79"/>
          <w:sz w:val="22"/>
        </w:rPr>
        <w:t xml:space="preserve">●  </w:t>
      </w:r>
      <w:r>
        <w:rPr>
          <w:rFonts w:ascii="Arial" w:hAnsi="Arial" w:cs="Arial"/>
          <w:b w:val="0"/>
          <w:i w:val="0"/>
          <w:sz w:val="22"/>
        </w:rPr>
        <w:t>Audit calendar progress (Gantt-style year view)</w:t>
      </w:r>
    </w:p>
    <w:p>
      <w:pPr>
        <w:spacing w:after="60"/>
        <w:ind w:left="432" w:hanging="288"/>
      </w:pPr>
      <w:r>
        <w:rPr>
          <w:rFonts w:ascii="Arial" w:hAnsi="Arial" w:cs="Arial"/>
          <w:b/>
          <w:i w:val="0"/>
          <w:color w:val="1F4E79"/>
          <w:sz w:val="22"/>
        </w:rPr>
        <w:t xml:space="preserve">●  </w:t>
      </w:r>
      <w:r>
        <w:rPr>
          <w:rFonts w:ascii="Arial" w:hAnsi="Arial" w:cs="Arial"/>
          <w:b w:val="0"/>
          <w:i w:val="0"/>
          <w:sz w:val="22"/>
        </w:rPr>
        <w:t>Statutory notifications log</w:t>
      </w:r>
    </w:p>
    <w:p>
      <w:pPr>
        <w:spacing w:after="60"/>
        <w:ind w:left="432" w:hanging="288"/>
      </w:pPr>
      <w:r>
        <w:rPr>
          <w:rFonts w:ascii="Arial" w:hAnsi="Arial" w:cs="Arial"/>
          <w:b/>
          <w:i w:val="0"/>
          <w:color w:val="1F4E79"/>
          <w:sz w:val="22"/>
        </w:rPr>
        <w:t xml:space="preserve">●  </w:t>
      </w:r>
      <w:r>
        <w:rPr>
          <w:rFonts w:ascii="Arial" w:hAnsi="Arial" w:cs="Arial"/>
          <w:b w:val="0"/>
          <w:i w:val="0"/>
          <w:sz w:val="22"/>
        </w:rPr>
        <w:t>Open Disclosure active cases (anonymised tracker)</w:t>
      </w:r>
    </w:p>
    <w:p>
      <w:pPr>
        <w:spacing w:after="60"/>
        <w:ind w:left="432" w:hanging="288"/>
      </w:pPr>
      <w:r>
        <w:rPr>
          <w:rFonts w:ascii="Arial" w:hAnsi="Arial" w:cs="Arial"/>
          <w:b/>
          <w:i w:val="0"/>
          <w:color w:val="1F4E79"/>
          <w:sz w:val="22"/>
        </w:rPr>
        <w:t xml:space="preserve">●  </w:t>
      </w:r>
      <w:r>
        <w:rPr>
          <w:rFonts w:ascii="Arial" w:hAnsi="Arial" w:cs="Arial"/>
          <w:b w:val="0"/>
          <w:i w:val="0"/>
          <w:sz w:val="22"/>
        </w:rPr>
        <w:t>Training and vetting matrix (full detail)</w:t>
      </w:r>
    </w:p>
    <w:p>
      <w:pPr>
        <w:spacing w:after="60"/>
        <w:ind w:left="432" w:hanging="288"/>
      </w:pPr>
      <w:r>
        <w:rPr>
          <w:rFonts w:ascii="Arial" w:hAnsi="Arial" w:cs="Arial"/>
          <w:b/>
          <w:i w:val="0"/>
          <w:color w:val="1F4E79"/>
          <w:sz w:val="22"/>
        </w:rPr>
        <w:t xml:space="preserve">●  </w:t>
      </w:r>
      <w:r>
        <w:rPr>
          <w:rFonts w:ascii="Arial" w:hAnsi="Arial" w:cs="Arial"/>
          <w:b w:val="0"/>
          <w:i w:val="0"/>
          <w:sz w:val="22"/>
        </w:rPr>
        <w:t>Decisions log (for sign-off)</w:t>
      </w:r>
    </w:p>
    <w:p>
      <w:r>
        <w:br w:type="page"/>
      </w:r>
    </w:p>
    <w:p>
      <w:pPr>
        <w:pStyle w:val="Heading1"/>
        <w:spacing w:before="200" w:after="120"/>
        <w:jc w:val="center"/>
      </w:pPr>
      <w:r>
        <w:rPr>
          <w:rFonts w:ascii="Arial" w:hAnsi="Arial" w:cs="Arial"/>
          <w:b/>
          <w:i w:val="0"/>
          <w:color w:val="00838F"/>
          <w:sz w:val="44"/>
        </w:rPr>
        <w:t>Clinical Governance Committee (CGC) Quarterly Pack</w:t>
      </w:r>
    </w:p>
    <w:p>
      <w:pPr>
        <w:spacing w:after="80"/>
        <w:ind w:left="0"/>
        <w:jc w:val="center"/>
      </w:pPr>
      <w:r>
        <w:rPr>
          <w:rFonts w:ascii="Arial" w:hAnsi="Arial" w:cs="Arial"/>
          <w:b w:val="0"/>
          <w:i/>
          <w:color w:val="595959"/>
          <w:sz w:val="20"/>
        </w:rPr>
        <w:t>Frequency: Quarterly (end of each calendar quarter; report covers prior 3 months)    ·    Audience: Director of Quality &amp; Compliance (Chair), Clinical Lead, Director of Care, Director of Operations, Designated Safeguarding Officer, Complaints Officer, Data Protection Officer. CEO attends ex-officio. External clinical advisor (where retained) attends in person or in writing.</w:t>
      </w:r>
    </w:p>
    <w:p/>
    <w:tbl>
      <w:tblPr>
        <w:tblW w:type="auto" w:w="0"/>
        <w:tblLook w:firstColumn="1" w:firstRow="1" w:lastColumn="0" w:lastRow="0" w:noHBand="0" w:noVBand="1" w:val="04A0"/>
      </w:tblPr>
      <w:tblGrid>
        <w:gridCol w:w="9412"/>
      </w:tblGrid>
      <w:tr>
        <w:tc>
          <w:tcPr>
            <w:tcW w:type="dxa" w:w="9412"/>
            <w:tcBorders>
              <w:top w:val="single" w:sz="4" w:color="E0E0E0"/>
              <w:left w:val="single" w:sz="24" w:color="00838F"/>
              <w:bottom w:val="single" w:sz="4" w:color="E0E0E0"/>
              <w:right w:val="single" w:sz="4" w:color="E0E0E0"/>
            </w:tcBorders>
            <w:shd w:val="clear" w:color="auto" w:fill="E0F2F1"/>
          </w:tcPr>
          <w:p>
            <w:pPr>
              <w:spacing w:after="40"/>
            </w:pPr>
            <w:r/>
            <w:r>
              <w:rPr>
                <w:rFonts w:ascii="Arial" w:hAnsi="Arial" w:cs="Arial"/>
                <w:b/>
                <w:i w:val="0"/>
                <w:color w:val="00838F"/>
                <w:sz w:val="20"/>
              </w:rPr>
              <w:t>Purpose of this pack.</w:t>
            </w:r>
          </w:p>
          <w:p>
            <w:pPr>
              <w:spacing w:after="0"/>
            </w:pPr>
            <w:r>
              <w:rPr>
                <w:rFonts w:ascii="Arial" w:hAnsi="Arial" w:cs="Arial"/>
                <w:b w:val="0"/>
                <w:i w:val="0"/>
                <w:sz w:val="22"/>
              </w:rPr>
              <w:t>Operational governance oversight of quality, safety, risk and compliance. The CGC is the operational governance forum that aggregates the EMT's monthly material into a quarterly assurance view, identifies systemic themes, oversees the audit programme, and reports upwards to the Board Quality &amp; Risk Committee. CGC sits between the EMT and the Board, providing an independent (within the executive) line of challenge on quality and safety matters. Per GOV-35 Clinical Governance Framework.</w:t>
            </w:r>
          </w:p>
        </w:tc>
      </w:tr>
    </w:tbl>
    <w:p/>
    <w:p>
      <w:pPr>
        <w:pStyle w:val="Heading2"/>
        <w:spacing w:before="200" w:after="120"/>
      </w:pPr>
      <w:r>
        <w:rPr>
          <w:rFonts w:ascii="Arial" w:hAnsi="Arial" w:cs="Arial"/>
          <w:b/>
          <w:i w:val="0"/>
          <w:color w:val="00838F"/>
          <w:sz w:val="28"/>
        </w:rPr>
        <w:t>Cover sheet</w:t>
      </w:r>
    </w:p>
    <w:tbl>
      <w:tblPr>
        <w:tblStyle w:val="LightGrid-Accent1"/>
        <w:tblW w:type="auto" w:w="0"/>
        <w:tblLook w:firstColumn="1" w:firstRow="1" w:lastColumn="0" w:lastRow="0" w:noHBand="0" w:noVBand="1" w:val="04A0"/>
      </w:tblPr>
      <w:tblGrid>
        <w:gridCol w:w="4706"/>
        <w:gridCol w:w="4706"/>
      </w:tblGrid>
      <w:tr>
        <w:tc>
          <w:tcPr>
            <w:tcW w:type="dxa" w:w="2880"/>
            <w:shd w:val="clear" w:color="auto" w:fill="F2F2F2"/>
          </w:tcPr>
          <w:p>
            <w:r/>
            <w:r>
              <w:rPr>
                <w:rFonts w:ascii="Arial" w:hAnsi="Arial" w:cs="Arial"/>
                <w:b/>
                <w:i w:val="0"/>
                <w:color w:val="00838F"/>
                <w:sz w:val="20"/>
              </w:rPr>
              <w:t>Meeting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00838F"/>
                <w:sz w:val="20"/>
              </w:rPr>
              <w:t>Period covered</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00838F"/>
                <w:sz w:val="20"/>
              </w:rPr>
              <w:t>Meeting chair</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00838F"/>
                <w:sz w:val="20"/>
              </w:rPr>
              <w:t>Author of pack</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00838F"/>
                <w:sz w:val="20"/>
              </w:rPr>
              <w:t>Distribution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00838F"/>
                <w:sz w:val="20"/>
              </w:rPr>
              <w:t>Version</w:t>
            </w:r>
          </w:p>
        </w:tc>
        <w:tc>
          <w:tcPr>
            <w:tcW w:type="dxa" w:w="6624"/>
          </w:tcPr>
          <w:p>
            <w:r/>
            <w:r>
              <w:rPr>
                <w:rFonts w:ascii="Arial" w:hAnsi="Arial" w:cs="Arial"/>
                <w:b w:val="0"/>
                <w:i w:val="0"/>
                <w:sz w:val="20"/>
              </w:rPr>
            </w:r>
          </w:p>
        </w:tc>
      </w:tr>
    </w:tbl>
    <w:p/>
    <w:p>
      <w:pPr>
        <w:pStyle w:val="Heading2"/>
        <w:spacing w:before="200" w:after="120"/>
      </w:pPr>
      <w:r>
        <w:rPr>
          <w:rFonts w:ascii="Arial" w:hAnsi="Arial" w:cs="Arial"/>
          <w:b/>
          <w:i w:val="0"/>
          <w:color w:val="00838F"/>
          <w:sz w:val="28"/>
        </w:rPr>
        <w:t>Standing agenda</w:t>
      </w:r>
    </w:p>
    <w:p>
      <w:pPr>
        <w:spacing w:after="40"/>
        <w:ind w:left="0"/>
      </w:pPr>
      <w:r>
        <w:rPr>
          <w:rFonts w:ascii="Arial" w:hAnsi="Arial" w:cs="Arial"/>
          <w:b/>
          <w:i w:val="0"/>
          <w:color w:val="00838F"/>
          <w:sz w:val="24"/>
        </w:rPr>
        <w:t>1. Welcome, apologies, declarations of interest and review of previous minutes / actions</w:t>
      </w:r>
    </w:p>
    <w:p>
      <w:pPr>
        <w:spacing w:after="80"/>
        <w:ind w:left="360"/>
      </w:pPr>
      <w:r>
        <w:rPr>
          <w:rFonts w:ascii="Arial" w:hAnsi="Arial" w:cs="Arial"/>
          <w:b w:val="0"/>
          <w:i/>
          <w:color w:val="595959"/>
          <w:sz w:val="20"/>
        </w:rPr>
        <w:t>Guidance: Standing opening. Confirm quorum. Declarations are formally recorded.</w:t>
      </w:r>
    </w:p>
    <w:p>
      <w:pPr>
        <w:spacing w:after="80"/>
        <w:ind w:left="360"/>
      </w:pPr>
      <w:r>
        <w:rPr>
          <w:rFonts w:ascii="Arial" w:hAnsi="Arial" w:cs="Arial"/>
          <w:b w:val="0"/>
          <w:i w:val="0"/>
          <w:color w:val="000000"/>
          <w:sz w:val="20"/>
        </w:rPr>
        <w:t>Data required: Previous minutes; CGC action log with owner / due-date / RAG</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2. Director of Quality's quarterly assurance statement</w:t>
      </w:r>
    </w:p>
    <w:p>
      <w:pPr>
        <w:spacing w:after="80"/>
        <w:ind w:left="360"/>
      </w:pPr>
      <w:r>
        <w:rPr>
          <w:rFonts w:ascii="Arial" w:hAnsi="Arial" w:cs="Arial"/>
          <w:b w:val="0"/>
          <w:i/>
          <w:color w:val="595959"/>
          <w:sz w:val="20"/>
        </w:rPr>
        <w:t>Guidance: Quarterly assurance statement from the Director of Quality covering whether the quality and safety arrangements are operating effectively, exception areas, and any matters requiring CGC challenge or Board escalation. Sets the tone for the meeting.</w:t>
      </w:r>
    </w:p>
    <w:p>
      <w:pPr>
        <w:spacing w:after="80"/>
        <w:ind w:left="360"/>
      </w:pPr>
      <w:r>
        <w:rPr>
          <w:rFonts w:ascii="Arial" w:hAnsi="Arial" w:cs="Arial"/>
          <w:b w:val="0"/>
          <w:i w:val="0"/>
          <w:color w:val="000000"/>
          <w:sz w:val="20"/>
        </w:rPr>
        <w:t>Data required: Two-page assurance statement; supporting evidence pack</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3. Service delivery KPI review (quarterly trends)</w:t>
      </w:r>
    </w:p>
    <w:p>
      <w:pPr>
        <w:spacing w:after="80"/>
        <w:ind w:left="360"/>
      </w:pPr>
      <w:r>
        <w:rPr>
          <w:rFonts w:ascii="Arial" w:hAnsi="Arial" w:cs="Arial"/>
          <w:b w:val="0"/>
          <w:i/>
          <w:color w:val="595959"/>
          <w:sz w:val="20"/>
        </w:rPr>
        <w:t>Guidance: Quarterly view of operational KPIs - trends across the three months and across the rolling 12 months. Focus on direction of travel, not point-in-time. CGC challenges any sustained adverse trend.</w:t>
      </w:r>
    </w:p>
    <w:p>
      <w:pPr>
        <w:spacing w:after="80"/>
        <w:ind w:left="360"/>
      </w:pPr>
      <w:r>
        <w:rPr>
          <w:rFonts w:ascii="Arial" w:hAnsi="Arial" w:cs="Arial"/>
          <w:b w:val="0"/>
          <w:i w:val="0"/>
          <w:color w:val="000000"/>
          <w:sz w:val="20"/>
        </w:rPr>
        <w:t>Data required: Quarterly KPI scorecard with trend lines, RAG indicators, narrative on movements</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4. Audit programme progress and findings</w:t>
      </w:r>
    </w:p>
    <w:p>
      <w:pPr>
        <w:spacing w:after="80"/>
        <w:ind w:left="360"/>
      </w:pPr>
      <w:r>
        <w:rPr>
          <w:rFonts w:ascii="Arial" w:hAnsi="Arial" w:cs="Arial"/>
          <w:b w:val="0"/>
          <w:i/>
          <w:color w:val="595959"/>
          <w:sz w:val="20"/>
        </w:rPr>
        <w:t>Guidance: Review of internal audit programme. Each completed audit in the quarter is presented in summary with key findings, compliance rating, and resulting QIPs. CGC challenges audit methodology where indicated, confirms audit calendar for the next quarter.</w:t>
      </w:r>
    </w:p>
    <w:p>
      <w:pPr>
        <w:spacing w:after="80"/>
        <w:ind w:left="360"/>
      </w:pPr>
      <w:r>
        <w:rPr>
          <w:rFonts w:ascii="Arial" w:hAnsi="Arial" w:cs="Arial"/>
          <w:b w:val="0"/>
          <w:i w:val="0"/>
          <w:color w:val="000000"/>
          <w:sz w:val="20"/>
        </w:rPr>
        <w:t>Data required: Audit calendar status; full audit report summaries for completed audits; QIP register entries arising; thematic findings across audits</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5. Complaints and Service User feedback (quarterly view)</w:t>
      </w:r>
    </w:p>
    <w:p>
      <w:pPr>
        <w:spacing w:after="80"/>
        <w:ind w:left="360"/>
      </w:pPr>
      <w:r>
        <w:rPr>
          <w:rFonts w:ascii="Arial" w:hAnsi="Arial" w:cs="Arial"/>
          <w:b w:val="0"/>
          <w:i/>
          <w:color w:val="595959"/>
          <w:sz w:val="20"/>
        </w:rPr>
        <w:t>Guidance: Quarterly trend analysis of complaints (QA-03) and feedback (QA-03.2). Themes, recurrent issues, timeliness compliance, external onward routes used. The Complaints Officer presents and the Complaints Review Officer attends. Aligns to the HSE quarterly complaints report.</w:t>
      </w:r>
    </w:p>
    <w:p>
      <w:pPr>
        <w:spacing w:after="80"/>
        <w:ind w:left="360"/>
      </w:pPr>
      <w:r>
        <w:rPr>
          <w:rFonts w:ascii="Arial" w:hAnsi="Arial" w:cs="Arial"/>
          <w:b w:val="0"/>
          <w:i w:val="0"/>
          <w:color w:val="000000"/>
          <w:sz w:val="20"/>
        </w:rPr>
        <w:t>Data required: Quarterly complaints report (categorised), feedback themes, timeliness analysis, comparison with prior quarter and same quarter prior year, HSE quarterly submission</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6. Incident management and Open Disclosure (quarterly view)</w:t>
      </w:r>
    </w:p>
    <w:p>
      <w:pPr>
        <w:spacing w:after="80"/>
        <w:ind w:left="360"/>
      </w:pPr>
      <w:r>
        <w:rPr>
          <w:rFonts w:ascii="Arial" w:hAnsi="Arial" w:cs="Arial"/>
          <w:b w:val="0"/>
          <w:i/>
          <w:color w:val="595959"/>
          <w:sz w:val="20"/>
        </w:rPr>
        <w:t>Guidance: Quarterly review of incidents per QA-13 - volume, category mix, harm levels, Open Disclosure events, Notifiable Incidents reported, RCA outcomes, lessons learned. CGC reviews effectiveness of incident management system.</w:t>
      </w:r>
    </w:p>
    <w:p>
      <w:pPr>
        <w:spacing w:after="80"/>
        <w:ind w:left="360"/>
      </w:pPr>
      <w:r>
        <w:rPr>
          <w:rFonts w:ascii="Arial" w:hAnsi="Arial" w:cs="Arial"/>
          <w:b w:val="0"/>
          <w:i w:val="0"/>
          <w:color w:val="000000"/>
          <w:sz w:val="20"/>
        </w:rPr>
        <w:t>Data required: Quarterly incident report; RCA summaries completed in quarter; Open Disclosure register; Notifiable Incidents to HSE; lessons learned dossier</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7. Safeguarding update</w:t>
      </w:r>
    </w:p>
    <w:p>
      <w:pPr>
        <w:spacing w:after="80"/>
        <w:ind w:left="360"/>
      </w:pPr>
      <w:r>
        <w:rPr>
          <w:rFonts w:ascii="Arial" w:hAnsi="Arial" w:cs="Arial"/>
          <w:b w:val="0"/>
          <w:i/>
          <w:color w:val="595959"/>
          <w:sz w:val="20"/>
        </w:rPr>
        <w:t>Guidance: Safeguarding update from the Designated Safeguarding Officer - alerts raised, preliminary screenings completed, referrals to HSE Safeguarding and Protection Team, Trust in Care cases, child protection referrals to Tusla, financial protection review. CGC reviews quality of safeguarding response.</w:t>
      </w:r>
    </w:p>
    <w:p>
      <w:pPr>
        <w:spacing w:after="80"/>
        <w:ind w:left="360"/>
      </w:pPr>
      <w:r>
        <w:rPr>
          <w:rFonts w:ascii="Arial" w:hAnsi="Arial" w:cs="Arial"/>
          <w:b w:val="0"/>
          <w:i w:val="0"/>
          <w:color w:val="000000"/>
          <w:sz w:val="20"/>
        </w:rPr>
        <w:t>Data required: Safeguarding quarterly report; PSF1/PSF2 throughput; HSE referrals; Trust in Care cases (anonymised); financial transactions audit summary</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8. Risk register review (quarterly)</w:t>
      </w:r>
    </w:p>
    <w:p>
      <w:pPr>
        <w:spacing w:after="80"/>
        <w:ind w:left="360"/>
      </w:pPr>
      <w:r>
        <w:rPr>
          <w:rFonts w:ascii="Arial" w:hAnsi="Arial" w:cs="Arial"/>
          <w:b w:val="0"/>
          <w:i/>
          <w:color w:val="595959"/>
          <w:sz w:val="20"/>
        </w:rPr>
        <w:t>Guidance: CGC reviews both Corporate and Service &amp; Care Delivery Risk Registers. Focuses on Top 10 Risks, risk treatment plan progress, new risks emerged in quarter, risks proposed for escalation to Board, and risk appetite alignment.</w:t>
      </w:r>
    </w:p>
    <w:p>
      <w:pPr>
        <w:spacing w:after="80"/>
        <w:ind w:left="360"/>
      </w:pPr>
      <w:r>
        <w:rPr>
          <w:rFonts w:ascii="Arial" w:hAnsi="Arial" w:cs="Arial"/>
          <w:b w:val="0"/>
          <w:i w:val="0"/>
          <w:color w:val="000000"/>
          <w:sz w:val="20"/>
        </w:rPr>
        <w:t>Data required: Risk registers (current version-controlled extracts); Top 10 Risks; risk treatment plan progress; risk appetite framework comparison</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9. QIP register status</w:t>
      </w:r>
    </w:p>
    <w:p>
      <w:pPr>
        <w:spacing w:after="80"/>
        <w:ind w:left="360"/>
      </w:pPr>
      <w:r>
        <w:rPr>
          <w:rFonts w:ascii="Arial" w:hAnsi="Arial" w:cs="Arial"/>
          <w:b w:val="0"/>
          <w:i/>
          <w:color w:val="595959"/>
          <w:sz w:val="20"/>
        </w:rPr>
        <w:t>Guidance: Comprehensive review of the Quality Improvement Plan register. CGC challenges any QIPs at risk of slipping, reviews effectiveness measures, and signs off closure of completed QIPs.</w:t>
      </w:r>
    </w:p>
    <w:p>
      <w:pPr>
        <w:spacing w:after="80"/>
        <w:ind w:left="360"/>
      </w:pPr>
      <w:r>
        <w:rPr>
          <w:rFonts w:ascii="Arial" w:hAnsi="Arial" w:cs="Arial"/>
          <w:b w:val="0"/>
          <w:i w:val="0"/>
          <w:color w:val="000000"/>
          <w:sz w:val="20"/>
        </w:rPr>
        <w:t>Data required: Full QIP register; slippage report; closed-QIP effectiveness evidence; new QIPs added in quarter</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10. Policy review status and approvals</w:t>
      </w:r>
    </w:p>
    <w:p>
      <w:pPr>
        <w:spacing w:after="80"/>
        <w:ind w:left="360"/>
      </w:pPr>
      <w:r>
        <w:rPr>
          <w:rFonts w:ascii="Arial" w:hAnsi="Arial" w:cs="Arial"/>
          <w:b w:val="0"/>
          <w:i/>
          <w:color w:val="595959"/>
          <w:sz w:val="20"/>
        </w:rPr>
        <w:t>Guidance: Status of policy review cycle. Policies presented for CGC approval before circulation. Confirms that consultation has been carried out and that statutory / regulatory updates have been incorporated.</w:t>
      </w:r>
    </w:p>
    <w:p>
      <w:pPr>
        <w:spacing w:after="80"/>
        <w:ind w:left="360"/>
      </w:pPr>
      <w:r>
        <w:rPr>
          <w:rFonts w:ascii="Arial" w:hAnsi="Arial" w:cs="Arial"/>
          <w:b w:val="0"/>
          <w:i w:val="0"/>
          <w:color w:val="000000"/>
          <w:sz w:val="20"/>
        </w:rPr>
        <w:t>Data required: Master policy register; policies for approval; consultation feedback</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11. Training, vetting and workforce assurance</w:t>
      </w:r>
    </w:p>
    <w:p>
      <w:pPr>
        <w:spacing w:after="80"/>
        <w:ind w:left="360"/>
      </w:pPr>
      <w:r>
        <w:rPr>
          <w:rFonts w:ascii="Arial" w:hAnsi="Arial" w:cs="Arial"/>
          <w:b w:val="0"/>
          <w:i/>
          <w:color w:val="595959"/>
          <w:sz w:val="20"/>
        </w:rPr>
        <w:t>Guidance: Quarterly view of training compliance, Garda vetting currency, supervision rates, professional registration verification. Particular focus on mandatory training and any safeguarding-relevant credentials. HR Director or designate presents.</w:t>
      </w:r>
    </w:p>
    <w:p>
      <w:pPr>
        <w:spacing w:after="80"/>
        <w:ind w:left="360"/>
      </w:pPr>
      <w:r>
        <w:rPr>
          <w:rFonts w:ascii="Arial" w:hAnsi="Arial" w:cs="Arial"/>
          <w:b w:val="0"/>
          <w:i w:val="0"/>
          <w:color w:val="000000"/>
          <w:sz w:val="20"/>
        </w:rPr>
        <w:t>Data required: Training matrix quarterly summary; vetting currency report; supervision completion rate; recruitment and retention dashboard</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12. Statutory notifications and regulatory engagement</w:t>
      </w:r>
    </w:p>
    <w:p>
      <w:pPr>
        <w:spacing w:after="80"/>
        <w:ind w:left="360"/>
      </w:pPr>
      <w:r>
        <w:rPr>
          <w:rFonts w:ascii="Arial" w:hAnsi="Arial" w:cs="Arial"/>
          <w:b w:val="0"/>
          <w:i/>
          <w:color w:val="595959"/>
          <w:sz w:val="20"/>
        </w:rPr>
        <w:t>Guidance: Confirmation that all statutory notifications have been made within timeframes (HSE, HIQA, DPC, Tusla, HSA, An Garda Siochana, coroner). Review of regulatory correspondence and any inspection / external review activity.</w:t>
      </w:r>
    </w:p>
    <w:p>
      <w:pPr>
        <w:spacing w:after="80"/>
        <w:ind w:left="360"/>
      </w:pPr>
      <w:r>
        <w:rPr>
          <w:rFonts w:ascii="Arial" w:hAnsi="Arial" w:cs="Arial"/>
          <w:b w:val="0"/>
          <w:i w:val="0"/>
          <w:color w:val="000000"/>
          <w:sz w:val="20"/>
        </w:rPr>
        <w:t>Data required: Statutory notifications log; regulatory correspondence summary; HSE Authorisation Scheme dashboard; HIQA inspection / engagement status</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13. Data Protection and Information Governance</w:t>
      </w:r>
    </w:p>
    <w:p>
      <w:pPr>
        <w:spacing w:after="80"/>
        <w:ind w:left="360"/>
      </w:pPr>
      <w:r>
        <w:rPr>
          <w:rFonts w:ascii="Arial" w:hAnsi="Arial" w:cs="Arial"/>
          <w:b w:val="0"/>
          <w:i/>
          <w:color w:val="595959"/>
          <w:sz w:val="20"/>
        </w:rPr>
        <w:t>Guidance: Standing report from the Data Protection Officer covering personal data breaches, Subject Access Requests, DPIAs completed, Data Register currency, processor management, training compliance. CGC reviews effectiveness of GDPR compliance arrangements.</w:t>
      </w:r>
    </w:p>
    <w:p>
      <w:pPr>
        <w:spacing w:after="80"/>
        <w:ind w:left="360"/>
      </w:pPr>
      <w:r>
        <w:rPr>
          <w:rFonts w:ascii="Arial" w:hAnsi="Arial" w:cs="Arial"/>
          <w:b w:val="0"/>
          <w:i w:val="0"/>
          <w:color w:val="000000"/>
          <w:sz w:val="20"/>
        </w:rPr>
        <w:t>Data required: DPO quarterly report; breach log; SAR log; DPIA register; Data Register version; DPA register</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14. External review and improvement initiatives</w:t>
      </w:r>
    </w:p>
    <w:p>
      <w:pPr>
        <w:spacing w:after="80"/>
        <w:ind w:left="360"/>
      </w:pPr>
      <w:r>
        <w:rPr>
          <w:rFonts w:ascii="Arial" w:hAnsi="Arial" w:cs="Arial"/>
          <w:b w:val="0"/>
          <w:i/>
          <w:color w:val="595959"/>
          <w:sz w:val="20"/>
        </w:rPr>
        <w:t>Guidance: Any external reviews (HSE, HIQA, internal audit, peer review, accreditation activity) and external improvement initiatives. Status of any external recommendations.</w:t>
      </w:r>
    </w:p>
    <w:p>
      <w:pPr>
        <w:spacing w:after="80"/>
        <w:ind w:left="360"/>
      </w:pPr>
      <w:r>
        <w:rPr>
          <w:rFonts w:ascii="Arial" w:hAnsi="Arial" w:cs="Arial"/>
          <w:b w:val="0"/>
          <w:i w:val="0"/>
          <w:color w:val="000000"/>
          <w:sz w:val="20"/>
        </w:rPr>
        <w:t>Data required: External review register; outstanding recommendations; planned external engagement</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spacing w:after="40"/>
        <w:ind w:left="0"/>
      </w:pPr>
      <w:r>
        <w:rPr>
          <w:rFonts w:ascii="Arial" w:hAnsi="Arial" w:cs="Arial"/>
          <w:b/>
          <w:i w:val="0"/>
          <w:color w:val="00838F"/>
          <w:sz w:val="24"/>
        </w:rPr>
        <w:t>15. Matters for Board Quality &amp; Risk Committee escalation and AOB</w:t>
      </w:r>
    </w:p>
    <w:p>
      <w:pPr>
        <w:spacing w:after="80"/>
        <w:ind w:left="360"/>
      </w:pPr>
      <w:r>
        <w:rPr>
          <w:rFonts w:ascii="Arial" w:hAnsi="Arial" w:cs="Arial"/>
          <w:b w:val="0"/>
          <w:i/>
          <w:color w:val="595959"/>
          <w:sz w:val="20"/>
        </w:rPr>
        <w:t>Guidance: CGC identifies items for escalation to the Board Quality &amp; Risk Committee. Confirms the quarterly Board report content. AOB items time-limited.</w:t>
      </w:r>
    </w:p>
    <w:p>
      <w:pPr>
        <w:spacing w:after="80"/>
        <w:ind w:left="360"/>
      </w:pPr>
      <w:r>
        <w:rPr>
          <w:rFonts w:ascii="Arial" w:hAnsi="Arial" w:cs="Arial"/>
          <w:b w:val="0"/>
          <w:i w:val="0"/>
          <w:color w:val="000000"/>
          <w:sz w:val="20"/>
        </w:rPr>
        <w:t>Data required: Draft Board Quality &amp; Risk Committee report; CGC sign-off template</w:t>
      </w:r>
    </w:p>
    <w:p>
      <w:pPr>
        <w:spacing w:after="40"/>
        <w:ind w:left="360"/>
      </w:pPr>
      <w:r>
        <w:rPr>
          <w:rFonts w:ascii="Arial" w:hAnsi="Arial" w:cs="Arial"/>
          <w:b/>
          <w:i w:val="0"/>
          <w:color w:val="00838F"/>
          <w:sz w:val="20"/>
        </w:rPr>
        <w:t>Decisions / actions: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r>
          </w:p>
          <w:p/>
          <w:p/>
          <w:p/>
        </w:tc>
      </w:tr>
    </w:tbl>
    <w:p/>
    <w:p>
      <w:pPr>
        <w:pStyle w:val="Heading2"/>
        <w:spacing w:before="200" w:after="120"/>
      </w:pPr>
      <w:r>
        <w:rPr>
          <w:rFonts w:ascii="Arial" w:hAnsi="Arial" w:cs="Arial"/>
          <w:b/>
          <w:i w:val="0"/>
          <w:color w:val="00838F"/>
          <w:sz w:val="28"/>
        </w:rPr>
        <w:t>Appendices</w:t>
      </w:r>
    </w:p>
    <w:p>
      <w:pPr>
        <w:spacing w:after="60"/>
        <w:ind w:left="432" w:hanging="288"/>
      </w:pPr>
      <w:r>
        <w:rPr>
          <w:rFonts w:ascii="Arial" w:hAnsi="Arial" w:cs="Arial"/>
          <w:b/>
          <w:i w:val="0"/>
          <w:color w:val="00838F"/>
          <w:sz w:val="22"/>
        </w:rPr>
        <w:t xml:space="preserve">●  </w:t>
      </w:r>
      <w:r>
        <w:rPr>
          <w:rFonts w:ascii="Arial" w:hAnsi="Arial" w:cs="Arial"/>
          <w:b w:val="0"/>
          <w:i w:val="0"/>
          <w:sz w:val="22"/>
        </w:rPr>
        <w:t>Quarterly KPI scorecard with full trend analysis</w:t>
      </w:r>
    </w:p>
    <w:p>
      <w:pPr>
        <w:spacing w:after="60"/>
        <w:ind w:left="432" w:hanging="288"/>
      </w:pPr>
      <w:r>
        <w:rPr>
          <w:rFonts w:ascii="Arial" w:hAnsi="Arial" w:cs="Arial"/>
          <w:b/>
          <w:i w:val="0"/>
          <w:color w:val="00838F"/>
          <w:sz w:val="22"/>
        </w:rPr>
        <w:t xml:space="preserve">●  </w:t>
      </w:r>
      <w:r>
        <w:rPr>
          <w:rFonts w:ascii="Arial" w:hAnsi="Arial" w:cs="Arial"/>
          <w:b w:val="0"/>
          <w:i w:val="0"/>
          <w:sz w:val="22"/>
        </w:rPr>
        <w:t>Full audit reports for the quarter (summary + recommendations)</w:t>
      </w:r>
    </w:p>
    <w:p>
      <w:pPr>
        <w:spacing w:after="60"/>
        <w:ind w:left="432" w:hanging="288"/>
      </w:pPr>
      <w:r>
        <w:rPr>
          <w:rFonts w:ascii="Arial" w:hAnsi="Arial" w:cs="Arial"/>
          <w:b/>
          <w:i w:val="0"/>
          <w:color w:val="00838F"/>
          <w:sz w:val="22"/>
        </w:rPr>
        <w:t xml:space="preserve">●  </w:t>
      </w:r>
      <w:r>
        <w:rPr>
          <w:rFonts w:ascii="Arial" w:hAnsi="Arial" w:cs="Arial"/>
          <w:b w:val="0"/>
          <w:i w:val="0"/>
          <w:sz w:val="22"/>
        </w:rPr>
        <w:t>Full quarterly complaints report (HSE submission format)</w:t>
      </w:r>
    </w:p>
    <w:p>
      <w:pPr>
        <w:spacing w:after="60"/>
        <w:ind w:left="432" w:hanging="288"/>
      </w:pPr>
      <w:r>
        <w:rPr>
          <w:rFonts w:ascii="Arial" w:hAnsi="Arial" w:cs="Arial"/>
          <w:b/>
          <w:i w:val="0"/>
          <w:color w:val="00838F"/>
          <w:sz w:val="22"/>
        </w:rPr>
        <w:t xml:space="preserve">●  </w:t>
      </w:r>
      <w:r>
        <w:rPr>
          <w:rFonts w:ascii="Arial" w:hAnsi="Arial" w:cs="Arial"/>
          <w:b w:val="0"/>
          <w:i w:val="0"/>
          <w:sz w:val="22"/>
        </w:rPr>
        <w:t>Full quarterly incident report (with RCA summaries)</w:t>
      </w:r>
    </w:p>
    <w:p>
      <w:pPr>
        <w:spacing w:after="60"/>
        <w:ind w:left="432" w:hanging="288"/>
      </w:pPr>
      <w:r>
        <w:rPr>
          <w:rFonts w:ascii="Arial" w:hAnsi="Arial" w:cs="Arial"/>
          <w:b/>
          <w:i w:val="0"/>
          <w:color w:val="00838F"/>
          <w:sz w:val="22"/>
        </w:rPr>
        <w:t xml:space="preserve">●  </w:t>
      </w:r>
      <w:r>
        <w:rPr>
          <w:rFonts w:ascii="Arial" w:hAnsi="Arial" w:cs="Arial"/>
          <w:b w:val="0"/>
          <w:i w:val="0"/>
          <w:sz w:val="22"/>
        </w:rPr>
        <w:t>Safeguarding quarterly report</w:t>
      </w:r>
    </w:p>
    <w:p>
      <w:pPr>
        <w:spacing w:after="60"/>
        <w:ind w:left="432" w:hanging="288"/>
      </w:pPr>
      <w:r>
        <w:rPr>
          <w:rFonts w:ascii="Arial" w:hAnsi="Arial" w:cs="Arial"/>
          <w:b/>
          <w:i w:val="0"/>
          <w:color w:val="00838F"/>
          <w:sz w:val="22"/>
        </w:rPr>
        <w:t xml:space="preserve">●  </w:t>
      </w:r>
      <w:r>
        <w:rPr>
          <w:rFonts w:ascii="Arial" w:hAnsi="Arial" w:cs="Arial"/>
          <w:b w:val="0"/>
          <w:i w:val="0"/>
          <w:sz w:val="22"/>
        </w:rPr>
        <w:t>Risk registers (current version-controlled extracts) with Top 10 Risks</w:t>
      </w:r>
    </w:p>
    <w:p>
      <w:pPr>
        <w:spacing w:after="60"/>
        <w:ind w:left="432" w:hanging="288"/>
      </w:pPr>
      <w:r>
        <w:rPr>
          <w:rFonts w:ascii="Arial" w:hAnsi="Arial" w:cs="Arial"/>
          <w:b/>
          <w:i w:val="0"/>
          <w:color w:val="00838F"/>
          <w:sz w:val="22"/>
        </w:rPr>
        <w:t xml:space="preserve">●  </w:t>
      </w:r>
      <w:r>
        <w:rPr>
          <w:rFonts w:ascii="Arial" w:hAnsi="Arial" w:cs="Arial"/>
          <w:b w:val="0"/>
          <w:i w:val="0"/>
          <w:sz w:val="22"/>
        </w:rPr>
        <w:t>Full QIP register</w:t>
      </w:r>
    </w:p>
    <w:p>
      <w:pPr>
        <w:spacing w:after="60"/>
        <w:ind w:left="432" w:hanging="288"/>
      </w:pPr>
      <w:r>
        <w:rPr>
          <w:rFonts w:ascii="Arial" w:hAnsi="Arial" w:cs="Arial"/>
          <w:b/>
          <w:i w:val="0"/>
          <w:color w:val="00838F"/>
          <w:sz w:val="22"/>
        </w:rPr>
        <w:t xml:space="preserve">●  </w:t>
      </w:r>
      <w:r>
        <w:rPr>
          <w:rFonts w:ascii="Arial" w:hAnsi="Arial" w:cs="Arial"/>
          <w:b w:val="0"/>
          <w:i w:val="0"/>
          <w:sz w:val="22"/>
        </w:rPr>
        <w:t>Master policy register and review cycle</w:t>
      </w:r>
    </w:p>
    <w:p>
      <w:pPr>
        <w:spacing w:after="60"/>
        <w:ind w:left="432" w:hanging="288"/>
      </w:pPr>
      <w:r>
        <w:rPr>
          <w:rFonts w:ascii="Arial" w:hAnsi="Arial" w:cs="Arial"/>
          <w:b/>
          <w:i w:val="0"/>
          <w:color w:val="00838F"/>
          <w:sz w:val="22"/>
        </w:rPr>
        <w:t xml:space="preserve">●  </w:t>
      </w:r>
      <w:r>
        <w:rPr>
          <w:rFonts w:ascii="Arial" w:hAnsi="Arial" w:cs="Arial"/>
          <w:b w:val="0"/>
          <w:i w:val="0"/>
          <w:sz w:val="22"/>
        </w:rPr>
        <w:t>Training and vetting full detail</w:t>
      </w:r>
    </w:p>
    <w:p>
      <w:pPr>
        <w:spacing w:after="60"/>
        <w:ind w:left="432" w:hanging="288"/>
      </w:pPr>
      <w:r>
        <w:rPr>
          <w:rFonts w:ascii="Arial" w:hAnsi="Arial" w:cs="Arial"/>
          <w:b/>
          <w:i w:val="0"/>
          <w:color w:val="00838F"/>
          <w:sz w:val="22"/>
        </w:rPr>
        <w:t xml:space="preserve">●  </w:t>
      </w:r>
      <w:r>
        <w:rPr>
          <w:rFonts w:ascii="Arial" w:hAnsi="Arial" w:cs="Arial"/>
          <w:b w:val="0"/>
          <w:i w:val="0"/>
          <w:sz w:val="22"/>
        </w:rPr>
        <w:t>Statutory notifications log</w:t>
      </w:r>
    </w:p>
    <w:p>
      <w:pPr>
        <w:spacing w:after="60"/>
        <w:ind w:left="432" w:hanging="288"/>
      </w:pPr>
      <w:r>
        <w:rPr>
          <w:rFonts w:ascii="Arial" w:hAnsi="Arial" w:cs="Arial"/>
          <w:b/>
          <w:i w:val="0"/>
          <w:color w:val="00838F"/>
          <w:sz w:val="22"/>
        </w:rPr>
        <w:t xml:space="preserve">●  </w:t>
      </w:r>
      <w:r>
        <w:rPr>
          <w:rFonts w:ascii="Arial" w:hAnsi="Arial" w:cs="Arial"/>
          <w:b w:val="0"/>
          <w:i w:val="0"/>
          <w:sz w:val="22"/>
        </w:rPr>
        <w:t>DPO quarterly report</w:t>
      </w:r>
    </w:p>
    <w:p>
      <w:pPr>
        <w:spacing w:after="60"/>
        <w:ind w:left="432" w:hanging="288"/>
      </w:pPr>
      <w:r>
        <w:rPr>
          <w:rFonts w:ascii="Arial" w:hAnsi="Arial" w:cs="Arial"/>
          <w:b/>
          <w:i w:val="0"/>
          <w:color w:val="00838F"/>
          <w:sz w:val="22"/>
        </w:rPr>
        <w:t xml:space="preserve">●  </w:t>
      </w:r>
      <w:r>
        <w:rPr>
          <w:rFonts w:ascii="Arial" w:hAnsi="Arial" w:cs="Arial"/>
          <w:b w:val="0"/>
          <w:i w:val="0"/>
          <w:sz w:val="22"/>
        </w:rPr>
        <w:t>External review and inspection register</w:t>
      </w:r>
    </w:p>
    <w:p>
      <w:pPr>
        <w:spacing w:after="60"/>
        <w:ind w:left="432" w:hanging="288"/>
      </w:pPr>
      <w:r>
        <w:rPr>
          <w:rFonts w:ascii="Arial" w:hAnsi="Arial" w:cs="Arial"/>
          <w:b/>
          <w:i w:val="0"/>
          <w:color w:val="00838F"/>
          <w:sz w:val="22"/>
        </w:rPr>
        <w:t xml:space="preserve">●  </w:t>
      </w:r>
      <w:r>
        <w:rPr>
          <w:rFonts w:ascii="Arial" w:hAnsi="Arial" w:cs="Arial"/>
          <w:b w:val="0"/>
          <w:i w:val="0"/>
          <w:sz w:val="22"/>
        </w:rPr>
        <w:t>Draft Board Quality &amp; Risk Committee report (for CGC approval)</w:t>
      </w:r>
    </w:p>
    <w:p>
      <w:r>
        <w:br w:type="page"/>
      </w:r>
    </w:p>
    <w:p>
      <w:pPr>
        <w:pStyle w:val="Heading1"/>
        <w:spacing w:before="200" w:after="120"/>
        <w:jc w:val="center"/>
      </w:pPr>
      <w:r>
        <w:rPr>
          <w:rFonts w:ascii="Arial" w:hAnsi="Arial" w:cs="Arial"/>
          <w:b/>
          <w:i w:val="0"/>
          <w:color w:val="6A1B9A"/>
          <w:sz w:val="44"/>
        </w:rPr>
        <w:t>Board Quality &amp; Risk Committee Quarterly Report</w:t>
      </w:r>
    </w:p>
    <w:p>
      <w:pPr>
        <w:spacing w:after="80"/>
        <w:ind w:left="0"/>
        <w:jc w:val="center"/>
      </w:pPr>
      <w:r>
        <w:rPr>
          <w:rFonts w:ascii="Arial" w:hAnsi="Arial" w:cs="Arial"/>
          <w:b w:val="0"/>
          <w:i/>
          <w:color w:val="595959"/>
          <w:sz w:val="20"/>
        </w:rPr>
        <w:t>Frequency: Quarterly - approximately 3 weeks after quarter-end to allow CGC review and approval    ·    Audience: Board members via the Board Quality &amp; Risk Committee. Committee membership typically: a non-executive Chair of the Board Quality &amp; Risk Committee, one or more non-executive Board members, the CEO (executive attendee), and the Director of Quality &amp; Compliance (presenting). Other executives attend as required.</w:t>
      </w:r>
    </w:p>
    <w:p/>
    <w:tbl>
      <w:tblPr>
        <w:tblW w:type="auto" w:w="0"/>
        <w:tblLook w:firstColumn="1" w:firstRow="1" w:lastColumn="0" w:lastRow="0" w:noHBand="0" w:noVBand="1" w:val="04A0"/>
      </w:tblPr>
      <w:tblGrid>
        <w:gridCol w:w="9412"/>
      </w:tblGrid>
      <w:tr>
        <w:tc>
          <w:tcPr>
            <w:tcW w:type="dxa" w:w="9412"/>
            <w:tcBorders>
              <w:top w:val="single" w:sz="4" w:color="E0E0E0"/>
              <w:left w:val="single" w:sz="24" w:color="6A1B9A"/>
              <w:bottom w:val="single" w:sz="4" w:color="E0E0E0"/>
              <w:right w:val="single" w:sz="4" w:color="E0E0E0"/>
            </w:tcBorders>
            <w:shd w:val="clear" w:color="auto" w:fill="F3E5F5"/>
          </w:tcPr>
          <w:p>
            <w:pPr>
              <w:spacing w:after="40"/>
            </w:pPr>
            <w:r/>
            <w:r>
              <w:rPr>
                <w:rFonts w:ascii="Arial" w:hAnsi="Arial" w:cs="Arial"/>
                <w:b/>
                <w:i w:val="0"/>
                <w:color w:val="6A1B9A"/>
                <w:sz w:val="20"/>
              </w:rPr>
              <w:t>Purpose of this pack.</w:t>
            </w:r>
          </w:p>
          <w:p>
            <w:pPr>
              <w:spacing w:after="0"/>
            </w:pPr>
            <w:r>
              <w:rPr>
                <w:rFonts w:ascii="Arial" w:hAnsi="Arial" w:cs="Arial"/>
                <w:b w:val="0"/>
                <w:i w:val="0"/>
                <w:sz w:val="22"/>
              </w:rPr>
              <w:t>Board-level assurance that quality, safety and risk are being managed effectively within the agreed risk appetite. The report converts operational detail into Board-level judgements: is the service safe, is it well-led, is it improving, and where is the residual risk? Provides the evidence base for the Board's quality and safety oversight responsibilities under the Clinical Governance Framework (GOV-35).</w:t>
            </w:r>
          </w:p>
        </w:tc>
      </w:tr>
    </w:tbl>
    <w:p/>
    <w:p>
      <w:pPr>
        <w:pStyle w:val="Heading2"/>
        <w:spacing w:before="200" w:after="120"/>
      </w:pPr>
      <w:r>
        <w:rPr>
          <w:rFonts w:ascii="Arial" w:hAnsi="Arial" w:cs="Arial"/>
          <w:b/>
          <w:i w:val="0"/>
          <w:color w:val="6A1B9A"/>
          <w:sz w:val="28"/>
        </w:rPr>
        <w:t>Cover sheet</w:t>
      </w:r>
    </w:p>
    <w:tbl>
      <w:tblPr>
        <w:tblStyle w:val="LightGrid-Accent1"/>
        <w:tblW w:type="auto" w:w="0"/>
        <w:tblLook w:firstColumn="1" w:firstRow="1" w:lastColumn="0" w:lastRow="0" w:noHBand="0" w:noVBand="1" w:val="04A0"/>
      </w:tblPr>
      <w:tblGrid>
        <w:gridCol w:w="4706"/>
        <w:gridCol w:w="4706"/>
      </w:tblGrid>
      <w:tr>
        <w:tc>
          <w:tcPr>
            <w:tcW w:type="dxa" w:w="2880"/>
            <w:shd w:val="clear" w:color="auto" w:fill="F2F2F2"/>
          </w:tcPr>
          <w:p>
            <w:r/>
            <w:r>
              <w:rPr>
                <w:rFonts w:ascii="Arial" w:hAnsi="Arial" w:cs="Arial"/>
                <w:b/>
                <w:i w:val="0"/>
                <w:color w:val="6A1B9A"/>
                <w:sz w:val="20"/>
              </w:rPr>
              <w:t>Meeting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6A1B9A"/>
                <w:sz w:val="20"/>
              </w:rPr>
              <w:t>Period covered</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6A1B9A"/>
                <w:sz w:val="20"/>
              </w:rPr>
              <w:t>Meeting chair</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6A1B9A"/>
                <w:sz w:val="20"/>
              </w:rPr>
              <w:t>Author of pack</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6A1B9A"/>
                <w:sz w:val="20"/>
              </w:rPr>
              <w:t>Distribution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6A1B9A"/>
                <w:sz w:val="20"/>
              </w:rPr>
              <w:t>Version</w:t>
            </w:r>
          </w:p>
        </w:tc>
        <w:tc>
          <w:tcPr>
            <w:tcW w:type="dxa" w:w="6624"/>
          </w:tcPr>
          <w:p>
            <w:r/>
            <w:r>
              <w:rPr>
                <w:rFonts w:ascii="Arial" w:hAnsi="Arial" w:cs="Arial"/>
                <w:b w:val="0"/>
                <w:i w:val="0"/>
                <w:sz w:val="20"/>
              </w:rPr>
            </w:r>
          </w:p>
        </w:tc>
      </w:tr>
    </w:tbl>
    <w:p/>
    <w:p>
      <w:pPr>
        <w:pStyle w:val="Heading2"/>
        <w:spacing w:before="200" w:after="120"/>
      </w:pPr>
      <w:r>
        <w:rPr>
          <w:rFonts w:ascii="Arial" w:hAnsi="Arial" w:cs="Arial"/>
          <w:b/>
          <w:i w:val="0"/>
          <w:color w:val="6A1B9A"/>
          <w:sz w:val="28"/>
        </w:rPr>
        <w:t>Pack structure</w:t>
      </w:r>
    </w:p>
    <w:p>
      <w:pPr>
        <w:spacing w:after="40"/>
        <w:ind w:left="0"/>
      </w:pPr>
      <w:r>
        <w:rPr>
          <w:rFonts w:ascii="Arial" w:hAnsi="Arial" w:cs="Arial"/>
          <w:b/>
          <w:i w:val="0"/>
          <w:color w:val="6A1B9A"/>
          <w:sz w:val="24"/>
        </w:rPr>
        <w:t>1. Executive Summary</w:t>
      </w:r>
    </w:p>
    <w:p>
      <w:pPr>
        <w:spacing w:after="80"/>
        <w:ind w:left="360"/>
      </w:pPr>
      <w:r>
        <w:rPr>
          <w:rFonts w:ascii="Arial" w:hAnsi="Arial" w:cs="Arial"/>
          <w:b w:val="0"/>
          <w:i/>
          <w:color w:val="595959"/>
          <w:sz w:val="20"/>
        </w:rPr>
        <w:t>Guidance: One-to-two-page executive summary that a Board member can read and have a clear picture of the quarter. Includes a single-sentence headline assessment ('The service is operating within risk appetite, with the following exceptions...'), three highlights, three areas of concern, and three asks of the Board.</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Headline assurance assessment; highlights (3); concerns (3); decisions sought from Board; quarter-on-quarter direction of travel</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2. Assurance Statement from the Director of Quality &amp; Compliance</w:t>
      </w:r>
    </w:p>
    <w:p>
      <w:pPr>
        <w:spacing w:after="80"/>
        <w:ind w:left="360"/>
      </w:pPr>
      <w:r>
        <w:rPr>
          <w:rFonts w:ascii="Arial" w:hAnsi="Arial" w:cs="Arial"/>
          <w:b w:val="0"/>
          <w:i/>
          <w:color w:val="595959"/>
          <w:sz w:val="20"/>
        </w:rPr>
        <w:t>Guidance: Formal assurance statement covering whether the Director of Quality is satisfied (or otherwise) that quality and safety arrangements are operating effectively. Modelled on a clinical governance equivalent of an external audit opinion. Identifies any 'reservations'.</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Statement of assurance; reservations / exceptions; matters for which assurance cannot yet be provided; assurance framework reference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3. Service Activity and Demand Context</w:t>
      </w:r>
    </w:p>
    <w:p>
      <w:pPr>
        <w:spacing w:after="80"/>
        <w:ind w:left="360"/>
      </w:pPr>
      <w:r>
        <w:rPr>
          <w:rFonts w:ascii="Arial" w:hAnsi="Arial" w:cs="Arial"/>
          <w:b w:val="0"/>
          <w:i/>
          <w:color w:val="595959"/>
          <w:sz w:val="20"/>
        </w:rPr>
        <w:t>Guidance: Brief context for the Board on the quarter's service profile - Service User numbers, hours delivered, geographic distribution, HSE Authorisation Scheme position, private vs HSE mix. Helps Board interpret the quality metrics in proportionality terms.</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Active Service Users (start and end of quarter); total visit hours; HSE-funded vs private mix; geographic distribution; new starts / discharges / transitions; capacity utilisation</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4. Quality and Safety Performance</w:t>
      </w:r>
    </w:p>
    <w:p>
      <w:pPr>
        <w:spacing w:after="80"/>
        <w:ind w:left="360"/>
      </w:pPr>
      <w:r>
        <w:rPr>
          <w:rFonts w:ascii="Arial" w:hAnsi="Arial" w:cs="Arial"/>
          <w:b w:val="0"/>
          <w:i/>
          <w:color w:val="595959"/>
          <w:sz w:val="20"/>
        </w:rPr>
        <w:t>Guidance: Board-level view of the KPI dashboard with trend, RAG status, and narrative. Avoid operational detail - lean on the CGC pack for that. Use exception reporting: highlight what is materially off-track and what is being done about it. Cross-reference to other sections for incidents / complaints / safeguarding.</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Service delivery KPIs (visit completion, missed / late visit rates); quality and safety KPIs (incident rate, complaints, safeguarding alerts); workforce KPIs (training, vetting, supervision); IPC indicators; comparison to prior quarter and same quarter prior year; benchmarking against sector norms where available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5. Risk Profile</w:t>
      </w:r>
    </w:p>
    <w:p>
      <w:pPr>
        <w:spacing w:after="80"/>
        <w:ind w:left="360"/>
      </w:pPr>
      <w:r>
        <w:rPr>
          <w:rFonts w:ascii="Arial" w:hAnsi="Arial" w:cs="Arial"/>
          <w:b w:val="0"/>
          <w:i/>
          <w:color w:val="595959"/>
          <w:sz w:val="20"/>
        </w:rPr>
        <w:t>Guidance: Board-level view of the corporate and service &amp; care delivery risk registers. Focus on Top 10 Risks, any new risks since last quarter, any risks moved up or down, and whether the overall risk profile remains within the Board-approved appetite. Specific call-out of any high-priority risks requiring Board decision or assurance.</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Top 10 Risks (with prior and current scores); new and emerging risks; risks proposed for escalation or de-escalation; risk appetite alignment; risk treatment plan progress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6. Incidents, RCAs and Open Disclosure</w:t>
      </w:r>
    </w:p>
    <w:p>
      <w:pPr>
        <w:spacing w:after="80"/>
        <w:ind w:left="360"/>
      </w:pPr>
      <w:r>
        <w:rPr>
          <w:rFonts w:ascii="Arial" w:hAnsi="Arial" w:cs="Arial"/>
          <w:b w:val="0"/>
          <w:i/>
          <w:color w:val="595959"/>
          <w:sz w:val="20"/>
        </w:rPr>
        <w:t>Guidance: Board-level summary of incident management performance. Number of Category 1 incidents, RCAs completed, Notifiable Incidents reported to HSE, Open Disclosure events. Lessons learned at a strategic level. Anonymised where individual case detail is included.</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Incident volume and harm-level mix; Category 1 incidents (with anonymised brief synopses if material); RCA completion rate; Notifiable Incidents to HSE; Open Disclosure events and status; strategic lessons learned</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7. Complaints, Feedback and Service User Experience</w:t>
      </w:r>
    </w:p>
    <w:p>
      <w:pPr>
        <w:spacing w:after="80"/>
        <w:ind w:left="360"/>
      </w:pPr>
      <w:r>
        <w:rPr>
          <w:rFonts w:ascii="Arial" w:hAnsi="Arial" w:cs="Arial"/>
          <w:b w:val="0"/>
          <w:i/>
          <w:color w:val="595959"/>
          <w:sz w:val="20"/>
        </w:rPr>
        <w:t>Guidance: Quarterly complaints and feedback summary. Themes, timeliness, learning, onward routes used (HSE, Ombudsman). Service User experience signals - compliments, formal feedback themes, any Service User involvement in service design / review.</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Complaints volume and trends; timeliness against statutory thresholds; HSE quarterly report submission; themes and lessons; Service User feedback themes; Service User involvement activity</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8. Safeguarding and Vulnerable Persons Protection</w:t>
      </w:r>
    </w:p>
    <w:p>
      <w:pPr>
        <w:spacing w:after="80"/>
        <w:ind w:left="360"/>
      </w:pPr>
      <w:r>
        <w:rPr>
          <w:rFonts w:ascii="Arial" w:hAnsi="Arial" w:cs="Arial"/>
          <w:b w:val="0"/>
          <w:i/>
          <w:color w:val="595959"/>
          <w:sz w:val="20"/>
        </w:rPr>
        <w:t>Guidance: Quarterly safeguarding assurance. Alerts raised, preliminary screenings, referrals to HSE Safeguarding and Protection Team, child protection referrals to Tusla, Trust in Care cases. Without breaching confidentiality, Board should know whether arrangements are working. Designated Safeguarding Officer's quarterly statement included.</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DSO quarterly assurance statement; volume of alerts and PSF outcomes; referrals to HSE / Tusla; Trust in Care cases (anonymised); financial protection audit findings; vetting compliance position</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9. Workforce Assurance</w:t>
      </w:r>
    </w:p>
    <w:p>
      <w:pPr>
        <w:spacing w:after="80"/>
        <w:ind w:left="360"/>
      </w:pPr>
      <w:r>
        <w:rPr>
          <w:rFonts w:ascii="Arial" w:hAnsi="Arial" w:cs="Arial"/>
          <w:b w:val="0"/>
          <w:i/>
          <w:color w:val="595959"/>
          <w:sz w:val="20"/>
        </w:rPr>
        <w:t>Guidance: Board-level view of workforce capability and capacity. Training compliance, vetting currency, supervision, recruitment and retention. Any material workforce risk to safe service delivery is flagged.</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Mandatory training compliance %; Garda vetting currency 100% target; supervision completion %; turnover / retention; recruitment pipeline; agency use; workforce risks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10. Compliance, Regulatory and External Assurance</w:t>
      </w:r>
    </w:p>
    <w:p>
      <w:pPr>
        <w:spacing w:after="80"/>
        <w:ind w:left="360"/>
      </w:pPr>
      <w:r>
        <w:rPr>
          <w:rFonts w:ascii="Arial" w:hAnsi="Arial" w:cs="Arial"/>
          <w:b w:val="0"/>
          <w:i/>
          <w:color w:val="595959"/>
          <w:sz w:val="20"/>
        </w:rPr>
        <w:t>Guidance: Position on statutory and regulatory compliance. HSE Authorisation Scheme; HIQA standards alignment; HSA; DPC; Tusla. Any external inspection / review activity in the quarter and any outstanding recommendations.</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HSE Authorisation Scheme compliance dashboard; HIQA standards self-assessment; HSA position; DPC compliance (breaches, SARs); external inspection / review outcomes and recommendations status; statutory notifications log</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11. Quality Improvement Programme</w:t>
      </w:r>
    </w:p>
    <w:p>
      <w:pPr>
        <w:spacing w:after="80"/>
        <w:ind w:left="360"/>
      </w:pPr>
      <w:r>
        <w:rPr>
          <w:rFonts w:ascii="Arial" w:hAnsi="Arial" w:cs="Arial"/>
          <w:b w:val="0"/>
          <w:i/>
          <w:color w:val="595959"/>
          <w:sz w:val="20"/>
        </w:rPr>
        <w:t>Guidance: Status of the QIP programme - active QIPs, completions in the quarter, slippage, effectiveness measures. Highlights the most material QIPs to the Board.</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QIP register summary; closures with effectiveness evidence; slippage report; material QIPs (with rationale)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6A1B9A"/>
          <w:sz w:val="24"/>
        </w:rPr>
        <w:t>12. Decisions sought from the Board Quality &amp; Risk Committee</w:t>
      </w:r>
    </w:p>
    <w:p>
      <w:pPr>
        <w:spacing w:after="80"/>
        <w:ind w:left="360"/>
      </w:pPr>
      <w:r>
        <w:rPr>
          <w:rFonts w:ascii="Arial" w:hAnsi="Arial" w:cs="Arial"/>
          <w:b w:val="0"/>
          <w:i/>
          <w:color w:val="595959"/>
          <w:sz w:val="20"/>
        </w:rPr>
        <w:t>Guidance: Clear list of decisions or recommendations being sought. Each item: title, recommendation, rationale, options considered, implications.</w:t>
      </w:r>
    </w:p>
    <w:p>
      <w:pPr>
        <w:spacing w:after="40"/>
        <w:ind w:left="360"/>
      </w:pPr>
      <w:r>
        <w:rPr>
          <w:rFonts w:ascii="Arial" w:hAnsi="Arial" w:cs="Arial"/>
          <w:b/>
          <w:i w:val="0"/>
          <w:color w:val="6A1B9A"/>
          <w:sz w:val="20"/>
        </w:rPr>
        <w:t>Essential content:</w:t>
      </w:r>
    </w:p>
    <w:p>
      <w:pPr>
        <w:spacing w:after="80"/>
        <w:ind w:left="360"/>
      </w:pPr>
      <w:r>
        <w:rPr>
          <w:rFonts w:ascii="Arial" w:hAnsi="Arial" w:cs="Arial"/>
          <w:b w:val="0"/>
          <w:i w:val="0"/>
          <w:color w:val="000000"/>
          <w:sz w:val="20"/>
        </w:rPr>
        <w:t>Decision items (numbered); recommendation; rationale; risk-treatment implications; resource implications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r>
        <w:br w:type="page"/>
      </w:r>
    </w:p>
    <w:p>
      <w:pPr>
        <w:pStyle w:val="Heading1"/>
        <w:spacing w:before="200" w:after="120"/>
        <w:jc w:val="center"/>
      </w:pPr>
      <w:r>
        <w:rPr>
          <w:rFonts w:ascii="Arial" w:hAnsi="Arial" w:cs="Arial"/>
          <w:b/>
          <w:i w:val="0"/>
          <w:color w:val="2E7D32"/>
          <w:sz w:val="44"/>
        </w:rPr>
        <w:t>Annual Quality and Safety Review</w:t>
      </w:r>
    </w:p>
    <w:p>
      <w:pPr>
        <w:spacing w:after="80"/>
        <w:ind w:left="0"/>
        <w:jc w:val="center"/>
      </w:pPr>
      <w:r>
        <w:rPr>
          <w:rFonts w:ascii="Arial" w:hAnsi="Arial" w:cs="Arial"/>
          <w:b w:val="0"/>
          <w:i/>
          <w:color w:val="595959"/>
          <w:sz w:val="20"/>
        </w:rPr>
        <w:t>Frequency: Annual (calendar year - report finalised within Q1 of the following year)    ·    Audience: Board of Directors. Summary version published to Service Users and their families; full version submitted to the HSE in compliance with the HSE Authorisation Scheme; available to HIQA. Forms part of Liberty Living's public-facing transparency commitment.</w:t>
      </w:r>
    </w:p>
    <w:p/>
    <w:tbl>
      <w:tblPr>
        <w:tblW w:type="auto" w:w="0"/>
        <w:tblLook w:firstColumn="1" w:firstRow="1" w:lastColumn="0" w:lastRow="0" w:noHBand="0" w:noVBand="1" w:val="04A0"/>
      </w:tblPr>
      <w:tblGrid>
        <w:gridCol w:w="9412"/>
      </w:tblGrid>
      <w:tr>
        <w:tc>
          <w:tcPr>
            <w:tcW w:type="dxa" w:w="9412"/>
            <w:tcBorders>
              <w:top w:val="single" w:sz="4" w:color="E0E0E0"/>
              <w:left w:val="single" w:sz="24" w:color="2E7D32"/>
              <w:bottom w:val="single" w:sz="4" w:color="E0E0E0"/>
              <w:right w:val="single" w:sz="4" w:color="E0E0E0"/>
            </w:tcBorders>
            <w:shd w:val="clear" w:color="auto" w:fill="FFF8E1"/>
          </w:tcPr>
          <w:p>
            <w:pPr>
              <w:spacing w:after="40"/>
            </w:pPr>
            <w:r/>
            <w:r>
              <w:rPr>
                <w:rFonts w:ascii="Arial" w:hAnsi="Arial" w:cs="Arial"/>
                <w:b/>
                <w:i w:val="0"/>
                <w:color w:val="2E7D32"/>
                <w:sz w:val="20"/>
              </w:rPr>
              <w:t>Purpose of this pack.</w:t>
            </w:r>
          </w:p>
          <w:p>
            <w:pPr>
              <w:spacing w:after="0"/>
            </w:pPr>
            <w:r>
              <w:rPr>
                <w:rFonts w:ascii="Arial" w:hAnsi="Arial" w:cs="Arial"/>
                <w:b w:val="0"/>
                <w:i w:val="0"/>
                <w:sz w:val="22"/>
              </w:rPr>
              <w:t>Comprehensive annual look-back at quality and safety performance, governance arrangements, and learning. Provides the evidence base for the following year's improvement priorities and is the cornerstone of the public accountability cycle. Aligns to the HSE Authorisation Scheme expectation of annual self-assessment and to HIQA's National Standards for Home Support Services.</w:t>
            </w:r>
          </w:p>
        </w:tc>
      </w:tr>
    </w:tbl>
    <w:p/>
    <w:p>
      <w:pPr>
        <w:pStyle w:val="Heading2"/>
        <w:spacing w:before="200" w:after="120"/>
      </w:pPr>
      <w:r>
        <w:rPr>
          <w:rFonts w:ascii="Arial" w:hAnsi="Arial" w:cs="Arial"/>
          <w:b/>
          <w:i w:val="0"/>
          <w:color w:val="2E7D32"/>
          <w:sz w:val="28"/>
        </w:rPr>
        <w:t>Cover sheet</w:t>
      </w:r>
    </w:p>
    <w:tbl>
      <w:tblPr>
        <w:tblStyle w:val="LightGrid-Accent1"/>
        <w:tblW w:type="auto" w:w="0"/>
        <w:tblLook w:firstColumn="1" w:firstRow="1" w:lastColumn="0" w:lastRow="0" w:noHBand="0" w:noVBand="1" w:val="04A0"/>
      </w:tblPr>
      <w:tblGrid>
        <w:gridCol w:w="4706"/>
        <w:gridCol w:w="4706"/>
      </w:tblGrid>
      <w:tr>
        <w:tc>
          <w:tcPr>
            <w:tcW w:type="dxa" w:w="2880"/>
            <w:shd w:val="clear" w:color="auto" w:fill="F2F2F2"/>
          </w:tcPr>
          <w:p>
            <w:r/>
            <w:r>
              <w:rPr>
                <w:rFonts w:ascii="Arial" w:hAnsi="Arial" w:cs="Arial"/>
                <w:b/>
                <w:i w:val="0"/>
                <w:color w:val="2E7D32"/>
                <w:sz w:val="20"/>
              </w:rPr>
              <w:t>Meeting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2E7D32"/>
                <w:sz w:val="20"/>
              </w:rPr>
              <w:t>Period covered</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2E7D32"/>
                <w:sz w:val="20"/>
              </w:rPr>
              <w:t>Meeting chair</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2E7D32"/>
                <w:sz w:val="20"/>
              </w:rPr>
              <w:t>Author of pack</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2E7D32"/>
                <w:sz w:val="20"/>
              </w:rPr>
              <w:t>Distribution date</w:t>
            </w:r>
          </w:p>
        </w:tc>
        <w:tc>
          <w:tcPr>
            <w:tcW w:type="dxa" w:w="6624"/>
          </w:tcPr>
          <w:p>
            <w:r/>
            <w:r>
              <w:rPr>
                <w:rFonts w:ascii="Arial" w:hAnsi="Arial" w:cs="Arial"/>
                <w:b w:val="0"/>
                <w:i w:val="0"/>
                <w:sz w:val="20"/>
              </w:rPr>
            </w:r>
          </w:p>
        </w:tc>
      </w:tr>
      <w:tr>
        <w:tc>
          <w:tcPr>
            <w:tcW w:type="dxa" w:w="2880"/>
            <w:shd w:val="clear" w:color="auto" w:fill="F2F2F2"/>
          </w:tcPr>
          <w:p>
            <w:r/>
            <w:r>
              <w:rPr>
                <w:rFonts w:ascii="Arial" w:hAnsi="Arial" w:cs="Arial"/>
                <w:b/>
                <w:i w:val="0"/>
                <w:color w:val="2E7D32"/>
                <w:sz w:val="20"/>
              </w:rPr>
              <w:t>Version</w:t>
            </w:r>
          </w:p>
        </w:tc>
        <w:tc>
          <w:tcPr>
            <w:tcW w:type="dxa" w:w="6624"/>
          </w:tcPr>
          <w:p>
            <w:r/>
            <w:r>
              <w:rPr>
                <w:rFonts w:ascii="Arial" w:hAnsi="Arial" w:cs="Arial"/>
                <w:b w:val="0"/>
                <w:i w:val="0"/>
                <w:sz w:val="20"/>
              </w:rPr>
            </w:r>
          </w:p>
        </w:tc>
      </w:tr>
    </w:tbl>
    <w:p/>
    <w:p>
      <w:pPr>
        <w:pStyle w:val="Heading2"/>
        <w:spacing w:before="200" w:after="120"/>
      </w:pPr>
      <w:r>
        <w:rPr>
          <w:rFonts w:ascii="Arial" w:hAnsi="Arial" w:cs="Arial"/>
          <w:b/>
          <w:i w:val="0"/>
          <w:color w:val="2E7D32"/>
          <w:sz w:val="28"/>
        </w:rPr>
        <w:t>Pack structure</w:t>
      </w:r>
    </w:p>
    <w:p>
      <w:pPr>
        <w:spacing w:after="40"/>
        <w:ind w:left="0"/>
      </w:pPr>
      <w:r>
        <w:rPr>
          <w:rFonts w:ascii="Arial" w:hAnsi="Arial" w:cs="Arial"/>
          <w:b/>
          <w:i w:val="0"/>
          <w:color w:val="2E7D32"/>
          <w:sz w:val="24"/>
        </w:rPr>
        <w:t>1. Foreword from the CEO</w:t>
      </w:r>
    </w:p>
    <w:p>
      <w:pPr>
        <w:spacing w:after="80"/>
        <w:ind w:left="360"/>
      </w:pPr>
      <w:r>
        <w:rPr>
          <w:rFonts w:ascii="Arial" w:hAnsi="Arial" w:cs="Arial"/>
          <w:b w:val="0"/>
          <w:i/>
          <w:color w:val="595959"/>
          <w:sz w:val="20"/>
        </w:rPr>
        <w:t>Guidance: Personal foreword from the CEO (Shauna Delaney) setting the tone for the review. Acknowledges Service Users, families and staff; reflects on the year; flags the key themes that will be addressed in the body of the report; signals the priorities for the year ahead. One to two pages, written in plain English suitable for a Service User audience.</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CEO reflection on the year; thanks to Service Users, families and staff; high-level themes; priorities for the year ahead; sign-off</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2. About Liberty Living Homecare</w:t>
      </w:r>
    </w:p>
    <w:p>
      <w:pPr>
        <w:spacing w:after="80"/>
        <w:ind w:left="360"/>
      </w:pPr>
      <w:r>
        <w:rPr>
          <w:rFonts w:ascii="Arial" w:hAnsi="Arial" w:cs="Arial"/>
          <w:b w:val="0"/>
          <w:i/>
          <w:color w:val="595959"/>
          <w:sz w:val="20"/>
        </w:rPr>
        <w:t>Guidance: Brief context for readers new to the report - who Liberty Living is, our mission and values, the services we provide, the geographic coverage, our governance structure. Cross-reference Statement of Purpose (GOV-21) and Mission Statement (GOV-01).</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Mission and values; services provided; geographic coverage; Service User numbers; staff numbers; HSE Authorisation Scheme position; governance structure overview</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3. Year in review - service activity</w:t>
      </w:r>
    </w:p>
    <w:p>
      <w:pPr>
        <w:spacing w:after="80"/>
        <w:ind w:left="360"/>
      </w:pPr>
      <w:r>
        <w:rPr>
          <w:rFonts w:ascii="Arial" w:hAnsi="Arial" w:cs="Arial"/>
          <w:b w:val="0"/>
          <w:i/>
          <w:color w:val="595959"/>
          <w:sz w:val="20"/>
        </w:rPr>
        <w:t>Guidance: Quantitative summary of the year - Service Users supported, hours delivered, new starts, transitions, geographic distribution. Year-on-year comparisons. Sets the proportionality context for the quality narrative.</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Service Users supported (year-end and year-average); total hours delivered; new starts; discharges; HSE vs private mix; geographic distribution; capacity and demand commentary</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4. Governance structure and assurance arrangements</w:t>
      </w:r>
    </w:p>
    <w:p>
      <w:pPr>
        <w:spacing w:after="80"/>
        <w:ind w:left="360"/>
      </w:pPr>
      <w:r>
        <w:rPr>
          <w:rFonts w:ascii="Arial" w:hAnsi="Arial" w:cs="Arial"/>
          <w:b w:val="0"/>
          <w:i/>
          <w:color w:val="595959"/>
          <w:sz w:val="20"/>
        </w:rPr>
        <w:t>Guidance: Description of how quality is governed. The Board's role, the Board Quality &amp; Risk Committee, the Clinical Governance Committee, the Executive Management Team, the Designated Roles (DSO, DPO, Complaints Officer, DLP, etc.). Reference GOV-35 Clinical Governance Framework. Confirms the assurance cycle.</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Governance diagram; Board and Committee remit; Designated Roles list; assurance cycle; external advice / accreditation arrangements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5. Service User experience - the year in their words</w:t>
      </w:r>
    </w:p>
    <w:p>
      <w:pPr>
        <w:spacing w:after="80"/>
        <w:ind w:left="360"/>
      </w:pPr>
      <w:r>
        <w:rPr>
          <w:rFonts w:ascii="Arial" w:hAnsi="Arial" w:cs="Arial"/>
          <w:b w:val="0"/>
          <w:i/>
          <w:color w:val="595959"/>
          <w:sz w:val="20"/>
        </w:rPr>
        <w:t>Guidance: Service User voice section. Themes from feedback (QA-03.2), compliments, Service User involvement activity (e.g. consultation panels, advocacy engagement). Where appropriate, anonymised quotations with consent. Demonstrates that the service is listening.</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Feedback summary; compliments; Service User involvement activity; advocacy engagement; consultation outputs; emerging themes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6. Quality and safety performance</w:t>
      </w:r>
    </w:p>
    <w:p>
      <w:pPr>
        <w:spacing w:after="80"/>
        <w:ind w:left="360"/>
      </w:pPr>
      <w:r>
        <w:rPr>
          <w:rFonts w:ascii="Arial" w:hAnsi="Arial" w:cs="Arial"/>
          <w:b w:val="0"/>
          <w:i/>
          <w:color w:val="595959"/>
          <w:sz w:val="20"/>
        </w:rPr>
        <w:t>Guidance: Annual KPI performance summary against the agreed scorecard. Trend across the year, comparison to prior year, performance against thresholds. Cross-reference to the more granular quarterly reports. Use charts and plain narrative.</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Service delivery KPIs (annual view); quality and safety KPIs (annual view); workforce KPIs (annual view); IPC indicators (annual view); performance against thresholds and prior year</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7. Audit programme outcomes</w:t>
      </w:r>
    </w:p>
    <w:p>
      <w:pPr>
        <w:spacing w:after="80"/>
        <w:ind w:left="360"/>
      </w:pPr>
      <w:r>
        <w:rPr>
          <w:rFonts w:ascii="Arial" w:hAnsi="Arial" w:cs="Arial"/>
          <w:b w:val="0"/>
          <w:i/>
          <w:color w:val="595959"/>
          <w:sz w:val="20"/>
        </w:rPr>
        <w:t>Guidance: Summary of the year's internal audit programme - the audits conducted (referencing the ten Phase 1 audits and any thematic audits), aggregate compliance ratings, themes across audits, and the QIPs that arose. Demonstrates a structured assurance approach.</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Audits conducted; aggregate compliance scores; cross-audit themes; QIPs arising; closures with effectiveness evidence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8. Incidents and Open Disclosure - learning from harm and near-misses</w:t>
      </w:r>
    </w:p>
    <w:p>
      <w:pPr>
        <w:spacing w:after="80"/>
        <w:ind w:left="360"/>
      </w:pPr>
      <w:r>
        <w:rPr>
          <w:rFonts w:ascii="Arial" w:hAnsi="Arial" w:cs="Arial"/>
          <w:b w:val="0"/>
          <w:i/>
          <w:color w:val="595959"/>
          <w:sz w:val="20"/>
        </w:rPr>
        <w:t>Guidance: Annual incident management report. Total incidents, harm-level distribution, Category 1 incidents (anonymised), RCAs completed, Notifiable Incidents to HSE, Open Disclosure events. Strategic lessons learned and how the service has changed in response. Demonstrates a learning culture.</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Incident volume by category and harm level; Category 1 incidents (number, anonymised themes); RCAs completed; Notifiable Incidents to HSE; Open Disclosure events; strategic lessons learned; service changes implemented</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9. Complaints and feedback - what we heard and what we did</w:t>
      </w:r>
    </w:p>
    <w:p>
      <w:pPr>
        <w:spacing w:after="80"/>
        <w:ind w:left="360"/>
      </w:pPr>
      <w:r>
        <w:rPr>
          <w:rFonts w:ascii="Arial" w:hAnsi="Arial" w:cs="Arial"/>
          <w:b w:val="0"/>
          <w:i/>
          <w:color w:val="595959"/>
          <w:sz w:val="20"/>
        </w:rPr>
        <w:t>Guidance: Annual complaints report. Volume, categories, timeliness, HSE quarterly returns, onward routes used, themes and learning. What changed as a result of complaints. Demonstrates accountability.</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Annual complaints volume and categorisation; timeliness performance; HSE / Ombudsman onward routes used; themes and lessons; service changes implemented; complaint-to-improvement examples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10. Safeguarding statement</w:t>
      </w:r>
    </w:p>
    <w:p>
      <w:pPr>
        <w:spacing w:after="80"/>
        <w:ind w:left="360"/>
      </w:pPr>
      <w:r>
        <w:rPr>
          <w:rFonts w:ascii="Arial" w:hAnsi="Arial" w:cs="Arial"/>
          <w:b w:val="0"/>
          <w:i/>
          <w:color w:val="595959"/>
          <w:sz w:val="20"/>
        </w:rPr>
        <w:t>Guidance: Annual safeguarding statement. Confirms the Designated Safeguarding Officer arrangement, the safeguarding training position, the volume of alerts and outcomes, the Trust in Care cases handled, child protection referrals, and the financial protection audit findings. Includes a public-facing reaffirmation of the commitment to safeguarding.</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DSO arrangement; safeguarding training compliance; alerts raised and outcomes; HSE referrals; Tusla referrals; Trust in Care cases (anonymised); financial protection audit findings; Children First compliance; commitment statement</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11. Workforce overview</w:t>
      </w:r>
    </w:p>
    <w:p>
      <w:pPr>
        <w:spacing w:after="80"/>
        <w:ind w:left="360"/>
      </w:pPr>
      <w:r>
        <w:rPr>
          <w:rFonts w:ascii="Arial" w:hAnsi="Arial" w:cs="Arial"/>
          <w:b w:val="0"/>
          <w:i/>
          <w:color w:val="595959"/>
          <w:sz w:val="20"/>
        </w:rPr>
        <w:t>Guidance: Annual workforce report. Staff numbers, recruitment, retention, training, supervision, professional development, vetting compliance, diversity. The workforce is the service - this section evidences capability and capacity. Includes the Director of Operations' commentary.</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Staff numbers (year-end and average); recruitment and retention; training compliance; supervision; professional development; vetting; diversity statistics; workforce strategy</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12. Risk profile</w:t>
      </w:r>
    </w:p>
    <w:p>
      <w:pPr>
        <w:spacing w:after="80"/>
        <w:ind w:left="360"/>
      </w:pPr>
      <w:r>
        <w:rPr>
          <w:rFonts w:ascii="Arial" w:hAnsi="Arial" w:cs="Arial"/>
          <w:b w:val="0"/>
          <w:i/>
          <w:color w:val="595959"/>
          <w:sz w:val="20"/>
        </w:rPr>
        <w:t>Guidance: Annual risk profile summary. The Top 10 Risks at year-end (compared with year-start), risks closed in the year, new risks identified, alignment with Board-approved risk appetite. The Board's risk-management oversight evidenced.</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Top 10 Risks (year-start vs year-end); risks closed; new risks; risk appetite alignment; risk treatment plan summary</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13. QIP outcomes and continuous improvement</w:t>
      </w:r>
    </w:p>
    <w:p>
      <w:pPr>
        <w:spacing w:after="80"/>
        <w:ind w:left="360"/>
      </w:pPr>
      <w:r>
        <w:rPr>
          <w:rFonts w:ascii="Arial" w:hAnsi="Arial" w:cs="Arial"/>
          <w:b w:val="0"/>
          <w:i/>
          <w:color w:val="595959"/>
          <w:sz w:val="20"/>
        </w:rPr>
        <w:t>Guidance: Annual continuous improvement summary. Active QIPs at year-start, completions, closures with effectiveness evidence, QIPs still in flight, themes across the QIP programme. Demonstrates the loop from finding to fix to evidence.</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QIPs opened in year; QIPs closed in year (with effectiveness evidence); QIPs carried forward; thematic QIPs; continuous improvement examples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14. Compliance and external assurance</w:t>
      </w:r>
    </w:p>
    <w:p>
      <w:pPr>
        <w:spacing w:after="80"/>
        <w:ind w:left="360"/>
      </w:pPr>
      <w:r>
        <w:rPr>
          <w:rFonts w:ascii="Arial" w:hAnsi="Arial" w:cs="Arial"/>
          <w:b w:val="0"/>
          <w:i/>
          <w:color w:val="595959"/>
          <w:sz w:val="20"/>
        </w:rPr>
        <w:t>Guidance: Annual compliance position - HSE Authorisation Scheme, HIQA standards, HSA, DPC, Tusla, and any other regulator. Inspection / review outcomes and the position on any external recommendations.</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HSE Authorisation Scheme compliance dashboard (year-end); HIQA standards self-assessment; HSA position; DPC compliance; inspection outcomes; external recommendations status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15. Priorities for the year ahead</w:t>
      </w:r>
    </w:p>
    <w:p>
      <w:pPr>
        <w:spacing w:after="80"/>
        <w:ind w:left="360"/>
      </w:pPr>
      <w:r>
        <w:rPr>
          <w:rFonts w:ascii="Arial" w:hAnsi="Arial" w:cs="Arial"/>
          <w:b w:val="0"/>
          <w:i/>
          <w:color w:val="595959"/>
          <w:sz w:val="20"/>
        </w:rPr>
        <w:t>Guidance: Forward-looking section. Strategic priorities for the year ahead, informed by the year's learning. Tied to identified risks, audit findings, complaints themes, and external developments. Each priority has a Board-level owner.</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Strategic priorities (5-7); rationale for each; named Board-level / Executive owner; success measures; resource implications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pPr>
        <w:spacing w:after="40"/>
        <w:ind w:left="0"/>
      </w:pPr>
      <w:r>
        <w:rPr>
          <w:rFonts w:ascii="Arial" w:hAnsi="Arial" w:cs="Arial"/>
          <w:b/>
          <w:i w:val="0"/>
          <w:color w:val="2E7D32"/>
          <w:sz w:val="24"/>
        </w:rPr>
        <w:t>16. Assurance statements and sign-off</w:t>
      </w:r>
    </w:p>
    <w:p>
      <w:pPr>
        <w:spacing w:after="80"/>
        <w:ind w:left="360"/>
      </w:pPr>
      <w:r>
        <w:rPr>
          <w:rFonts w:ascii="Arial" w:hAnsi="Arial" w:cs="Arial"/>
          <w:b w:val="0"/>
          <w:i/>
          <w:color w:val="595959"/>
          <w:sz w:val="20"/>
        </w:rPr>
        <w:t>Guidance: Formal sign-off section. Assurance statement from the Director of Quality &amp; Compliance, sign-off from the CEO, formal noting by the Board Quality &amp; Risk Committee Chair and the Board Chair.</w:t>
      </w:r>
    </w:p>
    <w:p>
      <w:pPr>
        <w:spacing w:after="40"/>
        <w:ind w:left="360"/>
      </w:pPr>
      <w:r>
        <w:rPr>
          <w:rFonts w:ascii="Arial" w:hAnsi="Arial" w:cs="Arial"/>
          <w:b/>
          <w:i w:val="0"/>
          <w:color w:val="2E7D32"/>
          <w:sz w:val="20"/>
        </w:rPr>
        <w:t>Essential content:</w:t>
      </w:r>
    </w:p>
    <w:p>
      <w:pPr>
        <w:spacing w:after="80"/>
        <w:ind w:left="360"/>
      </w:pPr>
      <w:r>
        <w:rPr>
          <w:rFonts w:ascii="Arial" w:hAnsi="Arial" w:cs="Arial"/>
          <w:b w:val="0"/>
          <w:i w:val="0"/>
          <w:color w:val="000000"/>
          <w:sz w:val="20"/>
        </w:rPr>
        <w:t>Director of Quality assurance statement; CEO sign-off; Board Quality &amp; Risk Committee Chair sign-off; Board Chair sign-off; date of approval</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Content for this section</w:t>
            </w:r>
          </w:p>
          <w:p/>
          <w:p/>
          <w:p/>
          <w:p/>
        </w:tc>
      </w:tr>
    </w:tbl>
    <w:p/>
    <w:p>
      <w:r>
        <w:br w:type="page"/>
      </w:r>
    </w:p>
    <w:p>
      <w:pPr>
        <w:pStyle w:val="Heading1"/>
        <w:spacing w:before="200" w:after="120"/>
        <w:jc w:val="center"/>
      </w:pPr>
      <w:r>
        <w:rPr>
          <w:rFonts w:ascii="Arial" w:hAnsi="Arial" w:cs="Arial"/>
          <w:b/>
          <w:i w:val="0"/>
          <w:color w:val="1F4E79"/>
          <w:sz w:val="36"/>
        </w:rPr>
        <w:t>Template control</w:t>
      </w:r>
    </w:p>
    <w:p>
      <w:pPr>
        <w:spacing w:after="80"/>
        <w:ind w:left="0"/>
        <w:jc w:val="center"/>
      </w:pPr>
      <w:r>
        <w:rPr>
          <w:rFonts w:ascii="Arial" w:hAnsi="Arial" w:cs="Arial"/>
          <w:b w:val="0"/>
          <w:i/>
          <w:color w:val="595959"/>
          <w:sz w:val="22"/>
        </w:rPr>
        <w:t>These templates are maintained by the Director of Quality &amp; Compliance. Any amendment to the standing agendas or pack structures is subject to CGC review and CEO sign-off. Completed packs are stored in the governance folder of the Liberty Living document management system, with restricted access.</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PAGE</w:instrText>
      <w:fldChar w:fldCharType="end"/>
    </w:r>
    <w:r>
      <w:rPr>
        <w:rFonts w:ascii="Arial" w:hAnsi="Arial" w:cs="Arial"/>
        <w:b w:val="0"/>
        <w:i w:val="0"/>
        <w:color w:val="595959"/>
        <w:sz w:val="18"/>
      </w:rPr>
      <w:t xml:space="preserve">   ·   Confidential  ·  Issued by CEO Shauna Delaney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1F4E79"/>
        <w:sz w:val="18"/>
      </w:rPr>
      <w:t>LIBERTY LIVING HOMECARE  ·  Governance Reporting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