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ind w:left="0"/>
        <w:jc w:val="center"/>
      </w:pPr>
      <w:r>
        <w:rPr>
          <w:rFonts w:ascii="Arial" w:hAnsi="Arial" w:cs="Arial"/>
          <w:b/>
          <w:i w:val="0"/>
          <w:color w:val="595959"/>
          <w:sz w:val="28"/>
        </w:rPr>
        <w:t>LIBERTY LIVING HOMECARE</w:t>
      </w:r>
    </w:p>
    <w:p>
      <w:pPr>
        <w:spacing w:after="40"/>
        <w:ind w:left="0"/>
        <w:jc w:val="center"/>
      </w:pPr>
      <w:r>
        <w:rPr>
          <w:rFonts w:ascii="Arial" w:hAnsi="Arial" w:cs="Arial"/>
          <w:b/>
          <w:i w:val="0"/>
          <w:color w:val="1F4E79"/>
          <w:sz w:val="60"/>
        </w:rPr>
        <w:t>KPI DATA SOURCE MAP</w:t>
      </w:r>
    </w:p>
    <w:p>
      <w:pPr>
        <w:spacing w:after="360"/>
        <w:ind w:left="0"/>
        <w:jc w:val="center"/>
      </w:pPr>
      <w:r>
        <w:rPr>
          <w:rFonts w:ascii="Arial" w:hAnsi="Arial" w:cs="Arial"/>
          <w:b w:val="0"/>
          <w:i/>
          <w:color w:val="404040"/>
          <w:sz w:val="26"/>
        </w:rPr>
        <w:t>Every dashboard input traced to its source policy</w:t>
      </w:r>
    </w:p>
    <w:p/>
    <w:p/>
    <w:p/>
    <w:tbl>
      <w:tblPr>
        <w:tblW w:type="auto" w:w="0"/>
        <w:tblLook w:firstColumn="1" w:firstRow="1" w:lastColumn="0" w:lastRow="0" w:noHBand="0" w:noVBand="1" w:val="04A0"/>
      </w:tblPr>
      <w:tblGrid>
        <w:gridCol w:w="9866"/>
      </w:tblGrid>
      <w:tr>
        <w:tc>
          <w:tcPr>
            <w:tcW w:type="dxa" w:w="9866"/>
            <w:tcBorders>
              <w:top w:val="single" w:sz="4" w:color="E0E0E0"/>
              <w:left w:val="single" w:sz="24" w:color="1F4E79"/>
              <w:bottom w:val="single" w:sz="4" w:color="E0E0E0"/>
              <w:right w:val="single" w:sz="4" w:color="E0E0E0"/>
            </w:tcBorders>
            <w:shd w:val="clear" w:color="auto" w:fill="EAF2FA"/>
          </w:tcPr>
          <w:p>
            <w:pPr>
              <w:spacing w:after="40"/>
            </w:pPr>
            <w:r/>
            <w:r>
              <w:rPr>
                <w:rFonts w:ascii="Arial" w:hAnsi="Arial" w:cs="Arial"/>
                <w:b/>
                <w:i w:val="0"/>
                <w:color w:val="1F4E79"/>
                <w:sz w:val="20"/>
              </w:rPr>
              <w:t>Why this document exists.</w:t>
            </w:r>
          </w:p>
          <w:p>
            <w:pPr>
              <w:spacing w:after="0"/>
            </w:pPr>
            <w:r>
              <w:rPr>
                <w:rFonts w:ascii="Arial" w:hAnsi="Arial" w:cs="Arial"/>
                <w:b w:val="0"/>
                <w:i w:val="0"/>
                <w:sz w:val="22"/>
              </w:rPr>
              <w:t>When an inspector asks 'Where does this number come from?', this is the document that answers them. It maps every monthly input on the KPI Dashboard to the source policy that already requires Liberty Living to capture that data. The QMS doesn't introduce new capture obligations — it operationalises what the policies already mandate.</w:t>
            </w:r>
          </w:p>
        </w:tc>
      </w:tr>
    </w:tbl>
    <w:p/>
    <w:p/>
    <w:p/>
    <w:p/>
    <w:p>
      <w:pPr>
        <w:spacing w:after="80"/>
        <w:ind w:left="0"/>
        <w:jc w:val="center"/>
      </w:pPr>
      <w:r>
        <w:rPr>
          <w:rFonts w:ascii="Arial" w:hAnsi="Arial" w:cs="Arial"/>
          <w:b/>
          <w:i w:val="0"/>
          <w:color w:val="000000"/>
          <w:sz w:val="22"/>
        </w:rPr>
        <w:t>Issued by: Shauna Delaney, CEO</w:t>
      </w:r>
    </w:p>
    <w:p>
      <w:pPr>
        <w:spacing w:after="80"/>
        <w:ind w:left="0"/>
        <w:jc w:val="center"/>
      </w:pPr>
      <w:r>
        <w:rPr>
          <w:rFonts w:ascii="Arial" w:hAnsi="Arial" w:cs="Arial"/>
          <w:b w:val="0"/>
          <w:i w:val="0"/>
          <w:color w:val="000000"/>
          <w:sz w:val="22"/>
        </w:rPr>
        <w:t>Issue date: May 2026  ·  Version 1.0</w:t>
      </w:r>
    </w:p>
    <w:p>
      <w:pPr>
        <w:spacing w:after="80"/>
        <w:ind w:left="0"/>
        <w:jc w:val="center"/>
      </w:pPr>
      <w:r>
        <w:rPr>
          <w:rFonts w:ascii="Arial" w:hAnsi="Arial" w:cs="Arial"/>
          <w:b w:val="0"/>
          <w:i/>
          <w:color w:val="595959"/>
          <w:sz w:val="20"/>
        </w:rPr>
        <w:t>Total inputs mapped: 31  ·  Explicit in policy: 23  ·  Implicit: 8  ·  Gaps: 0</w:t>
      </w:r>
    </w:p>
    <w:p>
      <w:r>
        <w:br w:type="page"/>
      </w:r>
    </w:p>
    <w:p>
      <w:pPr>
        <w:pStyle w:val="Heading1"/>
        <w:spacing w:before="200" w:after="120"/>
      </w:pPr>
      <w:r>
        <w:rPr>
          <w:rFonts w:ascii="Arial" w:hAnsi="Arial" w:cs="Arial"/>
          <w:b/>
          <w:i w:val="0"/>
          <w:color w:val="1F4E79"/>
          <w:sz w:val="44"/>
        </w:rPr>
        <w:t>1.  Executive summary</w:t>
      </w:r>
    </w:p>
    <w:p>
      <w:pPr>
        <w:spacing w:after="80"/>
        <w:ind w:left="0"/>
      </w:pPr>
      <w:r>
        <w:rPr>
          <w:rFonts w:ascii="Arial" w:hAnsi="Arial" w:cs="Arial"/>
          <w:b w:val="0"/>
          <w:i w:val="0"/>
          <w:color w:val="000000"/>
          <w:sz w:val="22"/>
        </w:rPr>
        <w:t>The KPI Dashboard requires 31 monthly inputs. Of these, 23 (74%) are explicitly mandated by an existing approved Liberty Living policy. A further 8 are implied by policy or covered by standard professional practice but not explicitly stated. There are 0 hard gaps where no policy currently mandates the capture.</w:t>
      </w:r>
    </w:p>
    <w:p/>
    <w:tbl>
      <w:tblPr>
        <w:tblStyle w:val="LightGrid-Accent1"/>
        <w:tblW w:type="auto" w:w="0"/>
        <w:tblLook w:firstColumn="1" w:firstRow="1" w:lastColumn="0" w:lastRow="0" w:noHBand="0" w:noVBand="1" w:val="04A0"/>
      </w:tblPr>
      <w:tblGrid>
        <w:gridCol w:w="2466"/>
        <w:gridCol w:w="2466"/>
        <w:gridCol w:w="2466"/>
        <w:gridCol w:w="2466"/>
      </w:tblGrid>
      <w:tr>
        <w:tc>
          <w:tcPr>
            <w:tcW w:type="dxa" w:w="2016"/>
            <w:shd w:val="clear" w:color="auto" w:fill="1F4E79"/>
          </w:tcPr>
          <w:p>
            <w:r/>
            <w:r>
              <w:rPr>
                <w:rFonts w:ascii="Arial" w:hAnsi="Arial" w:cs="Arial"/>
                <w:b/>
                <w:i w:val="0"/>
                <w:color w:val="FFFFFF"/>
                <w:sz w:val="20"/>
              </w:rPr>
              <w:t>Coverage</w:t>
            </w:r>
          </w:p>
        </w:tc>
        <w:tc>
          <w:tcPr>
            <w:tcW w:type="dxa" w:w="1440"/>
            <w:shd w:val="clear" w:color="auto" w:fill="1F4E79"/>
          </w:tcPr>
          <w:p>
            <w:r/>
            <w:r>
              <w:rPr>
                <w:rFonts w:ascii="Arial" w:hAnsi="Arial" w:cs="Arial"/>
                <w:b/>
                <w:i w:val="0"/>
                <w:color w:val="FFFFFF"/>
                <w:sz w:val="20"/>
              </w:rPr>
              <w:t>Count</w:t>
            </w:r>
          </w:p>
        </w:tc>
        <w:tc>
          <w:tcPr>
            <w:tcW w:type="dxa" w:w="1440"/>
            <w:shd w:val="clear" w:color="auto" w:fill="1F4E79"/>
          </w:tcPr>
          <w:p>
            <w:r/>
            <w:r>
              <w:rPr>
                <w:rFonts w:ascii="Arial" w:hAnsi="Arial" w:cs="Arial"/>
                <w:b/>
                <w:i w:val="0"/>
                <w:color w:val="FFFFFF"/>
                <w:sz w:val="20"/>
              </w:rPr>
              <w:t>% of inputs</w:t>
            </w:r>
          </w:p>
        </w:tc>
        <w:tc>
          <w:tcPr>
            <w:tcW w:type="dxa" w:w="5760"/>
            <w:shd w:val="clear" w:color="auto" w:fill="1F4E79"/>
          </w:tcPr>
          <w:p>
            <w:r/>
            <w:r>
              <w:rPr>
                <w:rFonts w:ascii="Arial" w:hAnsi="Arial" w:cs="Arial"/>
                <w:b/>
                <w:i w:val="0"/>
                <w:color w:val="FFFFFF"/>
                <w:sz w:val="20"/>
              </w:rPr>
              <w:t>Meaning</w:t>
            </w:r>
          </w:p>
        </w:tc>
      </w:tr>
      <w:tr>
        <w:tc>
          <w:tcPr>
            <w:tcW w:type="dxa" w:w="2016"/>
            <w:shd w:val="clear" w:color="auto" w:fill="C8E6C9"/>
          </w:tcPr>
          <w:p>
            <w:r/>
            <w:r>
              <w:rPr>
                <w:rFonts w:ascii="Arial" w:hAnsi="Arial" w:cs="Arial"/>
                <w:b/>
                <w:i w:val="0"/>
                <w:color w:val="1B5E20"/>
                <w:sz w:val="22"/>
              </w:rPr>
              <w:t>Explicit</w:t>
            </w:r>
          </w:p>
        </w:tc>
        <w:tc>
          <w:tcPr>
            <w:tcW w:type="dxa" w:w="1440"/>
          </w:tcPr>
          <w:p>
            <w:pPr>
              <w:jc w:val="center"/>
            </w:pPr>
            <w:r/>
            <w:r>
              <w:rPr>
                <w:rFonts w:ascii="Arial" w:hAnsi="Arial" w:cs="Arial"/>
                <w:b/>
                <w:i w:val="0"/>
                <w:color w:val="1B5E20"/>
                <w:sz w:val="24"/>
              </w:rPr>
              <w:t>23</w:t>
            </w:r>
          </w:p>
        </w:tc>
        <w:tc>
          <w:tcPr>
            <w:tcW w:type="dxa" w:w="1440"/>
          </w:tcPr>
          <w:p>
            <w:pPr>
              <w:jc w:val="center"/>
            </w:pPr>
            <w:r/>
            <w:r>
              <w:rPr>
                <w:rFonts w:ascii="Arial" w:hAnsi="Arial" w:cs="Arial"/>
                <w:b/>
                <w:i w:val="0"/>
                <w:color w:val="1B5E20"/>
                <w:sz w:val="24"/>
              </w:rPr>
              <w:t>74%</w:t>
            </w:r>
          </w:p>
        </w:tc>
        <w:tc>
          <w:tcPr>
            <w:tcW w:type="dxa" w:w="5760"/>
          </w:tcPr>
          <w:p>
            <w:r/>
            <w:r>
              <w:rPr>
                <w:rFonts w:ascii="Arial" w:hAnsi="Arial" w:cs="Arial"/>
                <w:b w:val="0"/>
                <w:i w:val="0"/>
                <w:sz w:val="20"/>
              </w:rPr>
              <w:t>Policy explicitly mandates capture of this data point. No further action required.</w:t>
            </w:r>
          </w:p>
        </w:tc>
      </w:tr>
      <w:tr>
        <w:tc>
          <w:tcPr>
            <w:tcW w:type="dxa" w:w="2016"/>
            <w:shd w:val="clear" w:color="auto" w:fill="FFE0B2"/>
          </w:tcPr>
          <w:p>
            <w:r/>
            <w:r>
              <w:rPr>
                <w:rFonts w:ascii="Arial" w:hAnsi="Arial" w:cs="Arial"/>
                <w:b/>
                <w:i w:val="0"/>
                <w:color w:val="E65100"/>
                <w:sz w:val="22"/>
              </w:rPr>
              <w:t>Implicit</w:t>
            </w:r>
          </w:p>
        </w:tc>
        <w:tc>
          <w:tcPr>
            <w:tcW w:type="dxa" w:w="1440"/>
          </w:tcPr>
          <w:p>
            <w:pPr>
              <w:jc w:val="center"/>
            </w:pPr>
            <w:r/>
            <w:r>
              <w:rPr>
                <w:rFonts w:ascii="Arial" w:hAnsi="Arial" w:cs="Arial"/>
                <w:b/>
                <w:i w:val="0"/>
                <w:color w:val="E65100"/>
                <w:sz w:val="24"/>
              </w:rPr>
              <w:t>8</w:t>
            </w:r>
          </w:p>
        </w:tc>
        <w:tc>
          <w:tcPr>
            <w:tcW w:type="dxa" w:w="1440"/>
          </w:tcPr>
          <w:p>
            <w:pPr>
              <w:jc w:val="center"/>
            </w:pPr>
            <w:r/>
            <w:r>
              <w:rPr>
                <w:rFonts w:ascii="Arial" w:hAnsi="Arial" w:cs="Arial"/>
                <w:b/>
                <w:i w:val="0"/>
                <w:color w:val="E65100"/>
                <w:sz w:val="24"/>
              </w:rPr>
              <w:t>25%</w:t>
            </w:r>
          </w:p>
        </w:tc>
        <w:tc>
          <w:tcPr>
            <w:tcW w:type="dxa" w:w="5760"/>
          </w:tcPr>
          <w:p>
            <w:r/>
            <w:r>
              <w:rPr>
                <w:rFonts w:ascii="Arial" w:hAnsi="Arial" w:cs="Arial"/>
                <w:b w:val="0"/>
                <w:i w:val="0"/>
                <w:sz w:val="20"/>
              </w:rPr>
              <w:t>Capture is implied by policy or covered by standard practice. Recommend codifying at next policy review for cleaner audit trail.</w:t>
            </w:r>
          </w:p>
        </w:tc>
      </w:tr>
      <w:tr>
        <w:tc>
          <w:tcPr>
            <w:tcW w:type="dxa" w:w="2016"/>
            <w:shd w:val="clear" w:color="auto" w:fill="FFCDD2"/>
          </w:tcPr>
          <w:p>
            <w:r/>
            <w:r>
              <w:rPr>
                <w:rFonts w:ascii="Arial" w:hAnsi="Arial" w:cs="Arial"/>
                <w:b/>
                <w:i w:val="0"/>
                <w:color w:val="B71C1C"/>
                <w:sz w:val="22"/>
              </w:rPr>
              <w:t>Gap</w:t>
            </w:r>
          </w:p>
        </w:tc>
        <w:tc>
          <w:tcPr>
            <w:tcW w:type="dxa" w:w="1440"/>
          </w:tcPr>
          <w:p>
            <w:pPr>
              <w:jc w:val="center"/>
            </w:pPr>
            <w:r/>
            <w:r>
              <w:rPr>
                <w:rFonts w:ascii="Arial" w:hAnsi="Arial" w:cs="Arial"/>
                <w:b/>
                <w:i w:val="0"/>
                <w:color w:val="B71C1C"/>
                <w:sz w:val="24"/>
              </w:rPr>
              <w:t>0</w:t>
            </w:r>
          </w:p>
        </w:tc>
        <w:tc>
          <w:tcPr>
            <w:tcW w:type="dxa" w:w="1440"/>
          </w:tcPr>
          <w:p>
            <w:pPr>
              <w:jc w:val="center"/>
            </w:pPr>
            <w:r/>
            <w:r>
              <w:rPr>
                <w:rFonts w:ascii="Arial" w:hAnsi="Arial" w:cs="Arial"/>
                <w:b/>
                <w:i w:val="0"/>
                <w:color w:val="B71C1C"/>
                <w:sz w:val="24"/>
              </w:rPr>
              <w:t>0%</w:t>
            </w:r>
          </w:p>
        </w:tc>
        <w:tc>
          <w:tcPr>
            <w:tcW w:type="dxa" w:w="5760"/>
          </w:tcPr>
          <w:p>
            <w:r/>
            <w:r>
              <w:rPr>
                <w:rFonts w:ascii="Arial" w:hAnsi="Arial" w:cs="Arial"/>
                <w:b w:val="0"/>
                <w:i w:val="0"/>
                <w:sz w:val="20"/>
              </w:rPr>
              <w:t>Policy does not currently mandate capture. Recommend amending the relevant policy before next CGC or HIQA engagement.</w:t>
            </w:r>
          </w:p>
        </w:tc>
      </w:tr>
    </w:tbl>
    <w:p/>
    <w:tbl>
      <w:tblPr>
        <w:tblW w:type="auto" w:w="0"/>
        <w:tblLook w:firstColumn="1" w:firstRow="1" w:lastColumn="0" w:lastRow="0" w:noHBand="0" w:noVBand="1" w:val="04A0"/>
      </w:tblPr>
      <w:tblGrid>
        <w:gridCol w:w="9866"/>
      </w:tblGrid>
      <w:tr>
        <w:tc>
          <w:tcPr>
            <w:tcW w:type="dxa" w:w="9866"/>
            <w:tcBorders>
              <w:top w:val="single" w:sz="4" w:color="E0E0E0"/>
              <w:left w:val="single" w:sz="24" w:color="1B5E20"/>
              <w:bottom w:val="single" w:sz="4" w:color="E0E0E0"/>
              <w:right w:val="single" w:sz="4" w:color="E0E0E0"/>
            </w:tcBorders>
            <w:shd w:val="clear" w:color="auto" w:fill="E8F5E9"/>
          </w:tcPr>
          <w:p>
            <w:pPr>
              <w:spacing w:after="40"/>
            </w:pPr>
            <w:r/>
            <w:r>
              <w:rPr>
                <w:rFonts w:ascii="Arial" w:hAnsi="Arial" w:cs="Arial"/>
                <w:b/>
                <w:i w:val="0"/>
                <w:color w:val="1B5E20"/>
                <w:sz w:val="20"/>
              </w:rPr>
              <w:t>Bottom line.</w:t>
            </w:r>
          </w:p>
          <w:p>
            <w:pPr>
              <w:spacing w:after="0"/>
            </w:pPr>
            <w:r>
              <w:rPr>
                <w:rFonts w:ascii="Arial" w:hAnsi="Arial" w:cs="Arial"/>
                <w:b w:val="0"/>
                <w:i w:val="0"/>
                <w:sz w:val="22"/>
              </w:rPr>
              <w:t>The QMS does not introduce new capture obligations on your Quality team — it operationalises what your 42 policies already require. The handful of implicit and gap items are minor and easy to tidy at the next policy review cycle. The audit trail from each KPI number to its originating policy is therefore clean and inspector-ready.</w:t>
            </w:r>
          </w:p>
        </w:tc>
      </w:tr>
    </w:tbl>
    <w:p>
      <w:r>
        <w:br w:type="page"/>
      </w:r>
    </w:p>
    <w:p>
      <w:pPr>
        <w:pStyle w:val="Heading1"/>
        <w:spacing w:before="200" w:after="120"/>
      </w:pPr>
      <w:r>
        <w:rPr>
          <w:rFonts w:ascii="Arial" w:hAnsi="Arial" w:cs="Arial"/>
          <w:b/>
          <w:i w:val="0"/>
          <w:color w:val="1F4E79"/>
          <w:sz w:val="44"/>
        </w:rPr>
        <w:t>2.  Full mapping — every input to source policy</w:t>
      </w:r>
    </w:p>
    <w:p>
      <w:pPr>
        <w:spacing w:after="80"/>
        <w:ind w:left="0"/>
      </w:pPr>
      <w:r>
        <w:rPr>
          <w:rFonts w:ascii="Arial" w:hAnsi="Arial" w:cs="Arial"/>
          <w:b w:val="0"/>
          <w:i/>
          <w:color w:val="595959"/>
          <w:sz w:val="22"/>
        </w:rPr>
        <w:t>Inputs grouped by dashboard section. For each: what is captured, where it lives, the policy that requires it, and the specific section evidence.</w:t>
      </w:r>
    </w:p>
    <w:p/>
    <w:tbl>
      <w:tblPr>
        <w:tblW w:type="auto" w:w="0"/>
        <w:tblLook w:firstColumn="1" w:firstRow="1" w:lastColumn="0" w:lastRow="0" w:noHBand="0" w:noVBand="1" w:val="04A0"/>
      </w:tblPr>
      <w:tblGrid>
        <w:gridCol w:w="9866"/>
      </w:tblGrid>
      <w:tr>
        <w:trPr>
          <w:trHeight w:val="400" w:hRule="atLeast"/>
        </w:trPr>
        <w:tc>
          <w:tcPr>
            <w:tcW w:type="dxa" w:w="9866"/>
            <w:shd w:val="clear" w:color="auto" w:fill="595959"/>
          </w:tcPr>
          <w:p>
            <w:r/>
            <w:r>
              <w:rPr>
                <w:rFonts w:ascii="Arial" w:hAnsi="Arial" w:cs="Arial"/>
                <w:b/>
                <w:i w:val="0"/>
                <w:color w:val="FFFFFF"/>
                <w:sz w:val="24"/>
              </w:rPr>
              <w:t xml:space="preserve">  OPERATIONAL BASELINE</w:t>
            </w:r>
          </w:p>
        </w:tc>
      </w:tr>
    </w:tbl>
    <w:p>
      <w:pPr>
        <w:spacing w:before="160" w:after="40"/>
      </w:pPr>
      <w:r>
        <w:rPr>
          <w:rFonts w:ascii="Arial" w:hAnsi="Arial" w:cs="Arial"/>
          <w:b/>
          <w:i w:val="0"/>
          <w:color w:val="595959"/>
          <w:sz w:val="24"/>
        </w:rPr>
        <w:t>Hours delivered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CRM time-and-attendance</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GOV-25, IM-30</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GOV-25 (Service Delivery for HSE Home Support) requires accurate recording of service delivery against contracted hours. IM-30 requires accurate, contemporaneous records of all care delivered.</w:t>
            </w:r>
          </w:p>
        </w:tc>
      </w:tr>
    </w:tbl>
    <w:p>
      <w:pPr>
        <w:spacing w:before="160" w:after="40"/>
      </w:pPr>
      <w:r>
        <w:rPr>
          <w:rFonts w:ascii="Arial" w:hAnsi="Arial" w:cs="Arial"/>
          <w:b/>
          <w:i w:val="0"/>
          <w:color w:val="595959"/>
          <w:sz w:val="24"/>
        </w:rPr>
        <w:t>Visits scheduled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Rota / scheduling system</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CARE-08, GOV-25</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CARE-08 requires each Service User to have an agreed Home Support Plan setting the visit pattern. GOV-25 governs how scheduled visits map to the HSE Home Support arrangement.</w:t>
            </w:r>
          </w:p>
        </w:tc>
      </w:tr>
    </w:tbl>
    <w:p>
      <w:pPr>
        <w:spacing w:before="160" w:after="40"/>
      </w:pPr>
      <w:r>
        <w:rPr>
          <w:rFonts w:ascii="Arial" w:hAnsi="Arial" w:cs="Arial"/>
          <w:b/>
          <w:i w:val="0"/>
          <w:color w:val="595959"/>
          <w:sz w:val="24"/>
        </w:rPr>
        <w:t>Visits delivered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CRM visit completion</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GOV-25, IM-30, CARE-08</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Visit delivery against plan is the core service-delivery record under GOV-25 and CARE-08. IM-30 requires retention of the delivery record.</w:t>
            </w:r>
          </w:p>
        </w:tc>
      </w:tr>
    </w:tbl>
    <w:p>
      <w:pPr>
        <w:spacing w:before="160" w:after="40"/>
      </w:pPr>
      <w:r>
        <w:rPr>
          <w:rFonts w:ascii="Arial" w:hAnsi="Arial" w:cs="Arial"/>
          <w:b/>
          <w:i w:val="0"/>
          <w:color w:val="595959"/>
          <w:sz w:val="24"/>
        </w:rPr>
        <w:t>Active Service Users (month end)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CRM Service User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CARE-08, IM-05, IM-30</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CARE-08 requires a Home Support Plan for every Service User. IM-05 governs personal data of Service Users. IM-30 requires the Service User record to be maintained.</w:t>
            </w:r>
          </w:p>
        </w:tc>
      </w:tr>
    </w:tbl>
    <w:p>
      <w:pPr>
        <w:spacing w:before="160" w:after="40"/>
      </w:pPr>
      <w:r>
        <w:rPr>
          <w:rFonts w:ascii="Arial" w:hAnsi="Arial" w:cs="Arial"/>
          <w:b/>
          <w:i w:val="0"/>
          <w:color w:val="595959"/>
          <w:sz w:val="24"/>
        </w:rPr>
        <w:t>Active staff (month end)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HR system</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HR-29</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HR-29 requires a current record of all staff, including allocation. The staff register is the source.</w:t>
            </w:r>
          </w:p>
        </w:tc>
      </w:tr>
    </w:tbl>
    <w:p>
      <w:pPr>
        <w:spacing w:before="160" w:after="40"/>
      </w:pPr>
      <w:r>
        <w:rPr>
          <w:rFonts w:ascii="Arial" w:hAnsi="Arial" w:cs="Arial"/>
          <w:b/>
          <w:i w:val="0"/>
          <w:color w:val="595959"/>
          <w:sz w:val="24"/>
        </w:rPr>
        <w:t>Medication prompts delivered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CRM medication log</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CARE-20, IM-30</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CARE-20 explicitly requires every medication prompt to be recorded contemporaneously including missed doses and refusals. IM-30 covers retention.</w:t>
            </w:r>
          </w:p>
        </w:tc>
      </w:tr>
    </w:tbl>
    <w:tbl>
      <w:tblPr>
        <w:tblW w:type="auto" w:w="0"/>
        <w:tblLook w:firstColumn="1" w:firstRow="1" w:lastColumn="0" w:lastRow="0" w:noHBand="0" w:noVBand="1" w:val="04A0"/>
      </w:tblPr>
      <w:tblGrid>
        <w:gridCol w:w="9866"/>
      </w:tblGrid>
      <w:tr>
        <w:trPr>
          <w:trHeight w:val="400" w:hRule="atLeast"/>
        </w:trPr>
        <w:tc>
          <w:tcPr>
            <w:tcW w:type="dxa" w:w="9866"/>
            <w:shd w:val="clear" w:color="auto" w:fill="2E7D32"/>
          </w:tcPr>
          <w:p>
            <w:r/>
            <w:r>
              <w:rPr>
                <w:rFonts w:ascii="Arial" w:hAnsi="Arial" w:cs="Arial"/>
                <w:b/>
                <w:i w:val="0"/>
                <w:color w:val="FFFFFF"/>
                <w:sz w:val="24"/>
              </w:rPr>
              <w:t xml:space="preserve">  SERVICE DELIVERY</w:t>
            </w:r>
          </w:p>
        </w:tc>
      </w:tr>
    </w:tbl>
    <w:p>
      <w:pPr>
        <w:spacing w:before="160" w:after="40"/>
      </w:pPr>
      <w:r>
        <w:rPr>
          <w:rFonts w:ascii="Arial" w:hAnsi="Arial" w:cs="Arial"/>
          <w:b/>
          <w:i w:val="0"/>
          <w:color w:val="2E7D32"/>
          <w:sz w:val="24"/>
        </w:rPr>
        <w:t>Missed visits</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CRM exception report</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GOV-25, CARE-08</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GOV-25 sets the expectation that visits are delivered as agreed; missed visits are exceptions requiring recording and follow-up. CARE-08 requires variation from the plan to be documented.</w:t>
            </w:r>
          </w:p>
        </w:tc>
      </w:tr>
    </w:tbl>
    <w:p>
      <w:pPr>
        <w:spacing w:before="160" w:after="40"/>
      </w:pPr>
      <w:r>
        <w:rPr>
          <w:rFonts w:ascii="Arial" w:hAnsi="Arial" w:cs="Arial"/>
          <w:b/>
          <w:i w:val="0"/>
          <w:color w:val="2E7D32"/>
          <w:sz w:val="24"/>
        </w:rPr>
        <w:t>Late visits (&gt;30 mins late)</w:t>
      </w:r>
      <w:r>
        <w:t xml:space="preserve">   </w:t>
      </w:r>
      <w:r>
        <w:rPr>
          <w:rFonts w:ascii="Arial" w:hAnsi="Arial" w:cs="Arial"/>
          <w:b/>
          <w:i w:val="0"/>
          <w:color w:val="FFFFFF"/>
          <w:sz w:val="18"/>
        </w:rPr>
        <w:t xml:space="preserve">  Implicit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CRM rota variance</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GOV-25</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GOV-25 implies that visits should be delivered within agreed time windows; specific late-threshold not stated in policy. Recommend tightening at next review.</w:t>
            </w:r>
          </w:p>
        </w:tc>
      </w:tr>
    </w:tbl>
    <w:p>
      <w:pPr>
        <w:spacing w:before="160" w:after="40"/>
      </w:pPr>
      <w:r>
        <w:rPr>
          <w:rFonts w:ascii="Arial" w:hAnsi="Arial" w:cs="Arial"/>
          <w:b/>
          <w:i w:val="0"/>
          <w:color w:val="2E7D32"/>
          <w:sz w:val="24"/>
        </w:rPr>
        <w:t>Care plan reviews due / completed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CRM review schedule</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CARE-08, IM-30</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CARE-08 sets the review cadence and requires the review to be documented. IM-30 covers retention of the review record.</w:t>
            </w:r>
          </w:p>
        </w:tc>
      </w:tr>
    </w:tbl>
    <w:tbl>
      <w:tblPr>
        <w:tblW w:type="auto" w:w="0"/>
        <w:tblLook w:firstColumn="1" w:firstRow="1" w:lastColumn="0" w:lastRow="0" w:noHBand="0" w:noVBand="1" w:val="04A0"/>
      </w:tblPr>
      <w:tblGrid>
        <w:gridCol w:w="9866"/>
      </w:tblGrid>
      <w:tr>
        <w:trPr>
          <w:trHeight w:val="400" w:hRule="atLeast"/>
        </w:trPr>
        <w:tc>
          <w:tcPr>
            <w:tcW w:type="dxa" w:w="9866"/>
            <w:shd w:val="clear" w:color="auto" w:fill="C62828"/>
          </w:tcPr>
          <w:p>
            <w:r/>
            <w:r>
              <w:rPr>
                <w:rFonts w:ascii="Arial" w:hAnsi="Arial" w:cs="Arial"/>
                <w:b/>
                <w:i w:val="0"/>
                <w:color w:val="FFFFFF"/>
                <w:sz w:val="24"/>
              </w:rPr>
              <w:t xml:space="preserve">  CLINICAL SAFETY</w:t>
            </w:r>
          </w:p>
        </w:tc>
      </w:tr>
    </w:tbl>
    <w:p>
      <w:pPr>
        <w:spacing w:before="160" w:after="40"/>
      </w:pPr>
      <w:r>
        <w:rPr>
          <w:rFonts w:ascii="Arial" w:hAnsi="Arial" w:cs="Arial"/>
          <w:b/>
          <w:i w:val="0"/>
          <w:color w:val="C62828"/>
          <w:sz w:val="24"/>
        </w:rPr>
        <w:t>Medication errors / near misses</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Incident form + CARE-20 log</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CARE-20, QA-13</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CARE-20 requires every medication error or adverse reaction to be reported. QA-13 governs incident management including categorisation and RCA.</w:t>
            </w:r>
          </w:p>
        </w:tc>
      </w:tr>
    </w:tbl>
    <w:p>
      <w:pPr>
        <w:spacing w:before="160" w:after="40"/>
      </w:pPr>
      <w:r>
        <w:rPr>
          <w:rFonts w:ascii="Arial" w:hAnsi="Arial" w:cs="Arial"/>
          <w:b/>
          <w:i w:val="0"/>
          <w:color w:val="C62828"/>
          <w:sz w:val="24"/>
        </w:rPr>
        <w:t>Falls reported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Incident form</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CARE-32, QA-13</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CARE-32 (Falls Prevention) requires every fall to be reported. QA-13 governs the incident management process.</w:t>
            </w:r>
          </w:p>
        </w:tc>
      </w:tr>
    </w:tbl>
    <w:p>
      <w:pPr>
        <w:spacing w:before="160" w:after="40"/>
      </w:pPr>
      <w:r>
        <w:rPr>
          <w:rFonts w:ascii="Arial" w:hAnsi="Arial" w:cs="Arial"/>
          <w:b/>
          <w:i w:val="0"/>
          <w:color w:val="C62828"/>
          <w:sz w:val="24"/>
        </w:rPr>
        <w:t>Major / Extreme incidents</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Incident form + HSE Risk Scoring Matrix</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QA-13</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QA-13 requires severity rating using the HSE Risk Scoring Matrix. Major (rating 4) and Extreme (rating 5) trigger mandatory RCA and Board notification.</w:t>
            </w:r>
          </w:p>
        </w:tc>
      </w:tr>
    </w:tbl>
    <w:p>
      <w:pPr>
        <w:spacing w:before="160" w:after="40"/>
      </w:pPr>
      <w:r>
        <w:rPr>
          <w:rFonts w:ascii="Arial" w:hAnsi="Arial" w:cs="Arial"/>
          <w:b/>
          <w:i w:val="0"/>
          <w:color w:val="C62828"/>
          <w:sz w:val="24"/>
        </w:rPr>
        <w:t>Open Disclosure events triggered / completed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Incident form + Open Disclosure log</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QA-13</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QA-13 governs Open Disclosure with reference to the HSE National Open Disclosure framework. Aligned to Patient Safety (Notifiable Incidents and Open Disclosure) Act 2023.</w:t>
            </w:r>
          </w:p>
        </w:tc>
      </w:tr>
    </w:tbl>
    <w:tbl>
      <w:tblPr>
        <w:tblW w:type="auto" w:w="0"/>
        <w:tblLook w:firstColumn="1" w:firstRow="1" w:lastColumn="0" w:lastRow="0" w:noHBand="0" w:noVBand="1" w:val="04A0"/>
      </w:tblPr>
      <w:tblGrid>
        <w:gridCol w:w="9866"/>
      </w:tblGrid>
      <w:tr>
        <w:trPr>
          <w:trHeight w:val="400" w:hRule="atLeast"/>
        </w:trPr>
        <w:tc>
          <w:tcPr>
            <w:tcW w:type="dxa" w:w="9866"/>
            <w:shd w:val="clear" w:color="auto" w:fill="00838F"/>
          </w:tcPr>
          <w:p>
            <w:r/>
            <w:r>
              <w:rPr>
                <w:rFonts w:ascii="Arial" w:hAnsi="Arial" w:cs="Arial"/>
                <w:b/>
                <w:i w:val="0"/>
                <w:color w:val="FFFFFF"/>
                <w:sz w:val="24"/>
              </w:rPr>
              <w:t xml:space="preserve">  SERVICE USER EXPERIENCE</w:t>
            </w:r>
          </w:p>
        </w:tc>
      </w:tr>
    </w:tbl>
    <w:p>
      <w:pPr>
        <w:spacing w:before="160" w:after="40"/>
      </w:pPr>
      <w:r>
        <w:rPr>
          <w:rFonts w:ascii="Arial" w:hAnsi="Arial" w:cs="Arial"/>
          <w:b/>
          <w:i w:val="0"/>
          <w:color w:val="00838F"/>
          <w:sz w:val="24"/>
        </w:rPr>
        <w:t>Complaints received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Master Complaints Log</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QA-03, QA-SOP-CMP-01</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QA-03 requires every complaint (any channel, including anonymous and third-party) to be logged. QA-SOP-CMP-01 is the Master Complaints Log template itself.</w:t>
            </w:r>
          </w:p>
        </w:tc>
      </w:tr>
    </w:tbl>
    <w:p>
      <w:pPr>
        <w:spacing w:before="160" w:after="40"/>
      </w:pPr>
      <w:r>
        <w:rPr>
          <w:rFonts w:ascii="Arial" w:hAnsi="Arial" w:cs="Arial"/>
          <w:b/>
          <w:i w:val="0"/>
          <w:color w:val="00838F"/>
          <w:sz w:val="24"/>
        </w:rPr>
        <w:t>Complaints closed in month</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Master Complaints Log</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QA-03</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QA-03 governs the complaint lifecycle and closure recording.</w:t>
            </w:r>
          </w:p>
        </w:tc>
      </w:tr>
    </w:tbl>
    <w:p>
      <w:pPr>
        <w:spacing w:before="160" w:after="40"/>
      </w:pPr>
      <w:r>
        <w:rPr>
          <w:rFonts w:ascii="Arial" w:hAnsi="Arial" w:cs="Arial"/>
          <w:b/>
          <w:i w:val="0"/>
          <w:color w:val="00838F"/>
          <w:sz w:val="24"/>
        </w:rPr>
        <w:t>Sum of resolution days</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Calculated from Master Complaints Log</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QA-03</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QA-03 requires recording of date received and date of response. Median / average resolution time is derived from these dates.</w:t>
            </w:r>
          </w:p>
        </w:tc>
      </w:tr>
    </w:tbl>
    <w:p>
      <w:pPr>
        <w:spacing w:before="160" w:after="40"/>
      </w:pPr>
      <w:r>
        <w:rPr>
          <w:rFonts w:ascii="Arial" w:hAnsi="Arial" w:cs="Arial"/>
          <w:b/>
          <w:i w:val="0"/>
          <w:color w:val="00838F"/>
          <w:sz w:val="24"/>
        </w:rPr>
        <w:t>Complaints upheld / part-upheld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Master Complaints Log outcome field</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QA-03</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QA-03 requires the outcome of every complaint to be recorded (upheld / partially upheld / not upheld / withdrawn).</w:t>
            </w:r>
          </w:p>
        </w:tc>
      </w:tr>
    </w:tbl>
    <w:p>
      <w:pPr>
        <w:spacing w:before="160" w:after="40"/>
      </w:pPr>
      <w:r>
        <w:rPr>
          <w:rFonts w:ascii="Arial" w:hAnsi="Arial" w:cs="Arial"/>
          <w:b/>
          <w:i w:val="0"/>
          <w:color w:val="00838F"/>
          <w:sz w:val="24"/>
        </w:rPr>
        <w:t>Compliments received</w:t>
      </w:r>
      <w:r>
        <w:t xml:space="preserve">   </w:t>
      </w:r>
      <w:r>
        <w:rPr>
          <w:rFonts w:ascii="Arial" w:hAnsi="Arial" w:cs="Arial"/>
          <w:b/>
          <w:i w:val="0"/>
          <w:color w:val="FFFFFF"/>
          <w:sz w:val="18"/>
        </w:rPr>
        <w:t xml:space="preserve">  Implicit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Feedback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QA-03.2</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QA-03.2 (Management of Service Users Feedback) covers both positive and negative feedback. Compliments register implied but specific format not mandated — recommend adding to QA-03.2 at next review.</w:t>
            </w:r>
          </w:p>
        </w:tc>
      </w:tr>
    </w:tbl>
    <w:p>
      <w:pPr>
        <w:spacing w:before="160" w:after="40"/>
      </w:pPr>
      <w:r>
        <w:rPr>
          <w:rFonts w:ascii="Arial" w:hAnsi="Arial" w:cs="Arial"/>
          <w:b/>
          <w:i w:val="0"/>
          <w:color w:val="00838F"/>
          <w:sz w:val="24"/>
        </w:rPr>
        <w:t>Service User satisfaction (annual)</w:t>
      </w:r>
      <w:r>
        <w:t xml:space="preserve">   </w:t>
      </w:r>
      <w:r>
        <w:rPr>
          <w:rFonts w:ascii="Arial" w:hAnsi="Arial" w:cs="Arial"/>
          <w:b/>
          <w:i w:val="0"/>
          <w:color w:val="FFFFFF"/>
          <w:sz w:val="18"/>
        </w:rPr>
        <w:t xml:space="preserve">  Implicit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Annual survey results</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QA-03.2</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QA-03.2 covers structured feedback gathering. Annual survey is best practice; specific cadence and instrument not mandated in policy — recommend codifying.</w:t>
            </w:r>
          </w:p>
        </w:tc>
      </w:tr>
    </w:tbl>
    <w:tbl>
      <w:tblPr>
        <w:tblW w:type="auto" w:w="0"/>
        <w:tblLook w:firstColumn="1" w:firstRow="1" w:lastColumn="0" w:lastRow="0" w:noHBand="0" w:noVBand="1" w:val="04A0"/>
      </w:tblPr>
      <w:tblGrid>
        <w:gridCol w:w="9866"/>
      </w:tblGrid>
      <w:tr>
        <w:trPr>
          <w:trHeight w:val="400" w:hRule="atLeast"/>
        </w:trPr>
        <w:tc>
          <w:tcPr>
            <w:tcW w:type="dxa" w:w="9866"/>
            <w:shd w:val="clear" w:color="auto" w:fill="6A1B9A"/>
          </w:tcPr>
          <w:p>
            <w:r/>
            <w:r>
              <w:rPr>
                <w:rFonts w:ascii="Arial" w:hAnsi="Arial" w:cs="Arial"/>
                <w:b/>
                <w:i w:val="0"/>
                <w:color w:val="FFFFFF"/>
                <w:sz w:val="24"/>
              </w:rPr>
              <w:t xml:space="preserve">  STAFF WORKFORCE</w:t>
            </w:r>
          </w:p>
        </w:tc>
      </w:tr>
    </w:tbl>
    <w:p>
      <w:pPr>
        <w:spacing w:before="160" w:after="40"/>
      </w:pPr>
      <w:r>
        <w:rPr>
          <w:rFonts w:ascii="Arial" w:hAnsi="Arial" w:cs="Arial"/>
          <w:b/>
          <w:i w:val="0"/>
          <w:color w:val="6A1B9A"/>
          <w:sz w:val="24"/>
        </w:rPr>
        <w:t>Leavers in rolling 12 months</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HR system</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HR-29</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HR-29 covers staff retention monitoring as part of the recruitment, retention and allocation process. Leaver records are an HR system standard.</w:t>
            </w:r>
          </w:p>
        </w:tc>
      </w:tr>
    </w:tbl>
    <w:p>
      <w:pPr>
        <w:spacing w:before="160" w:after="40"/>
      </w:pPr>
      <w:r>
        <w:rPr>
          <w:rFonts w:ascii="Arial" w:hAnsi="Arial" w:cs="Arial"/>
          <w:b/>
          <w:i w:val="0"/>
          <w:color w:val="6A1B9A"/>
          <w:sz w:val="24"/>
        </w:rPr>
        <w:t>Sickness days</w:t>
      </w:r>
      <w:r>
        <w:t xml:space="preserve">   </w:t>
      </w:r>
      <w:r>
        <w:rPr>
          <w:rFonts w:ascii="Arial" w:hAnsi="Arial" w:cs="Arial"/>
          <w:b/>
          <w:i w:val="0"/>
          <w:color w:val="FFFFFF"/>
          <w:sz w:val="18"/>
        </w:rPr>
        <w:t xml:space="preserve">  Implicit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HR system</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HR-29</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HR-29 references workforce continuity. Sickness absence tracking is standard HR practice — policies sampled do not explicitly mandate a sickness-rate metric. Recommend confirming whether a separate Sickness Absence Policy exists.</w:t>
            </w:r>
          </w:p>
        </w:tc>
      </w:tr>
    </w:tbl>
    <w:p>
      <w:pPr>
        <w:spacing w:before="160" w:after="40"/>
      </w:pPr>
      <w:r>
        <w:rPr>
          <w:rFonts w:ascii="Arial" w:hAnsi="Arial" w:cs="Arial"/>
          <w:b/>
          <w:i w:val="0"/>
          <w:color w:val="6A1B9A"/>
          <w:sz w:val="24"/>
        </w:rPr>
        <w:t>Mandatory training compliance</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Learning Management System</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HR-14</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HR-14 (Staff Induction, Training and Supervision) requires every staff member to complete mandatory training and refreshers per the training matrix.</w:t>
            </w:r>
          </w:p>
        </w:tc>
      </w:tr>
    </w:tbl>
    <w:p>
      <w:pPr>
        <w:spacing w:before="160" w:after="40"/>
      </w:pPr>
      <w:r>
        <w:rPr>
          <w:rFonts w:ascii="Arial" w:hAnsi="Arial" w:cs="Arial"/>
          <w:b/>
          <w:i w:val="0"/>
          <w:color w:val="6A1B9A"/>
          <w:sz w:val="24"/>
        </w:rPr>
        <w:t>Supervision compliance</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HR system / Supervision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HR-14</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HR-14 requires structured supervision recorded at a defined cadence. (Note: exact cadence to be confirmed — flagged in role manuals.)</w:t>
            </w:r>
          </w:p>
        </w:tc>
      </w:tr>
    </w:tbl>
    <w:p>
      <w:pPr>
        <w:spacing w:before="160" w:after="40"/>
      </w:pPr>
      <w:r>
        <w:rPr>
          <w:rFonts w:ascii="Arial" w:hAnsi="Arial" w:cs="Arial"/>
          <w:b/>
          <w:i w:val="0"/>
          <w:color w:val="6A1B9A"/>
          <w:sz w:val="24"/>
        </w:rPr>
        <w:t>Garda vetting currency</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Vetting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HR-29, HS-23.1</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HR-29 mandates Garda National Vetting Bureau (NVB) vetting prior to start. HS-23.1 reinforces vetting as part of safeguarding compliance.</w:t>
            </w:r>
          </w:p>
        </w:tc>
      </w:tr>
    </w:tbl>
    <w:tbl>
      <w:tblPr>
        <w:tblW w:type="auto" w:w="0"/>
        <w:tblLook w:firstColumn="1" w:firstRow="1" w:lastColumn="0" w:lastRow="0" w:noHBand="0" w:noVBand="1" w:val="04A0"/>
      </w:tblPr>
      <w:tblGrid>
        <w:gridCol w:w="9866"/>
      </w:tblGrid>
      <w:tr>
        <w:trPr>
          <w:trHeight w:val="400" w:hRule="atLeast"/>
        </w:trPr>
        <w:tc>
          <w:tcPr>
            <w:tcW w:type="dxa" w:w="9866"/>
            <w:shd w:val="clear" w:color="auto" w:fill="1F4E79"/>
          </w:tcPr>
          <w:p>
            <w:r/>
            <w:r>
              <w:rPr>
                <w:rFonts w:ascii="Arial" w:hAnsi="Arial" w:cs="Arial"/>
                <w:b/>
                <w:i w:val="0"/>
                <w:color w:val="FFFFFF"/>
                <w:sz w:val="24"/>
              </w:rPr>
              <w:t xml:space="preserve">  GOVERNANCE &amp; COMPLIANCE</w:t>
            </w:r>
          </w:p>
        </w:tc>
      </w:tr>
    </w:tbl>
    <w:p>
      <w:pPr>
        <w:spacing w:before="160" w:after="40"/>
      </w:pPr>
      <w:r>
        <w:rPr>
          <w:rFonts w:ascii="Arial" w:hAnsi="Arial" w:cs="Arial"/>
          <w:b/>
          <w:i w:val="0"/>
          <w:color w:val="1F4E79"/>
          <w:sz w:val="24"/>
        </w:rPr>
        <w:t>Safeguarding concerns raised</w:t>
      </w:r>
      <w:r>
        <w:t xml:space="preserve">   </w:t>
      </w:r>
      <w:r>
        <w:rPr>
          <w:rFonts w:ascii="Arial" w:hAnsi="Arial" w:cs="Arial"/>
          <w:b/>
          <w:i w:val="0"/>
          <w:color w:val="FFFFFF"/>
          <w:sz w:val="18"/>
        </w:rPr>
        <w:t xml:space="preserve">  Implicit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Safeguarding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HS-23, HS-23.1, HS-28, CARE-09</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HS-23 and HS-23.1 require every safeguarding concern to be recorded. HS-28 covers child protection concerns. CARE-09 covers financial abuse. (Note: explicit Safeguarding Register format not mandated in policy — flagged for amendment.)</w:t>
            </w:r>
          </w:p>
        </w:tc>
      </w:tr>
    </w:tbl>
    <w:p>
      <w:pPr>
        <w:spacing w:before="160" w:after="40"/>
      </w:pPr>
      <w:r>
        <w:rPr>
          <w:rFonts w:ascii="Arial" w:hAnsi="Arial" w:cs="Arial"/>
          <w:b/>
          <w:i w:val="0"/>
          <w:color w:val="1F4E79"/>
          <w:sz w:val="24"/>
        </w:rPr>
        <w:t>Statutory notifications due / on time</w:t>
      </w:r>
      <w:r>
        <w:t xml:space="preserve">   </w:t>
      </w:r>
      <w:r>
        <w:rPr>
          <w:rFonts w:ascii="Arial" w:hAnsi="Arial" w:cs="Arial"/>
          <w:b/>
          <w:i w:val="0"/>
          <w:color w:val="FFFFFF"/>
          <w:sz w:val="18"/>
        </w:rPr>
        <w:t xml:space="preserve">  Implicit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Statutory Notifications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QA-13, HS-23.1, HS-28</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QA-13 covers statutory notifications under the Patient Safety Act 2023. HS-23.1 covers safeguarding notifications to HSE. HS-28 covers Tusla referrals. (Note: single consolidated register implied but not mandated.)</w:t>
            </w:r>
          </w:p>
        </w:tc>
      </w:tr>
    </w:tbl>
    <w:p>
      <w:pPr>
        <w:spacing w:before="160" w:after="40"/>
      </w:pPr>
      <w:r>
        <w:rPr>
          <w:rFonts w:ascii="Arial" w:hAnsi="Arial" w:cs="Arial"/>
          <w:b/>
          <w:i w:val="0"/>
          <w:color w:val="1F4E79"/>
          <w:sz w:val="24"/>
        </w:rPr>
        <w:t>Audits planned / completed (YTD)</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Audit calendar + reports</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QA-22, QA-22.1</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QA-22 (Monitoring of Service Quality and Safety) and QA-22.1 (Quality Audit Management) mandate an annual audit programme.</w:t>
            </w:r>
          </w:p>
        </w:tc>
      </w:tr>
    </w:tbl>
    <w:p>
      <w:pPr>
        <w:spacing w:before="160" w:after="40"/>
      </w:pPr>
      <w:r>
        <w:rPr>
          <w:rFonts w:ascii="Arial" w:hAnsi="Arial" w:cs="Arial"/>
          <w:b/>
          <w:i w:val="0"/>
          <w:color w:val="1F4E79"/>
          <w:sz w:val="24"/>
        </w:rPr>
        <w:t>Audit findings due / closed in SLA</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Audit register + QIP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QA-22, QA-22.1</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QA-22 and QA-22.1 require audit findings to be tracked through to closure. (Note: specific SLA not mandated — recommend codifying.)</w:t>
            </w:r>
          </w:p>
        </w:tc>
      </w:tr>
    </w:tbl>
    <w:p>
      <w:pPr>
        <w:spacing w:before="160" w:after="40"/>
      </w:pPr>
      <w:r>
        <w:rPr>
          <w:rFonts w:ascii="Arial" w:hAnsi="Arial" w:cs="Arial"/>
          <w:b/>
          <w:i w:val="0"/>
          <w:color w:val="1F4E79"/>
          <w:sz w:val="24"/>
        </w:rPr>
        <w:t>Open QIPs</w:t>
      </w:r>
      <w:r>
        <w:t xml:space="preserve">   </w:t>
      </w:r>
      <w:r>
        <w:rPr>
          <w:rFonts w:ascii="Arial" w:hAnsi="Arial" w:cs="Arial"/>
          <w:b/>
          <w:i w:val="0"/>
          <w:color w:val="FFFFFF"/>
          <w:sz w:val="18"/>
        </w:rPr>
        <w:t xml:space="preserve">  Implicit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QIP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QA-22, QA-22.1</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QA-22 and QA-22.1 reference Quality Improvement Plans as the response to audit findings. (Note: consolidated QIP register implied but not mandated as a standalone document.)</w:t>
            </w:r>
          </w:p>
        </w:tc>
      </w:tr>
    </w:tbl>
    <w:p>
      <w:pPr>
        <w:spacing w:before="160" w:after="40"/>
      </w:pPr>
      <w:r>
        <w:rPr>
          <w:rFonts w:ascii="Arial" w:hAnsi="Arial" w:cs="Arial"/>
          <w:b/>
          <w:i w:val="0"/>
          <w:color w:val="1F4E79"/>
          <w:sz w:val="24"/>
        </w:rPr>
        <w:t>QIPs closed by target date</w:t>
      </w:r>
      <w:r>
        <w:t xml:space="preserve">   </w:t>
      </w:r>
      <w:r>
        <w:rPr>
          <w:rFonts w:ascii="Arial" w:hAnsi="Arial" w:cs="Arial"/>
          <w:b/>
          <w:i w:val="0"/>
          <w:color w:val="FFFFFF"/>
          <w:sz w:val="18"/>
        </w:rPr>
        <w:t xml:space="preserve">  Implicit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QIP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QA-22</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QA-22 requires improvement actions to have target completion and be closed against evidence. SLA cadence implied not mandated.</w:t>
            </w:r>
          </w:p>
        </w:tc>
      </w:tr>
    </w:tbl>
    <w:p>
      <w:pPr>
        <w:spacing w:before="160" w:after="40"/>
      </w:pPr>
      <w:r>
        <w:rPr>
          <w:rFonts w:ascii="Arial" w:hAnsi="Arial" w:cs="Arial"/>
          <w:b/>
          <w:i w:val="0"/>
          <w:color w:val="1F4E79"/>
          <w:sz w:val="24"/>
        </w:rPr>
        <w:t>Policies within review date</w:t>
      </w:r>
      <w:r>
        <w:t xml:space="preserve">   </w:t>
      </w:r>
      <w:r>
        <w:rPr>
          <w:rFonts w:ascii="Arial" w:hAnsi="Arial" w:cs="Arial"/>
          <w:b/>
          <w:i w:val="0"/>
          <w:color w:val="FFFFFF"/>
          <w:sz w:val="18"/>
        </w:rPr>
        <w:t xml:space="preserve">  Explicit  </w:t>
      </w:r>
    </w:p>
    <w:tbl>
      <w:tblPr>
        <w:tblStyle w:val="LightGrid-Accent1"/>
        <w:tblW w:type="auto" w:w="0"/>
        <w:tblLook w:firstColumn="1" w:firstRow="1" w:lastColumn="0" w:lastRow="0" w:noHBand="0" w:noVBand="1" w:val="04A0"/>
      </w:tblPr>
      <w:tblGrid>
        <w:gridCol w:w="4933"/>
        <w:gridCol w:w="4933"/>
      </w:tblGrid>
      <w:tr>
        <w:tc>
          <w:tcPr>
            <w:tcW w:type="dxa" w:w="2592"/>
            <w:shd w:val="clear" w:color="auto" w:fill="F2F2F2"/>
          </w:tcPr>
          <w:p>
            <w:r/>
            <w:r>
              <w:rPr>
                <w:rFonts w:ascii="Arial" w:hAnsi="Arial" w:cs="Arial"/>
                <w:b/>
                <w:i w:val="0"/>
                <w:color w:val="595959"/>
                <w:sz w:val="20"/>
              </w:rPr>
              <w:t>Data source</w:t>
            </w:r>
          </w:p>
        </w:tc>
        <w:tc>
          <w:tcPr>
            <w:tcW w:type="dxa" w:w="7488"/>
          </w:tcPr>
          <w:p>
            <w:r/>
            <w:r>
              <w:rPr>
                <w:rFonts w:ascii="Arial" w:hAnsi="Arial" w:cs="Arial"/>
                <w:b w:val="0"/>
                <w:i w:val="0"/>
                <w:sz w:val="20"/>
              </w:rPr>
              <w:t>Document Control Register</w:t>
            </w:r>
          </w:p>
        </w:tc>
      </w:tr>
      <w:tr>
        <w:tc>
          <w:tcPr>
            <w:tcW w:type="dxa" w:w="2592"/>
            <w:shd w:val="clear" w:color="auto" w:fill="F2F2F2"/>
          </w:tcPr>
          <w:p>
            <w:r/>
            <w:r>
              <w:rPr>
                <w:rFonts w:ascii="Arial" w:hAnsi="Arial" w:cs="Arial"/>
                <w:b/>
                <w:i w:val="0"/>
                <w:color w:val="595959"/>
                <w:sz w:val="20"/>
              </w:rPr>
              <w:t>Policy reference</w:t>
            </w:r>
          </w:p>
        </w:tc>
        <w:tc>
          <w:tcPr>
            <w:tcW w:type="dxa" w:w="7488"/>
          </w:tcPr>
          <w:p>
            <w:r/>
            <w:r>
              <w:rPr>
                <w:rFonts w:ascii="Arial" w:hAnsi="Arial" w:cs="Arial"/>
                <w:b w:val="0"/>
                <w:i w:val="0"/>
                <w:sz w:val="20"/>
              </w:rPr>
              <w:t>IM-30, GOV-35</w:t>
            </w:r>
          </w:p>
        </w:tc>
      </w:tr>
      <w:tr>
        <w:tc>
          <w:tcPr>
            <w:tcW w:type="dxa" w:w="2592"/>
            <w:shd w:val="clear" w:color="auto" w:fill="F2F2F2"/>
          </w:tcPr>
          <w:p>
            <w:r/>
            <w:r>
              <w:rPr>
                <w:rFonts w:ascii="Arial" w:hAnsi="Arial" w:cs="Arial"/>
                <w:b/>
                <w:i w:val="0"/>
                <w:color w:val="595959"/>
                <w:sz w:val="20"/>
              </w:rPr>
              <w:t>Evidence in policy</w:t>
            </w:r>
          </w:p>
        </w:tc>
        <w:tc>
          <w:tcPr>
            <w:tcW w:type="dxa" w:w="7488"/>
          </w:tcPr>
          <w:p>
            <w:r/>
            <w:r>
              <w:rPr>
                <w:rFonts w:ascii="Arial" w:hAnsi="Arial" w:cs="Arial"/>
                <w:b w:val="0"/>
                <w:i w:val="0"/>
                <w:sz w:val="20"/>
              </w:rPr>
              <w:t>IM-30 covers retention. GOV-35 Clinical Governance Framework requires policies to be reviewed within stated cycles. Document Control Register operationalises this.</w:t>
            </w:r>
          </w:p>
        </w:tc>
      </w:tr>
    </w:tbl>
    <w:p>
      <w:r>
        <w:br w:type="page"/>
      </w:r>
    </w:p>
    <w:p>
      <w:pPr>
        <w:pStyle w:val="Heading1"/>
        <w:spacing w:before="200" w:after="120"/>
      </w:pPr>
      <w:r>
        <w:rPr>
          <w:rFonts w:ascii="Arial" w:hAnsi="Arial" w:cs="Arial"/>
          <w:b/>
          <w:i w:val="0"/>
          <w:color w:val="E65100"/>
          <w:sz w:val="44"/>
        </w:rPr>
        <w:t>3.  Recommendations to tidy at next policy review</w:t>
      </w:r>
    </w:p>
    <w:p>
      <w:pPr>
        <w:spacing w:after="80"/>
        <w:ind w:left="0"/>
      </w:pPr>
      <w:r>
        <w:rPr>
          <w:rFonts w:ascii="Arial" w:hAnsi="Arial" w:cs="Arial"/>
          <w:b w:val="0"/>
          <w:i/>
          <w:color w:val="595959"/>
          <w:sz w:val="22"/>
        </w:rPr>
        <w:t>The 8 'Implicit' items below are not blockers — they are minor codification opportunities. Address at the next scheduled review of each policy to give your QMS a fully explicit audit trail.</w:t>
      </w:r>
    </w:p>
    <w:p/>
    <w:p>
      <w:pPr>
        <w:spacing w:before="160" w:after="40"/>
      </w:pPr>
      <w:r>
        <w:rPr>
          <w:rFonts w:ascii="Arial" w:hAnsi="Arial" w:cs="Arial"/>
          <w:b/>
          <w:i w:val="0"/>
          <w:color w:val="E65100"/>
          <w:sz w:val="24"/>
        </w:rPr>
        <w:t>1.  Late visits (&gt;30 mins late)</w:t>
      </w:r>
    </w:p>
    <w:p>
      <w:pPr>
        <w:spacing w:after="80"/>
        <w:ind w:left="0"/>
      </w:pPr>
      <w:r>
        <w:rPr>
          <w:rFonts w:ascii="Arial" w:hAnsi="Arial" w:cs="Arial"/>
          <w:b/>
          <w:i w:val="0"/>
          <w:color w:val="1F4E79"/>
          <w:sz w:val="20"/>
        </w:rPr>
        <w:t>Policy: GOV-25</w:t>
      </w:r>
    </w:p>
    <w:p>
      <w:pPr>
        <w:spacing w:after="80"/>
        <w:ind w:left="360"/>
      </w:pPr>
      <w:r>
        <w:rPr>
          <w:rFonts w:ascii="Arial" w:hAnsi="Arial" w:cs="Arial"/>
          <w:b w:val="0"/>
          <w:i w:val="0"/>
          <w:color w:val="000000"/>
          <w:sz w:val="20"/>
        </w:rPr>
        <w:t>Recommended amendment: GOV-25 implies that visits should be delivered within agreed time windows; specific late-threshold not stated in policy. Recommend tightening at next review.</w:t>
      </w:r>
    </w:p>
    <w:p>
      <w:pPr>
        <w:spacing w:before="160" w:after="40"/>
      </w:pPr>
      <w:r>
        <w:rPr>
          <w:rFonts w:ascii="Arial" w:hAnsi="Arial" w:cs="Arial"/>
          <w:b/>
          <w:i w:val="0"/>
          <w:color w:val="E65100"/>
          <w:sz w:val="24"/>
        </w:rPr>
        <w:t>2.  Compliments received</w:t>
      </w:r>
    </w:p>
    <w:p>
      <w:pPr>
        <w:spacing w:after="80"/>
        <w:ind w:left="0"/>
      </w:pPr>
      <w:r>
        <w:rPr>
          <w:rFonts w:ascii="Arial" w:hAnsi="Arial" w:cs="Arial"/>
          <w:b/>
          <w:i w:val="0"/>
          <w:color w:val="1F4E79"/>
          <w:sz w:val="20"/>
        </w:rPr>
        <w:t>Policy: QA-03.2</w:t>
      </w:r>
    </w:p>
    <w:p>
      <w:pPr>
        <w:spacing w:after="80"/>
        <w:ind w:left="360"/>
      </w:pPr>
      <w:r>
        <w:rPr>
          <w:rFonts w:ascii="Arial" w:hAnsi="Arial" w:cs="Arial"/>
          <w:b w:val="0"/>
          <w:i w:val="0"/>
          <w:color w:val="000000"/>
          <w:sz w:val="20"/>
        </w:rPr>
        <w:t>Recommended amendment: QA-03.2 (Management of Service Users Feedback) covers both positive and negative feedback. Compliments register implied but specific format not mandated — recommend adding to QA-03.2 at next review.</w:t>
      </w:r>
    </w:p>
    <w:p>
      <w:pPr>
        <w:spacing w:before="160" w:after="40"/>
      </w:pPr>
      <w:r>
        <w:rPr>
          <w:rFonts w:ascii="Arial" w:hAnsi="Arial" w:cs="Arial"/>
          <w:b/>
          <w:i w:val="0"/>
          <w:color w:val="E65100"/>
          <w:sz w:val="24"/>
        </w:rPr>
        <w:t>3.  Service User satisfaction (annual)</w:t>
      </w:r>
    </w:p>
    <w:p>
      <w:pPr>
        <w:spacing w:after="80"/>
        <w:ind w:left="0"/>
      </w:pPr>
      <w:r>
        <w:rPr>
          <w:rFonts w:ascii="Arial" w:hAnsi="Arial" w:cs="Arial"/>
          <w:b/>
          <w:i w:val="0"/>
          <w:color w:val="1F4E79"/>
          <w:sz w:val="20"/>
        </w:rPr>
        <w:t>Policy: QA-03.2</w:t>
      </w:r>
    </w:p>
    <w:p>
      <w:pPr>
        <w:spacing w:after="80"/>
        <w:ind w:left="360"/>
      </w:pPr>
      <w:r>
        <w:rPr>
          <w:rFonts w:ascii="Arial" w:hAnsi="Arial" w:cs="Arial"/>
          <w:b w:val="0"/>
          <w:i w:val="0"/>
          <w:color w:val="000000"/>
          <w:sz w:val="20"/>
        </w:rPr>
        <w:t>Recommended amendment: QA-03.2 covers structured feedback gathering. Annual survey is best practice; specific cadence and instrument not mandated in policy — recommend codifying.</w:t>
      </w:r>
    </w:p>
    <w:p>
      <w:pPr>
        <w:spacing w:before="160" w:after="40"/>
      </w:pPr>
      <w:r>
        <w:rPr>
          <w:rFonts w:ascii="Arial" w:hAnsi="Arial" w:cs="Arial"/>
          <w:b/>
          <w:i w:val="0"/>
          <w:color w:val="E65100"/>
          <w:sz w:val="24"/>
        </w:rPr>
        <w:t>4.  Sickness days</w:t>
      </w:r>
    </w:p>
    <w:p>
      <w:pPr>
        <w:spacing w:after="80"/>
        <w:ind w:left="0"/>
      </w:pPr>
      <w:r>
        <w:rPr>
          <w:rFonts w:ascii="Arial" w:hAnsi="Arial" w:cs="Arial"/>
          <w:b/>
          <w:i w:val="0"/>
          <w:color w:val="1F4E79"/>
          <w:sz w:val="20"/>
        </w:rPr>
        <w:t>Policy: HR-29</w:t>
      </w:r>
    </w:p>
    <w:p>
      <w:pPr>
        <w:spacing w:after="80"/>
        <w:ind w:left="360"/>
      </w:pPr>
      <w:r>
        <w:rPr>
          <w:rFonts w:ascii="Arial" w:hAnsi="Arial" w:cs="Arial"/>
          <w:b w:val="0"/>
          <w:i w:val="0"/>
          <w:color w:val="000000"/>
          <w:sz w:val="20"/>
        </w:rPr>
        <w:t>Recommended amendment: HR-29 references workforce continuity. Sickness absence tracking is standard HR practice — policies sampled do not explicitly mandate a sickness-rate metric. Recommend confirming whether a separate Sickness Absence Policy exists.</w:t>
      </w:r>
    </w:p>
    <w:p>
      <w:pPr>
        <w:spacing w:before="160" w:after="40"/>
      </w:pPr>
      <w:r>
        <w:rPr>
          <w:rFonts w:ascii="Arial" w:hAnsi="Arial" w:cs="Arial"/>
          <w:b/>
          <w:i w:val="0"/>
          <w:color w:val="E65100"/>
          <w:sz w:val="24"/>
        </w:rPr>
        <w:t>5.  Safeguarding concerns raised</w:t>
      </w:r>
    </w:p>
    <w:p>
      <w:pPr>
        <w:spacing w:after="80"/>
        <w:ind w:left="0"/>
      </w:pPr>
      <w:r>
        <w:rPr>
          <w:rFonts w:ascii="Arial" w:hAnsi="Arial" w:cs="Arial"/>
          <w:b/>
          <w:i w:val="0"/>
          <w:color w:val="1F4E79"/>
          <w:sz w:val="20"/>
        </w:rPr>
        <w:t>Policy: HS-23, HS-23.1, HS-28, CARE-09</w:t>
      </w:r>
    </w:p>
    <w:p>
      <w:pPr>
        <w:spacing w:after="80"/>
        <w:ind w:left="360"/>
      </w:pPr>
      <w:r>
        <w:rPr>
          <w:rFonts w:ascii="Arial" w:hAnsi="Arial" w:cs="Arial"/>
          <w:b w:val="0"/>
          <w:i w:val="0"/>
          <w:color w:val="000000"/>
          <w:sz w:val="20"/>
        </w:rPr>
        <w:t>Recommended amendment: HS-23 and HS-23.1 require every safeguarding concern to be recorded. HS-28 covers child protection concerns. CARE-09 covers financial abuse. (Note: explicit Safeguarding Register format not mandated in policy — flagged for amendment.)</w:t>
      </w:r>
    </w:p>
    <w:p>
      <w:pPr>
        <w:spacing w:before="160" w:after="40"/>
      </w:pPr>
      <w:r>
        <w:rPr>
          <w:rFonts w:ascii="Arial" w:hAnsi="Arial" w:cs="Arial"/>
          <w:b/>
          <w:i w:val="0"/>
          <w:color w:val="E65100"/>
          <w:sz w:val="24"/>
        </w:rPr>
        <w:t>6.  Statutory notifications due / on time</w:t>
      </w:r>
    </w:p>
    <w:p>
      <w:pPr>
        <w:spacing w:after="80"/>
        <w:ind w:left="0"/>
      </w:pPr>
      <w:r>
        <w:rPr>
          <w:rFonts w:ascii="Arial" w:hAnsi="Arial" w:cs="Arial"/>
          <w:b/>
          <w:i w:val="0"/>
          <w:color w:val="1F4E79"/>
          <w:sz w:val="20"/>
        </w:rPr>
        <w:t>Policy: QA-13, HS-23.1, HS-28</w:t>
      </w:r>
    </w:p>
    <w:p>
      <w:pPr>
        <w:spacing w:after="80"/>
        <w:ind w:left="360"/>
      </w:pPr>
      <w:r>
        <w:rPr>
          <w:rFonts w:ascii="Arial" w:hAnsi="Arial" w:cs="Arial"/>
          <w:b w:val="0"/>
          <w:i w:val="0"/>
          <w:color w:val="000000"/>
          <w:sz w:val="20"/>
        </w:rPr>
        <w:t>Recommended amendment: QA-13 covers statutory notifications under the Patient Safety Act 2023. HS-23.1 covers safeguarding notifications to HSE. HS-28 covers Tusla referrals. (Note: single consolidated register implied but not mandated.)</w:t>
      </w:r>
    </w:p>
    <w:p>
      <w:pPr>
        <w:spacing w:before="160" w:after="40"/>
      </w:pPr>
      <w:r>
        <w:rPr>
          <w:rFonts w:ascii="Arial" w:hAnsi="Arial" w:cs="Arial"/>
          <w:b/>
          <w:i w:val="0"/>
          <w:color w:val="E65100"/>
          <w:sz w:val="24"/>
        </w:rPr>
        <w:t>7.  Open QIPs</w:t>
      </w:r>
    </w:p>
    <w:p>
      <w:pPr>
        <w:spacing w:after="80"/>
        <w:ind w:left="0"/>
      </w:pPr>
      <w:r>
        <w:rPr>
          <w:rFonts w:ascii="Arial" w:hAnsi="Arial" w:cs="Arial"/>
          <w:b/>
          <w:i w:val="0"/>
          <w:color w:val="1F4E79"/>
          <w:sz w:val="20"/>
        </w:rPr>
        <w:t>Policy: QA-22, QA-22.1</w:t>
      </w:r>
    </w:p>
    <w:p>
      <w:pPr>
        <w:spacing w:after="80"/>
        <w:ind w:left="360"/>
      </w:pPr>
      <w:r>
        <w:rPr>
          <w:rFonts w:ascii="Arial" w:hAnsi="Arial" w:cs="Arial"/>
          <w:b w:val="0"/>
          <w:i w:val="0"/>
          <w:color w:val="000000"/>
          <w:sz w:val="20"/>
        </w:rPr>
        <w:t>Recommended amendment: QA-22 and QA-22.1 reference Quality Improvement Plans as the response to audit findings. (Note: consolidated QIP register implied but not mandated as a standalone document.)</w:t>
      </w:r>
    </w:p>
    <w:p>
      <w:pPr>
        <w:spacing w:before="160" w:after="40"/>
      </w:pPr>
      <w:r>
        <w:rPr>
          <w:rFonts w:ascii="Arial" w:hAnsi="Arial" w:cs="Arial"/>
          <w:b/>
          <w:i w:val="0"/>
          <w:color w:val="E65100"/>
          <w:sz w:val="24"/>
        </w:rPr>
        <w:t>8.  QIPs closed by target date</w:t>
      </w:r>
    </w:p>
    <w:p>
      <w:pPr>
        <w:spacing w:after="80"/>
        <w:ind w:left="0"/>
      </w:pPr>
      <w:r>
        <w:rPr>
          <w:rFonts w:ascii="Arial" w:hAnsi="Arial" w:cs="Arial"/>
          <w:b/>
          <w:i w:val="0"/>
          <w:color w:val="1F4E79"/>
          <w:sz w:val="20"/>
        </w:rPr>
        <w:t>Policy: QA-22</w:t>
      </w:r>
    </w:p>
    <w:p>
      <w:pPr>
        <w:spacing w:after="80"/>
        <w:ind w:left="360"/>
      </w:pPr>
      <w:r>
        <w:rPr>
          <w:rFonts w:ascii="Arial" w:hAnsi="Arial" w:cs="Arial"/>
          <w:b w:val="0"/>
          <w:i w:val="0"/>
          <w:color w:val="000000"/>
          <w:sz w:val="20"/>
        </w:rPr>
        <w:t>Recommended amendment: QA-22 requires improvement actions to have target completion and be closed against evidence. SLA cadence implied not mandated.</w:t>
      </w:r>
    </w:p>
    <w:p>
      <w:r>
        <w:br w:type="page"/>
      </w:r>
    </w:p>
    <w:p>
      <w:pPr>
        <w:pStyle w:val="Heading1"/>
        <w:spacing w:before="200" w:after="120"/>
        <w:jc w:val="center"/>
      </w:pPr>
      <w:r>
        <w:rPr>
          <w:rFonts w:ascii="Arial" w:hAnsi="Arial" w:cs="Arial"/>
          <w:b/>
          <w:i w:val="0"/>
          <w:color w:val="1F4E79"/>
          <w:sz w:val="44"/>
        </w:rPr>
        <w:t>Sign-off</w:t>
      </w:r>
    </w:p>
    <w:p>
      <w:pPr>
        <w:spacing w:after="80"/>
        <w:ind w:left="0"/>
        <w:jc w:val="center"/>
      </w:pPr>
      <w:r>
        <w:rPr>
          <w:rFonts w:ascii="Arial" w:hAnsi="Arial" w:cs="Arial"/>
          <w:b w:val="0"/>
          <w:i/>
          <w:color w:val="595959"/>
          <w:sz w:val="22"/>
        </w:rPr>
        <w:t>This Data Source Map is ratified by the CEO and presented to the Clinical Governance Committee as evidence that the QMS is operationalised from the existing policy base. Reviewed annually or when policies are revised.</w:t>
      </w:r>
    </w:p>
    <w:p/>
    <w:p/>
    <w:tbl>
      <w:tblPr>
        <w:tblW w:type="auto" w:w="0"/>
        <w:jc w:val="center"/>
        <w:tblLayout w:type="fixed"/>
        <w:tblLook w:firstColumn="1" w:firstRow="1" w:lastColumn="0" w:lastRow="0" w:noHBand="0" w:noVBand="1" w:val="04A0"/>
      </w:tblPr>
      <w:tblGrid>
        <w:gridCol w:w="4933"/>
        <w:gridCol w:w="4933"/>
      </w:tblGrid>
      <w:tr>
        <w:trPr>
          <w:trHeight w:val="700" w:hRule="atLeast"/>
        </w:trPr>
        <w:tc>
          <w:tcPr>
            <w:tcW w:type="dxa" w:w="2880"/>
            <w:tcBorders>
              <w:top w:val="nil"/>
              <w:left w:val="nil"/>
              <w:bottom w:val="nil"/>
              <w:right w:val="nil"/>
            </w:tcBorders>
          </w:tcPr>
          <w:p>
            <w:r/>
            <w:r>
              <w:rPr>
                <w:rFonts w:ascii="Arial" w:hAnsi="Arial" w:cs="Arial"/>
                <w:b/>
                <w:i w:val="0"/>
                <w:sz w:val="22"/>
              </w:rPr>
              <w:t>Approved by:</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Role: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Signature: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Date: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bl>
    <w:sectPr w:rsidR="00FC693F" w:rsidRPr="0006063C" w:rsidSect="00034616">
      <w:headerReference w:type="default" r:id="rId9"/>
      <w:footerReference w:type="default" r:id="rId10"/>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8"/>
      </w:rPr>
      <w:t xml:space="preserve">Page </w:t>
    </w:r>
    <w:r>
      <w:rPr>
        <w:rFonts w:ascii="Arial" w:hAnsi="Arial" w:cs="Arial"/>
        <w:b w:val="0"/>
        <w:i w:val="0"/>
        <w:color w:val="595959"/>
        <w:sz w:val="18"/>
      </w:rPr>
      <w:fldChar w:fldCharType="begin"/>
      <w:instrText>PAGE</w:instrText>
      <w:fldChar w:fldCharType="end"/>
    </w:r>
    <w:r>
      <w:rPr>
        <w:rFonts w:ascii="Arial" w:hAnsi="Arial" w:cs="Arial"/>
        <w:b w:val="0"/>
        <w:i w:val="0"/>
        <w:color w:val="595959"/>
        <w:sz w:val="18"/>
      </w:rPr>
      <w:t xml:space="preserve">   ·   KPI Data Source Map  ·  Issued May 2026  ·  Shauna Delaney, CEO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b/>
        <w:i w:val="0"/>
        <w:color w:val="1F4E79"/>
        <w:sz w:val="18"/>
      </w:rPr>
      <w:t>LIBERTY LIVING HOMECARE  ·  KPI Data Source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