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ind w:left="0"/>
        <w:jc w:val="center"/>
      </w:pPr>
      <w:r>
        <w:rPr>
          <w:rFonts w:ascii="Arial" w:hAnsi="Arial" w:cs="Arial"/>
          <w:b/>
          <w:i w:val="0"/>
          <w:color w:val="595959"/>
          <w:sz w:val="28"/>
        </w:rPr>
        <w:t>LIBERTY LIVING HOMECARE</w:t>
      </w:r>
    </w:p>
    <w:p>
      <w:pPr>
        <w:spacing w:after="40"/>
        <w:ind w:left="0"/>
        <w:jc w:val="center"/>
      </w:pPr>
      <w:r>
        <w:rPr>
          <w:rFonts w:ascii="Arial" w:hAnsi="Arial" w:cs="Arial"/>
          <w:b/>
          <w:i w:val="0"/>
          <w:color w:val="1F4E79"/>
          <w:sz w:val="60"/>
        </w:rPr>
        <w:t>KPI TARGETS &amp; BASELINES</w:t>
      </w:r>
    </w:p>
    <w:p>
      <w:pPr>
        <w:spacing w:after="360"/>
        <w:ind w:left="0"/>
        <w:jc w:val="center"/>
      </w:pPr>
      <w:r>
        <w:rPr>
          <w:rFonts w:ascii="Arial" w:hAnsi="Arial" w:cs="Arial"/>
          <w:b w:val="0"/>
          <w:i/>
          <w:color w:val="404040"/>
          <w:sz w:val="26"/>
        </w:rPr>
        <w:t>All 25 KPIs translated into Liberty Living's actual operational numbers</w:t>
      </w:r>
    </w:p>
    <w:p/>
    <w:p/>
    <w:p/>
    <w:tbl>
      <w:tblPr>
        <w:tblW w:type="auto" w:w="0"/>
        <w:tblLook w:firstColumn="1" w:firstRow="1" w:lastColumn="0" w:lastRow="0" w:noHBand="0" w:noVBand="1" w:val="04A0"/>
      </w:tblPr>
      <w:tblGrid>
        <w:gridCol w:w="9638"/>
      </w:tblGrid>
      <w:tr>
        <w:tc>
          <w:tcPr>
            <w:tcW w:type="dxa" w:w="9638"/>
            <w:tcBorders>
              <w:top w:val="single" w:sz="4" w:color="E0E0E0"/>
              <w:left w:val="single" w:sz="24" w:color="1F4E79"/>
              <w:bottom w:val="single" w:sz="4" w:color="E0E0E0"/>
              <w:right w:val="single" w:sz="4" w:color="E0E0E0"/>
            </w:tcBorders>
            <w:shd w:val="clear" w:color="auto" w:fill="EAF2FA"/>
          </w:tcPr>
          <w:p>
            <w:pPr>
              <w:spacing w:after="40"/>
            </w:pPr>
            <w:r/>
            <w:r>
              <w:rPr>
                <w:rFonts w:ascii="Arial" w:hAnsi="Arial" w:cs="Arial"/>
                <w:b/>
                <w:i w:val="0"/>
                <w:color w:val="1F4E79"/>
                <w:sz w:val="20"/>
              </w:rPr>
              <w:t>What this document does.</w:t>
            </w:r>
          </w:p>
          <w:p>
            <w:pPr>
              <w:spacing w:after="0"/>
            </w:pPr>
            <w:r>
              <w:rPr>
                <w:rFonts w:ascii="Arial" w:hAnsi="Arial" w:cs="Arial"/>
                <w:b w:val="0"/>
                <w:i w:val="0"/>
                <w:sz w:val="22"/>
              </w:rPr>
              <w:t>Takes the 25 KPIs in the QMS architecture and translates each one from an abstract percentage into a concrete number based on Liberty Living's actual delivery volume — 19,000 hours per month, ~610 hours per day, 135 staff, ~400 Service Users. Use it to ratify the locked KPI set with the CGC, brief EMT and the Board on what good performance looks like at your scale, and demonstrate to inspectors that quality targets are operationalised, not aspirational.</w:t>
            </w:r>
          </w:p>
        </w:tc>
      </w:tr>
    </w:tbl>
    <w:p/>
    <w:p/>
    <w:p/>
    <w:p/>
    <w:p>
      <w:pPr>
        <w:spacing w:after="80"/>
        <w:ind w:left="0"/>
        <w:jc w:val="center"/>
      </w:pPr>
      <w:r>
        <w:rPr>
          <w:rFonts w:ascii="Arial" w:hAnsi="Arial" w:cs="Arial"/>
          <w:b/>
          <w:i w:val="0"/>
          <w:color w:val="000000"/>
          <w:sz w:val="22"/>
        </w:rPr>
        <w:t>Issued by: Shauna Delaney, CEO</w:t>
      </w:r>
    </w:p>
    <w:p>
      <w:pPr>
        <w:spacing w:after="80"/>
        <w:ind w:left="0"/>
        <w:jc w:val="center"/>
      </w:pPr>
      <w:r>
        <w:rPr>
          <w:rFonts w:ascii="Arial" w:hAnsi="Arial" w:cs="Arial"/>
          <w:b w:val="0"/>
          <w:i w:val="0"/>
          <w:color w:val="000000"/>
          <w:sz w:val="22"/>
        </w:rPr>
        <w:t>Issue date: May 2026  ·  Version 1.0</w:t>
      </w:r>
    </w:p>
    <w:p>
      <w:pPr>
        <w:spacing w:after="80"/>
        <w:ind w:left="0"/>
        <w:jc w:val="center"/>
      </w:pPr>
      <w:r>
        <w:rPr>
          <w:rFonts w:ascii="Arial" w:hAnsi="Arial" w:cs="Arial"/>
          <w:b w:val="0"/>
          <w:i/>
          <w:color w:val="595959"/>
          <w:sz w:val="20"/>
        </w:rPr>
        <w:t>Calibrated against: actual monthly delivery volume as confirmed by CEO</w:t>
      </w:r>
    </w:p>
    <w:p>
      <w:r>
        <w:br w:type="page"/>
      </w:r>
    </w:p>
    <w:p>
      <w:pPr>
        <w:pStyle w:val="Heading1"/>
        <w:spacing w:before="200" w:after="120"/>
      </w:pPr>
      <w:r>
        <w:rPr>
          <w:rFonts w:ascii="Arial" w:hAnsi="Arial" w:cs="Arial"/>
          <w:b/>
          <w:i w:val="0"/>
          <w:color w:val="1F4E79"/>
          <w:sz w:val="44"/>
        </w:rPr>
        <w:t>1.  Operational baseline</w:t>
      </w:r>
    </w:p>
    <w:p>
      <w:pPr>
        <w:spacing w:after="80"/>
        <w:ind w:left="0"/>
      </w:pPr>
      <w:r>
        <w:rPr>
          <w:rFonts w:ascii="Arial" w:hAnsi="Arial" w:cs="Arial"/>
          <w:b w:val="0"/>
          <w:i/>
          <w:color w:val="595959"/>
          <w:sz w:val="22"/>
        </w:rPr>
        <w:t>These are the denominators that drive every KPI threshold. Confirmed by the CEO from current CRM data; should be re-validated quarterly and at year-end.</w:t>
      </w:r>
    </w:p>
    <w:tbl>
      <w:tblPr>
        <w:tblStyle w:val="LightGrid-Accent1"/>
        <w:tblW w:type="auto" w:w="0"/>
        <w:tblLook w:firstColumn="1" w:firstRow="1" w:lastColumn="0" w:lastRow="0" w:noHBand="0" w:noVBand="1" w:val="04A0"/>
      </w:tblPr>
      <w:tblGrid>
        <w:gridCol w:w="3213"/>
        <w:gridCol w:w="3213"/>
        <w:gridCol w:w="3213"/>
      </w:tblGrid>
      <w:tr>
        <w:tc>
          <w:tcPr>
            <w:tcW w:type="dxa" w:w="4032"/>
            <w:shd w:val="clear" w:color="auto" w:fill="1F4E79"/>
          </w:tcPr>
          <w:p>
            <w:r/>
            <w:r>
              <w:rPr>
                <w:rFonts w:ascii="Arial" w:hAnsi="Arial" w:cs="Arial"/>
                <w:b/>
                <w:i w:val="0"/>
                <w:color w:val="FFFFFF"/>
                <w:sz w:val="20"/>
              </w:rPr>
              <w:t>Denominator</w:t>
            </w:r>
          </w:p>
        </w:tc>
        <w:tc>
          <w:tcPr>
            <w:tcW w:type="dxa" w:w="2304"/>
            <w:shd w:val="clear" w:color="auto" w:fill="1F4E79"/>
          </w:tcPr>
          <w:p>
            <w:r/>
            <w:r>
              <w:rPr>
                <w:rFonts w:ascii="Arial" w:hAnsi="Arial" w:cs="Arial"/>
                <w:b/>
                <w:i w:val="0"/>
                <w:color w:val="FFFFFF"/>
                <w:sz w:val="20"/>
              </w:rPr>
              <w:t>Value</w:t>
            </w:r>
          </w:p>
        </w:tc>
        <w:tc>
          <w:tcPr>
            <w:tcW w:type="dxa" w:w="3744"/>
            <w:shd w:val="clear" w:color="auto" w:fill="1F4E79"/>
          </w:tcPr>
          <w:p>
            <w:r/>
            <w:r>
              <w:rPr>
                <w:rFonts w:ascii="Arial" w:hAnsi="Arial" w:cs="Arial"/>
                <w:b/>
                <w:i w:val="0"/>
                <w:color w:val="FFFFFF"/>
                <w:sz w:val="20"/>
              </w:rPr>
              <w:t>Derivation / source</w:t>
            </w:r>
          </w:p>
        </w:tc>
      </w:tr>
      <w:tr>
        <w:tc>
          <w:tcPr>
            <w:tcW w:type="dxa" w:w="4032"/>
          </w:tcPr>
          <w:p>
            <w:r/>
            <w:r>
              <w:rPr>
                <w:rFonts w:ascii="Arial" w:hAnsi="Arial" w:cs="Arial"/>
                <w:b/>
                <w:i w:val="0"/>
                <w:sz w:val="20"/>
              </w:rPr>
              <w:t>Hours delivered per month</w:t>
            </w:r>
          </w:p>
        </w:tc>
        <w:tc>
          <w:tcPr>
            <w:tcW w:type="dxa" w:w="2304"/>
          </w:tcPr>
          <w:p>
            <w:r/>
            <w:r>
              <w:rPr>
                <w:rFonts w:ascii="Arial" w:hAnsi="Arial" w:cs="Arial"/>
                <w:b/>
                <w:i w:val="0"/>
                <w:color w:val="1F4E79"/>
                <w:sz w:val="22"/>
              </w:rPr>
              <w:t>19,000</w:t>
            </w:r>
          </w:p>
        </w:tc>
        <w:tc>
          <w:tcPr>
            <w:tcW w:type="dxa" w:w="3744"/>
          </w:tcPr>
          <w:p>
            <w:r/>
            <w:r>
              <w:rPr>
                <w:rFonts w:ascii="Arial" w:hAnsi="Arial" w:cs="Arial"/>
                <w:b w:val="0"/>
                <w:i/>
                <w:color w:val="595959"/>
                <w:sz w:val="20"/>
              </w:rPr>
              <w:t>Given — confirmed by CEO</w:t>
            </w:r>
          </w:p>
        </w:tc>
      </w:tr>
      <w:tr>
        <w:tc>
          <w:tcPr>
            <w:tcW w:type="dxa" w:w="4032"/>
          </w:tcPr>
          <w:p>
            <w:r/>
            <w:r>
              <w:rPr>
                <w:rFonts w:ascii="Arial" w:hAnsi="Arial" w:cs="Arial"/>
                <w:b/>
                <w:i w:val="0"/>
                <w:sz w:val="20"/>
              </w:rPr>
              <w:t>Hours delivered per day (average)</w:t>
            </w:r>
          </w:p>
        </w:tc>
        <w:tc>
          <w:tcPr>
            <w:tcW w:type="dxa" w:w="2304"/>
          </w:tcPr>
          <w:p>
            <w:r/>
            <w:r>
              <w:rPr>
                <w:rFonts w:ascii="Arial" w:hAnsi="Arial" w:cs="Arial"/>
                <w:b/>
                <w:i w:val="0"/>
                <w:color w:val="1F4E79"/>
                <w:sz w:val="22"/>
              </w:rPr>
              <w:t>610</w:t>
            </w:r>
          </w:p>
        </w:tc>
        <w:tc>
          <w:tcPr>
            <w:tcW w:type="dxa" w:w="3744"/>
          </w:tcPr>
          <w:p>
            <w:r/>
            <w:r>
              <w:rPr>
                <w:rFonts w:ascii="Arial" w:hAnsi="Arial" w:cs="Arial"/>
                <w:b w:val="0"/>
                <w:i/>
                <w:color w:val="595959"/>
                <w:sz w:val="20"/>
              </w:rPr>
              <w:t>Given — confirmed by CEO</w:t>
            </w:r>
          </w:p>
        </w:tc>
      </w:tr>
      <w:tr>
        <w:tc>
          <w:tcPr>
            <w:tcW w:type="dxa" w:w="4032"/>
          </w:tcPr>
          <w:p>
            <w:r/>
            <w:r>
              <w:rPr>
                <w:rFonts w:ascii="Arial" w:hAnsi="Arial" w:cs="Arial"/>
                <w:b/>
                <w:i w:val="0"/>
                <w:sz w:val="20"/>
              </w:rPr>
              <w:t>Operational days per month</w:t>
            </w:r>
          </w:p>
        </w:tc>
        <w:tc>
          <w:tcPr>
            <w:tcW w:type="dxa" w:w="2304"/>
          </w:tcPr>
          <w:p>
            <w:r/>
            <w:r>
              <w:rPr>
                <w:rFonts w:ascii="Arial" w:hAnsi="Arial" w:cs="Arial"/>
                <w:b/>
                <w:i w:val="0"/>
                <w:color w:val="1F4E79"/>
                <w:sz w:val="22"/>
              </w:rPr>
              <w:t>~31.1</w:t>
            </w:r>
          </w:p>
        </w:tc>
        <w:tc>
          <w:tcPr>
            <w:tcW w:type="dxa" w:w="3744"/>
          </w:tcPr>
          <w:p>
            <w:r/>
            <w:r>
              <w:rPr>
                <w:rFonts w:ascii="Arial" w:hAnsi="Arial" w:cs="Arial"/>
                <w:b w:val="0"/>
                <w:i/>
                <w:color w:val="595959"/>
                <w:sz w:val="20"/>
              </w:rPr>
              <w:t>19,000 ÷ 610</w:t>
            </w:r>
          </w:p>
        </w:tc>
      </w:tr>
      <w:tr>
        <w:tc>
          <w:tcPr>
            <w:tcW w:type="dxa" w:w="4032"/>
          </w:tcPr>
          <w:p>
            <w:r/>
            <w:r>
              <w:rPr>
                <w:rFonts w:ascii="Arial" w:hAnsi="Arial" w:cs="Arial"/>
                <w:b/>
                <w:i w:val="0"/>
                <w:sz w:val="20"/>
              </w:rPr>
              <w:t>Active Service Users</w:t>
            </w:r>
          </w:p>
        </w:tc>
        <w:tc>
          <w:tcPr>
            <w:tcW w:type="dxa" w:w="2304"/>
          </w:tcPr>
          <w:p>
            <w:r/>
            <w:r>
              <w:rPr>
                <w:rFonts w:ascii="Arial" w:hAnsi="Arial" w:cs="Arial"/>
                <w:b/>
                <w:i w:val="0"/>
                <w:color w:val="1F4E79"/>
                <w:sz w:val="22"/>
              </w:rPr>
              <w:t>400</w:t>
            </w:r>
          </w:p>
        </w:tc>
        <w:tc>
          <w:tcPr>
            <w:tcW w:type="dxa" w:w="3744"/>
          </w:tcPr>
          <w:p>
            <w:r/>
            <w:r>
              <w:rPr>
                <w:rFonts w:ascii="Arial" w:hAnsi="Arial" w:cs="Arial"/>
                <w:b w:val="0"/>
                <w:i/>
                <w:color w:val="595959"/>
                <w:sz w:val="20"/>
              </w:rPr>
              <w:t>Statement of Purpose (GOV-21)</w:t>
            </w:r>
          </w:p>
        </w:tc>
      </w:tr>
      <w:tr>
        <w:tc>
          <w:tcPr>
            <w:tcW w:type="dxa" w:w="4032"/>
          </w:tcPr>
          <w:p>
            <w:r/>
            <w:r>
              <w:rPr>
                <w:rFonts w:ascii="Arial" w:hAnsi="Arial" w:cs="Arial"/>
                <w:b/>
                <w:i w:val="0"/>
                <w:sz w:val="20"/>
              </w:rPr>
              <w:t>Active staff</w:t>
            </w:r>
          </w:p>
        </w:tc>
        <w:tc>
          <w:tcPr>
            <w:tcW w:type="dxa" w:w="2304"/>
          </w:tcPr>
          <w:p>
            <w:r/>
            <w:r>
              <w:rPr>
                <w:rFonts w:ascii="Arial" w:hAnsi="Arial" w:cs="Arial"/>
                <w:b/>
                <w:i w:val="0"/>
                <w:color w:val="1F4E79"/>
                <w:sz w:val="22"/>
              </w:rPr>
              <w:t>135</w:t>
            </w:r>
          </w:p>
        </w:tc>
        <w:tc>
          <w:tcPr>
            <w:tcW w:type="dxa" w:w="3744"/>
          </w:tcPr>
          <w:p>
            <w:r/>
            <w:r>
              <w:rPr>
                <w:rFonts w:ascii="Arial" w:hAnsi="Arial" w:cs="Arial"/>
                <w:b w:val="0"/>
                <w:i/>
                <w:color w:val="595959"/>
                <w:sz w:val="20"/>
              </w:rPr>
              <w:t>Given — confirmed by CEO</w:t>
            </w:r>
          </w:p>
        </w:tc>
      </w:tr>
      <w:tr>
        <w:tc>
          <w:tcPr>
            <w:tcW w:type="dxa" w:w="4032"/>
          </w:tcPr>
          <w:p>
            <w:r/>
            <w:r>
              <w:rPr>
                <w:rFonts w:ascii="Arial" w:hAnsi="Arial" w:cs="Arial"/>
                <w:b/>
                <w:i w:val="0"/>
                <w:sz w:val="20"/>
              </w:rPr>
              <w:t>Hours per Service User per month</w:t>
            </w:r>
          </w:p>
        </w:tc>
        <w:tc>
          <w:tcPr>
            <w:tcW w:type="dxa" w:w="2304"/>
          </w:tcPr>
          <w:p>
            <w:r/>
            <w:r>
              <w:rPr>
                <w:rFonts w:ascii="Arial" w:hAnsi="Arial" w:cs="Arial"/>
                <w:b/>
                <w:i w:val="0"/>
                <w:color w:val="1F4E79"/>
                <w:sz w:val="22"/>
              </w:rPr>
              <w:t>47.5</w:t>
            </w:r>
          </w:p>
        </w:tc>
        <w:tc>
          <w:tcPr>
            <w:tcW w:type="dxa" w:w="3744"/>
          </w:tcPr>
          <w:p>
            <w:r/>
            <w:r>
              <w:rPr>
                <w:rFonts w:ascii="Arial" w:hAnsi="Arial" w:cs="Arial"/>
                <w:b w:val="0"/>
                <w:i/>
                <w:color w:val="595959"/>
                <w:sz w:val="20"/>
              </w:rPr>
              <w:t>19,000 ÷ 400</w:t>
            </w:r>
          </w:p>
        </w:tc>
      </w:tr>
      <w:tr>
        <w:tc>
          <w:tcPr>
            <w:tcW w:type="dxa" w:w="4032"/>
          </w:tcPr>
          <w:p>
            <w:r/>
            <w:r>
              <w:rPr>
                <w:rFonts w:ascii="Arial" w:hAnsi="Arial" w:cs="Arial"/>
                <w:b/>
                <w:i w:val="0"/>
                <w:sz w:val="20"/>
              </w:rPr>
              <w:t>Hours per Service User per week</w:t>
            </w:r>
          </w:p>
        </w:tc>
        <w:tc>
          <w:tcPr>
            <w:tcW w:type="dxa" w:w="2304"/>
          </w:tcPr>
          <w:p>
            <w:r/>
            <w:r>
              <w:rPr>
                <w:rFonts w:ascii="Arial" w:hAnsi="Arial" w:cs="Arial"/>
                <w:b/>
                <w:i w:val="0"/>
                <w:color w:val="1F4E79"/>
                <w:sz w:val="22"/>
              </w:rPr>
              <w:t>~11.0</w:t>
            </w:r>
          </w:p>
        </w:tc>
        <w:tc>
          <w:tcPr>
            <w:tcW w:type="dxa" w:w="3744"/>
          </w:tcPr>
          <w:p>
            <w:r/>
            <w:r>
              <w:rPr>
                <w:rFonts w:ascii="Arial" w:hAnsi="Arial" w:cs="Arial"/>
                <w:b w:val="0"/>
                <w:i/>
                <w:color w:val="595959"/>
                <w:sz w:val="20"/>
              </w:rPr>
              <w:t>Monthly ÷ 4.33</w:t>
            </w:r>
          </w:p>
        </w:tc>
      </w:tr>
      <w:tr>
        <w:tc>
          <w:tcPr>
            <w:tcW w:type="dxa" w:w="4032"/>
          </w:tcPr>
          <w:p>
            <w:r/>
            <w:r>
              <w:rPr>
                <w:rFonts w:ascii="Arial" w:hAnsi="Arial" w:cs="Arial"/>
                <w:b/>
                <w:i w:val="0"/>
                <w:sz w:val="20"/>
              </w:rPr>
              <w:t>Hours per staff per month</w:t>
            </w:r>
          </w:p>
        </w:tc>
        <w:tc>
          <w:tcPr>
            <w:tcW w:type="dxa" w:w="2304"/>
          </w:tcPr>
          <w:p>
            <w:r/>
            <w:r>
              <w:rPr>
                <w:rFonts w:ascii="Arial" w:hAnsi="Arial" w:cs="Arial"/>
                <w:b/>
                <w:i w:val="0"/>
                <w:color w:val="1F4E79"/>
                <w:sz w:val="22"/>
              </w:rPr>
              <w:t>140.7</w:t>
            </w:r>
          </w:p>
        </w:tc>
        <w:tc>
          <w:tcPr>
            <w:tcW w:type="dxa" w:w="3744"/>
          </w:tcPr>
          <w:p>
            <w:r/>
            <w:r>
              <w:rPr>
                <w:rFonts w:ascii="Arial" w:hAnsi="Arial" w:cs="Arial"/>
                <w:b w:val="0"/>
                <w:i/>
                <w:color w:val="595959"/>
                <w:sz w:val="20"/>
              </w:rPr>
              <w:t>19,000 ÷ 135</w:t>
            </w:r>
          </w:p>
        </w:tc>
      </w:tr>
      <w:tr>
        <w:tc>
          <w:tcPr>
            <w:tcW w:type="dxa" w:w="4032"/>
          </w:tcPr>
          <w:p>
            <w:r/>
            <w:r>
              <w:rPr>
                <w:rFonts w:ascii="Arial" w:hAnsi="Arial" w:cs="Arial"/>
                <w:b/>
                <w:i w:val="0"/>
                <w:sz w:val="20"/>
              </w:rPr>
              <w:t>Hours per staff per week</w:t>
            </w:r>
          </w:p>
        </w:tc>
        <w:tc>
          <w:tcPr>
            <w:tcW w:type="dxa" w:w="2304"/>
          </w:tcPr>
          <w:p>
            <w:r/>
            <w:r>
              <w:rPr>
                <w:rFonts w:ascii="Arial" w:hAnsi="Arial" w:cs="Arial"/>
                <w:b/>
                <w:i w:val="0"/>
                <w:color w:val="1F4E79"/>
                <w:sz w:val="22"/>
              </w:rPr>
              <w:t>~32.5</w:t>
            </w:r>
          </w:p>
        </w:tc>
        <w:tc>
          <w:tcPr>
            <w:tcW w:type="dxa" w:w="3744"/>
          </w:tcPr>
          <w:p>
            <w:r/>
            <w:r>
              <w:rPr>
                <w:rFonts w:ascii="Arial" w:hAnsi="Arial" w:cs="Arial"/>
                <w:b w:val="0"/>
                <w:i/>
                <w:color w:val="595959"/>
                <w:sz w:val="20"/>
              </w:rPr>
              <w:t>Suggests significant part-time staffing</w:t>
            </w:r>
          </w:p>
        </w:tc>
      </w:tr>
      <w:tr>
        <w:tc>
          <w:tcPr>
            <w:tcW w:type="dxa" w:w="4032"/>
          </w:tcPr>
          <w:p>
            <w:r/>
            <w:r>
              <w:rPr>
                <w:rFonts w:ascii="Arial" w:hAnsi="Arial" w:cs="Arial"/>
                <w:b/>
                <w:i w:val="0"/>
                <w:sz w:val="20"/>
              </w:rPr>
              <w:t>Estimated visits per month*</w:t>
            </w:r>
          </w:p>
        </w:tc>
        <w:tc>
          <w:tcPr>
            <w:tcW w:type="dxa" w:w="2304"/>
          </w:tcPr>
          <w:p>
            <w:r/>
            <w:r>
              <w:rPr>
                <w:rFonts w:ascii="Arial" w:hAnsi="Arial" w:cs="Arial"/>
                <w:b/>
                <w:i w:val="0"/>
                <w:color w:val="1F4E79"/>
                <w:sz w:val="22"/>
              </w:rPr>
              <w:t>25,333</w:t>
            </w:r>
          </w:p>
        </w:tc>
        <w:tc>
          <w:tcPr>
            <w:tcW w:type="dxa" w:w="3744"/>
          </w:tcPr>
          <w:p>
            <w:r/>
            <w:r>
              <w:rPr>
                <w:rFonts w:ascii="Arial" w:hAnsi="Arial" w:cs="Arial"/>
                <w:b w:val="0"/>
                <w:i/>
                <w:color w:val="595959"/>
                <w:sz w:val="20"/>
              </w:rPr>
              <w:t>19,000 hrs ÷ 0.75 hrs/visit avg</w:t>
            </w:r>
          </w:p>
        </w:tc>
      </w:tr>
      <w:tr>
        <w:tc>
          <w:tcPr>
            <w:tcW w:type="dxa" w:w="4032"/>
          </w:tcPr>
          <w:p>
            <w:r/>
            <w:r>
              <w:rPr>
                <w:rFonts w:ascii="Arial" w:hAnsi="Arial" w:cs="Arial"/>
                <w:b/>
                <w:i w:val="0"/>
                <w:sz w:val="20"/>
              </w:rPr>
              <w:t>Estimated visits per day*</w:t>
            </w:r>
          </w:p>
        </w:tc>
        <w:tc>
          <w:tcPr>
            <w:tcW w:type="dxa" w:w="2304"/>
          </w:tcPr>
          <w:p>
            <w:r/>
            <w:r>
              <w:rPr>
                <w:rFonts w:ascii="Arial" w:hAnsi="Arial" w:cs="Arial"/>
                <w:b/>
                <w:i w:val="0"/>
                <w:color w:val="1F4E79"/>
                <w:sz w:val="22"/>
              </w:rPr>
              <w:t>813</w:t>
            </w:r>
          </w:p>
        </w:tc>
        <w:tc>
          <w:tcPr>
            <w:tcW w:type="dxa" w:w="3744"/>
          </w:tcPr>
          <w:p>
            <w:r/>
            <w:r>
              <w:rPr>
                <w:rFonts w:ascii="Arial" w:hAnsi="Arial" w:cs="Arial"/>
                <w:b w:val="0"/>
                <w:i/>
                <w:color w:val="595959"/>
                <w:sz w:val="20"/>
              </w:rPr>
              <w:t>25,333 ÷ 31.1 days</w:t>
            </w:r>
          </w:p>
        </w:tc>
      </w:tr>
      <w:tr>
        <w:tc>
          <w:tcPr>
            <w:tcW w:type="dxa" w:w="4032"/>
          </w:tcPr>
          <w:p>
            <w:r/>
            <w:r>
              <w:rPr>
                <w:rFonts w:ascii="Arial" w:hAnsi="Arial" w:cs="Arial"/>
                <w:b/>
                <w:i w:val="0"/>
                <w:sz w:val="20"/>
              </w:rPr>
              <w:t>Estimated medication prompts/month*</w:t>
            </w:r>
          </w:p>
        </w:tc>
        <w:tc>
          <w:tcPr>
            <w:tcW w:type="dxa" w:w="2304"/>
          </w:tcPr>
          <w:p>
            <w:r/>
            <w:r>
              <w:rPr>
                <w:rFonts w:ascii="Arial" w:hAnsi="Arial" w:cs="Arial"/>
                <w:b/>
                <w:i w:val="0"/>
                <w:color w:val="1F4E79"/>
                <w:sz w:val="22"/>
              </w:rPr>
              <w:t>15,200</w:t>
            </w:r>
          </w:p>
        </w:tc>
        <w:tc>
          <w:tcPr>
            <w:tcW w:type="dxa" w:w="3744"/>
          </w:tcPr>
          <w:p>
            <w:r/>
            <w:r>
              <w:rPr>
                <w:rFonts w:ascii="Arial" w:hAnsi="Arial" w:cs="Arial"/>
                <w:b w:val="0"/>
                <w:i/>
                <w:color w:val="595959"/>
                <w:sz w:val="20"/>
              </w:rPr>
              <w:t>60% of visits include a prompt (assumed)</w:t>
            </w:r>
          </w:p>
        </w:tc>
      </w:tr>
      <w:tr>
        <w:tc>
          <w:tcPr>
            <w:tcW w:type="dxa" w:w="4032"/>
          </w:tcPr>
          <w:p>
            <w:r/>
            <w:r>
              <w:rPr>
                <w:rFonts w:ascii="Arial" w:hAnsi="Arial" w:cs="Arial"/>
                <w:b/>
                <w:i w:val="0"/>
                <w:sz w:val="20"/>
              </w:rPr>
              <w:t>Available staff working days/month</w:t>
            </w:r>
          </w:p>
        </w:tc>
        <w:tc>
          <w:tcPr>
            <w:tcW w:type="dxa" w:w="2304"/>
          </w:tcPr>
          <w:p>
            <w:r/>
            <w:r>
              <w:rPr>
                <w:rFonts w:ascii="Arial" w:hAnsi="Arial" w:cs="Arial"/>
                <w:b/>
                <w:i w:val="0"/>
                <w:color w:val="1F4E79"/>
                <w:sz w:val="22"/>
              </w:rPr>
              <w:t>2,970</w:t>
            </w:r>
          </w:p>
        </w:tc>
        <w:tc>
          <w:tcPr>
            <w:tcW w:type="dxa" w:w="3744"/>
          </w:tcPr>
          <w:p>
            <w:r/>
            <w:r>
              <w:rPr>
                <w:rFonts w:ascii="Arial" w:hAnsi="Arial" w:cs="Arial"/>
                <w:b w:val="0"/>
                <w:i/>
                <w:color w:val="595959"/>
                <w:sz w:val="20"/>
              </w:rPr>
              <w:t>135 staff × 22 working days</w:t>
            </w:r>
          </w:p>
        </w:tc>
      </w:tr>
    </w:tbl>
    <w:p/>
    <w:tbl>
      <w:tblPr>
        <w:tblW w:type="auto" w:w="0"/>
        <w:tblLook w:firstColumn="1" w:firstRow="1" w:lastColumn="0" w:lastRow="0" w:noHBand="0" w:noVBand="1" w:val="04A0"/>
      </w:tblPr>
      <w:tblGrid>
        <w:gridCol w:w="9638"/>
      </w:tblGrid>
      <w:tr>
        <w:tc>
          <w:tcPr>
            <w:tcW w:type="dxa" w:w="9638"/>
            <w:tcBorders>
              <w:top w:val="single" w:sz="4" w:color="E0E0E0"/>
              <w:left w:val="single" w:sz="24" w:color="C62828"/>
              <w:bottom w:val="single" w:sz="4" w:color="E0E0E0"/>
              <w:right w:val="single" w:sz="4" w:color="E0E0E0"/>
            </w:tcBorders>
            <w:shd w:val="clear" w:color="auto" w:fill="FFEBEE"/>
          </w:tcPr>
          <w:p>
            <w:pPr>
              <w:spacing w:after="40"/>
            </w:pPr>
            <w:r/>
            <w:r>
              <w:rPr>
                <w:rFonts w:ascii="Arial" w:hAnsi="Arial" w:cs="Arial"/>
                <w:b/>
                <w:i w:val="0"/>
                <w:color w:val="C62828"/>
                <w:sz w:val="20"/>
              </w:rPr>
              <w:t>* Two assumptions to validate from CRM data.</w:t>
            </w:r>
          </w:p>
          <w:p>
            <w:pPr>
              <w:spacing w:after="0"/>
            </w:pPr>
            <w:r>
              <w:rPr>
                <w:rFonts w:ascii="Arial" w:hAnsi="Arial" w:cs="Arial"/>
                <w:b w:val="0"/>
                <w:i w:val="0"/>
                <w:sz w:val="22"/>
              </w:rPr>
              <w:t>First, average visit length of 45 minutes. If your actual is closer to 30 min, all visit counts increase by 50%; if closer to 60 min, they decrease by 25%. Second, that 60% of visits include a medication prompt. Pull the actual prevalence from CRM before locking the medication-error KPI threshold. Both assumptions are easy to update — they only affect the visit-based and medication-prompt-based KPIs.</w:t>
            </w:r>
          </w:p>
        </w:tc>
      </w:tr>
    </w:tbl>
    <w:p>
      <w:r>
        <w:br w:type="page"/>
      </w:r>
    </w:p>
    <w:p>
      <w:pPr>
        <w:pStyle w:val="Heading1"/>
        <w:spacing w:before="200" w:after="120"/>
      </w:pPr>
      <w:r>
        <w:rPr>
          <w:rFonts w:ascii="Arial" w:hAnsi="Arial" w:cs="Arial"/>
          <w:b/>
          <w:i w:val="0"/>
          <w:color w:val="2E7D32"/>
          <w:sz w:val="44"/>
        </w:rPr>
        <w:t>Service Delivery</w:t>
      </w:r>
    </w:p>
    <w:p>
      <w:pPr>
        <w:spacing w:after="80"/>
        <w:ind w:left="0"/>
      </w:pPr>
      <w:r>
        <w:rPr>
          <w:rFonts w:ascii="Arial" w:hAnsi="Arial" w:cs="Arial"/>
          <w:b w:val="0"/>
          <w:i/>
          <w:color w:val="595959"/>
          <w:sz w:val="22"/>
        </w:rPr>
        <w:t>4 KPIs in this category.</w:t>
      </w:r>
    </w:p>
    <w:p/>
    <w:p>
      <w:pPr>
        <w:spacing w:before="160" w:after="40"/>
      </w:pPr>
      <w:r>
        <w:rPr>
          <w:rFonts w:ascii="Arial" w:hAnsi="Arial" w:cs="Arial"/>
          <w:b/>
          <w:i w:val="0"/>
          <w:color w:val="2E7D32"/>
          <w:sz w:val="28"/>
        </w:rPr>
        <w:t>Visit completion rate</w:t>
      </w:r>
    </w:p>
    <w:p>
      <w:pPr>
        <w:spacing w:after="80"/>
      </w:pPr>
      <w:r>
        <w:rPr>
          <w:rFonts w:ascii="Arial" w:hAnsi="Arial" w:cs="Arial"/>
          <w:b/>
          <w:i w:val="0"/>
          <w:color w:val="595959"/>
          <w:sz w:val="20"/>
        </w:rPr>
        <w:t xml:space="preserve">Generic threshold: </w:t>
      </w:r>
      <w:r>
        <w:rPr>
          <w:rFonts w:ascii="Arial" w:hAnsi="Arial" w:cs="Arial"/>
          <w:b w:val="0"/>
          <w:i/>
          <w:color w:val="595959"/>
          <w:sz w:val="20"/>
        </w:rPr>
        <w:t>≥99% / 97-98.9% / &lt;97%</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≥25,080 visits delivered per month (max ≤253 missed)</w:t>
            </w:r>
          </w:p>
        </w:tc>
        <w:tc>
          <w:tcPr>
            <w:tcW w:type="dxa" w:w="3600"/>
            <w:shd w:val="clear" w:color="auto" w:fill="FFF3E0"/>
          </w:tcPr>
          <w:p>
            <w:r/>
            <w:r>
              <w:rPr>
                <w:rFonts w:ascii="Arial" w:hAnsi="Arial" w:cs="Arial"/>
                <w:b/>
                <w:i w:val="0"/>
                <w:color w:val="E65100"/>
                <w:sz w:val="20"/>
              </w:rPr>
              <w:t>24,573–25,054 delivered (250–760 missed)</w:t>
            </w:r>
          </w:p>
        </w:tc>
        <w:tc>
          <w:tcPr>
            <w:tcW w:type="dxa" w:w="2880"/>
            <w:shd w:val="clear" w:color="auto" w:fill="FFEBEE"/>
          </w:tcPr>
          <w:p>
            <w:r/>
            <w:r>
              <w:rPr>
                <w:rFonts w:ascii="Arial" w:hAnsi="Arial" w:cs="Arial"/>
                <w:b/>
                <w:i w:val="0"/>
                <w:color w:val="B71C1C"/>
                <w:sz w:val="20"/>
              </w:rPr>
              <w:t>&lt;24,573 delivered (&gt;760 missed)</w:t>
            </w:r>
          </w:p>
        </w:tc>
      </w:tr>
    </w:tbl>
    <w:p>
      <w:pPr>
        <w:spacing w:before="120" w:after="200"/>
      </w:pPr>
      <w:r>
        <w:rPr>
          <w:rFonts w:ascii="Arial" w:hAnsi="Arial" w:cs="Arial"/>
          <w:b/>
          <w:i w:val="0"/>
          <w:color w:val="2E7D32"/>
          <w:sz w:val="20"/>
        </w:rPr>
        <w:t xml:space="preserve">Context: </w:t>
      </w:r>
      <w:r>
        <w:rPr>
          <w:rFonts w:ascii="Arial" w:hAnsi="Arial" w:cs="Arial"/>
          <w:b w:val="0"/>
          <w:i w:val="0"/>
          <w:sz w:val="20"/>
        </w:rPr>
        <w:t>For a 25,333-visit month, 99% completion means no more than ~253 visits unable to be delivered. Capture root cause monthly — staff sickness, traffic, refusal, illness.</w:t>
      </w:r>
    </w:p>
    <w:p>
      <w:pPr>
        <w:spacing w:before="160" w:after="40"/>
      </w:pPr>
      <w:r>
        <w:rPr>
          <w:rFonts w:ascii="Arial" w:hAnsi="Arial" w:cs="Arial"/>
          <w:b/>
          <w:i w:val="0"/>
          <w:color w:val="2E7D32"/>
          <w:sz w:val="28"/>
        </w:rPr>
        <w:t>Missed visit rate</w:t>
      </w:r>
    </w:p>
    <w:p>
      <w:pPr>
        <w:spacing w:after="80"/>
      </w:pPr>
      <w:r>
        <w:rPr>
          <w:rFonts w:ascii="Arial" w:hAnsi="Arial" w:cs="Arial"/>
          <w:b/>
          <w:i w:val="0"/>
          <w:color w:val="595959"/>
          <w:sz w:val="20"/>
        </w:rPr>
        <w:t xml:space="preserve">Generic threshold: </w:t>
      </w:r>
      <w:r>
        <w:rPr>
          <w:rFonts w:ascii="Arial" w:hAnsi="Arial" w:cs="Arial"/>
          <w:b w:val="0"/>
          <w:i/>
          <w:color w:val="595959"/>
          <w:sz w:val="20"/>
        </w:rPr>
        <w:t>≤0.5% / 0.5-1% / &gt;1%</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≤127 missed visits per month (~95 hours)</w:t>
            </w:r>
          </w:p>
        </w:tc>
        <w:tc>
          <w:tcPr>
            <w:tcW w:type="dxa" w:w="3600"/>
            <w:shd w:val="clear" w:color="auto" w:fill="FFF3E0"/>
          </w:tcPr>
          <w:p>
            <w:r/>
            <w:r>
              <w:rPr>
                <w:rFonts w:ascii="Arial" w:hAnsi="Arial" w:cs="Arial"/>
                <w:b/>
                <w:i w:val="0"/>
                <w:color w:val="E65100"/>
                <w:sz w:val="20"/>
              </w:rPr>
              <w:t>127–253 (~95–190 hrs)</w:t>
            </w:r>
          </w:p>
        </w:tc>
        <w:tc>
          <w:tcPr>
            <w:tcW w:type="dxa" w:w="2880"/>
            <w:shd w:val="clear" w:color="auto" w:fill="FFEBEE"/>
          </w:tcPr>
          <w:p>
            <w:r/>
            <w:r>
              <w:rPr>
                <w:rFonts w:ascii="Arial" w:hAnsi="Arial" w:cs="Arial"/>
                <w:b/>
                <w:i w:val="0"/>
                <w:color w:val="B71C1C"/>
                <w:sz w:val="20"/>
              </w:rPr>
              <w:t>&gt;253 (&gt;190 hrs)</w:t>
            </w:r>
          </w:p>
        </w:tc>
      </w:tr>
    </w:tbl>
    <w:p>
      <w:pPr>
        <w:spacing w:before="120" w:after="200"/>
      </w:pPr>
      <w:r>
        <w:rPr>
          <w:rFonts w:ascii="Arial" w:hAnsi="Arial" w:cs="Arial"/>
          <w:b/>
          <w:i w:val="0"/>
          <w:color w:val="2E7D32"/>
          <w:sz w:val="20"/>
        </w:rPr>
        <w:t xml:space="preserve">Context: </w:t>
      </w:r>
      <w:r>
        <w:rPr>
          <w:rFonts w:ascii="Arial" w:hAnsi="Arial" w:cs="Arial"/>
          <w:b w:val="0"/>
          <w:i w:val="0"/>
          <w:sz w:val="20"/>
        </w:rPr>
        <w:t>Missed visit is any visit not delivered for ANY reason. ≤0.5% is a tight standard but achievable for a well-run home-care provider with strong reallocation.</w:t>
      </w:r>
    </w:p>
    <w:p>
      <w:pPr>
        <w:spacing w:before="160" w:after="40"/>
      </w:pPr>
      <w:r>
        <w:rPr>
          <w:rFonts w:ascii="Arial" w:hAnsi="Arial" w:cs="Arial"/>
          <w:b/>
          <w:i w:val="0"/>
          <w:color w:val="2E7D32"/>
          <w:sz w:val="28"/>
        </w:rPr>
        <w:t>Late visit rate (&gt;30 min late)</w:t>
      </w:r>
    </w:p>
    <w:p>
      <w:pPr>
        <w:spacing w:after="80"/>
      </w:pPr>
      <w:r>
        <w:rPr>
          <w:rFonts w:ascii="Arial" w:hAnsi="Arial" w:cs="Arial"/>
          <w:b/>
          <w:i w:val="0"/>
          <w:color w:val="595959"/>
          <w:sz w:val="20"/>
        </w:rPr>
        <w:t xml:space="preserve">Generic threshold: </w:t>
      </w:r>
      <w:r>
        <w:rPr>
          <w:rFonts w:ascii="Arial" w:hAnsi="Arial" w:cs="Arial"/>
          <w:b w:val="0"/>
          <w:i/>
          <w:color w:val="595959"/>
          <w:sz w:val="20"/>
        </w:rPr>
        <w:t>≤3% / 3-5% / &gt;5%</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≤760 late visits per month (~24 per day)</w:t>
            </w:r>
          </w:p>
        </w:tc>
        <w:tc>
          <w:tcPr>
            <w:tcW w:type="dxa" w:w="3600"/>
            <w:shd w:val="clear" w:color="auto" w:fill="FFF3E0"/>
          </w:tcPr>
          <w:p>
            <w:r/>
            <w:r>
              <w:rPr>
                <w:rFonts w:ascii="Arial" w:hAnsi="Arial" w:cs="Arial"/>
                <w:b/>
                <w:i w:val="0"/>
                <w:color w:val="E65100"/>
                <w:sz w:val="20"/>
              </w:rPr>
              <w:t>760–1,267</w:t>
            </w:r>
          </w:p>
        </w:tc>
        <w:tc>
          <w:tcPr>
            <w:tcW w:type="dxa" w:w="2880"/>
            <w:shd w:val="clear" w:color="auto" w:fill="FFEBEE"/>
          </w:tcPr>
          <w:p>
            <w:r/>
            <w:r>
              <w:rPr>
                <w:rFonts w:ascii="Arial" w:hAnsi="Arial" w:cs="Arial"/>
                <w:b/>
                <w:i w:val="0"/>
                <w:color w:val="B71C1C"/>
                <w:sz w:val="20"/>
              </w:rPr>
              <w:t>&gt;1,267</w:t>
            </w:r>
          </w:p>
        </w:tc>
      </w:tr>
    </w:tbl>
    <w:p>
      <w:pPr>
        <w:spacing w:before="120" w:after="200"/>
      </w:pPr>
      <w:r>
        <w:rPr>
          <w:rFonts w:ascii="Arial" w:hAnsi="Arial" w:cs="Arial"/>
          <w:b/>
          <w:i w:val="0"/>
          <w:color w:val="2E7D32"/>
          <w:sz w:val="20"/>
        </w:rPr>
        <w:t xml:space="preserve">Context: </w:t>
      </w:r>
      <w:r>
        <w:rPr>
          <w:rFonts w:ascii="Arial" w:hAnsi="Arial" w:cs="Arial"/>
          <w:b w:val="0"/>
          <w:i w:val="0"/>
          <w:sz w:val="20"/>
        </w:rPr>
        <w:t>For 813 visits/day, even green allows ~24 late visits per day — set this carefully with the scheduling team.</w:t>
      </w:r>
    </w:p>
    <w:p>
      <w:pPr>
        <w:spacing w:before="160" w:after="40"/>
      </w:pPr>
      <w:r>
        <w:rPr>
          <w:rFonts w:ascii="Arial" w:hAnsi="Arial" w:cs="Arial"/>
          <w:b/>
          <w:i w:val="0"/>
          <w:color w:val="2E7D32"/>
          <w:sz w:val="28"/>
        </w:rPr>
        <w:t>Care plan review compliance</w:t>
      </w:r>
    </w:p>
    <w:p>
      <w:pPr>
        <w:spacing w:after="80"/>
      </w:pPr>
      <w:r>
        <w:rPr>
          <w:rFonts w:ascii="Arial" w:hAnsi="Arial" w:cs="Arial"/>
          <w:b/>
          <w:i w:val="0"/>
          <w:color w:val="595959"/>
          <w:sz w:val="20"/>
        </w:rPr>
        <w:t xml:space="preserve">Generic threshold: </w:t>
      </w:r>
      <w:r>
        <w:rPr>
          <w:rFonts w:ascii="Arial" w:hAnsi="Arial" w:cs="Arial"/>
          <w:b w:val="0"/>
          <w:i/>
          <w:color w:val="595959"/>
          <w:sz w:val="20"/>
        </w:rPr>
        <w:t>100% / 95-99.9% / &lt;95%</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All 400 Service User plans reviewed within their cadence</w:t>
            </w:r>
          </w:p>
        </w:tc>
        <w:tc>
          <w:tcPr>
            <w:tcW w:type="dxa" w:w="3600"/>
            <w:shd w:val="clear" w:color="auto" w:fill="FFF3E0"/>
          </w:tcPr>
          <w:p>
            <w:r/>
            <w:r>
              <w:rPr>
                <w:rFonts w:ascii="Arial" w:hAnsi="Arial" w:cs="Arial"/>
                <w:b/>
                <w:i w:val="0"/>
                <w:color w:val="E65100"/>
                <w:sz w:val="20"/>
              </w:rPr>
              <w:t>380–399 reviewed</w:t>
            </w:r>
          </w:p>
        </w:tc>
        <w:tc>
          <w:tcPr>
            <w:tcW w:type="dxa" w:w="2880"/>
            <w:shd w:val="clear" w:color="auto" w:fill="FFEBEE"/>
          </w:tcPr>
          <w:p>
            <w:r/>
            <w:r>
              <w:rPr>
                <w:rFonts w:ascii="Arial" w:hAnsi="Arial" w:cs="Arial"/>
                <w:b/>
                <w:i w:val="0"/>
                <w:color w:val="B71C1C"/>
                <w:sz w:val="20"/>
              </w:rPr>
              <w:t>&lt;380</w:t>
            </w:r>
          </w:p>
        </w:tc>
      </w:tr>
    </w:tbl>
    <w:p>
      <w:pPr>
        <w:spacing w:before="120" w:after="200"/>
      </w:pPr>
      <w:r>
        <w:rPr>
          <w:rFonts w:ascii="Arial" w:hAnsi="Arial" w:cs="Arial"/>
          <w:b/>
          <w:i w:val="0"/>
          <w:color w:val="2E7D32"/>
          <w:sz w:val="20"/>
        </w:rPr>
        <w:t xml:space="preserve">Context: </w:t>
      </w:r>
      <w:r>
        <w:rPr>
          <w:rFonts w:ascii="Arial" w:hAnsi="Arial" w:cs="Arial"/>
          <w:b w:val="0"/>
          <w:i w:val="0"/>
          <w:sz w:val="20"/>
        </w:rPr>
        <w:t>With 400 Service Users and at-least-annual reviews, expect ~33 reviews due per month. Reviews triggered by change of circumstances are extra.</w:t>
      </w:r>
    </w:p>
    <w:p>
      <w:r>
        <w:br w:type="page"/>
      </w:r>
    </w:p>
    <w:p>
      <w:pPr>
        <w:pStyle w:val="Heading1"/>
        <w:spacing w:before="200" w:after="120"/>
      </w:pPr>
      <w:r>
        <w:rPr>
          <w:rFonts w:ascii="Arial" w:hAnsi="Arial" w:cs="Arial"/>
          <w:b/>
          <w:i w:val="0"/>
          <w:color w:val="C62828"/>
          <w:sz w:val="44"/>
        </w:rPr>
        <w:t>Clinical Safety</w:t>
      </w:r>
    </w:p>
    <w:p>
      <w:pPr>
        <w:spacing w:after="80"/>
        <w:ind w:left="0"/>
      </w:pPr>
      <w:r>
        <w:rPr>
          <w:rFonts w:ascii="Arial" w:hAnsi="Arial" w:cs="Arial"/>
          <w:b w:val="0"/>
          <w:i/>
          <w:color w:val="595959"/>
          <w:sz w:val="22"/>
        </w:rPr>
        <w:t>4 KPIs in this category.</w:t>
      </w:r>
    </w:p>
    <w:p/>
    <w:p>
      <w:pPr>
        <w:spacing w:before="160" w:after="40"/>
      </w:pPr>
      <w:r>
        <w:rPr>
          <w:rFonts w:ascii="Arial" w:hAnsi="Arial" w:cs="Arial"/>
          <w:b/>
          <w:i w:val="0"/>
          <w:color w:val="C62828"/>
          <w:sz w:val="28"/>
        </w:rPr>
        <w:t>Medication errors per 1,000 prompts</w:t>
      </w:r>
    </w:p>
    <w:p>
      <w:pPr>
        <w:spacing w:after="80"/>
      </w:pPr>
      <w:r>
        <w:rPr>
          <w:rFonts w:ascii="Arial" w:hAnsi="Arial" w:cs="Arial"/>
          <w:b/>
          <w:i w:val="0"/>
          <w:color w:val="595959"/>
          <w:sz w:val="20"/>
        </w:rPr>
        <w:t xml:space="preserve">Generic threshold: </w:t>
      </w:r>
      <w:r>
        <w:rPr>
          <w:rFonts w:ascii="Arial" w:hAnsi="Arial" w:cs="Arial"/>
          <w:b w:val="0"/>
          <w:i/>
          <w:color w:val="595959"/>
          <w:sz w:val="20"/>
        </w:rPr>
        <w:t>≤0.5 / 0.5-1.0 / &gt;1.0</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≤8 medication errors per month (against ~15,200 prompts)</w:t>
            </w:r>
          </w:p>
        </w:tc>
        <w:tc>
          <w:tcPr>
            <w:tcW w:type="dxa" w:w="3600"/>
            <w:shd w:val="clear" w:color="auto" w:fill="FFF3E0"/>
          </w:tcPr>
          <w:p>
            <w:r/>
            <w:r>
              <w:rPr>
                <w:rFonts w:ascii="Arial" w:hAnsi="Arial" w:cs="Arial"/>
                <w:b/>
                <w:i w:val="0"/>
                <w:color w:val="E65100"/>
                <w:sz w:val="20"/>
              </w:rPr>
              <w:t>8–15 errors</w:t>
            </w:r>
          </w:p>
        </w:tc>
        <w:tc>
          <w:tcPr>
            <w:tcW w:type="dxa" w:w="2880"/>
            <w:shd w:val="clear" w:color="auto" w:fill="FFEBEE"/>
          </w:tcPr>
          <w:p>
            <w:r/>
            <w:r>
              <w:rPr>
                <w:rFonts w:ascii="Arial" w:hAnsi="Arial" w:cs="Arial"/>
                <w:b/>
                <w:i w:val="0"/>
                <w:color w:val="B71C1C"/>
                <w:sz w:val="20"/>
              </w:rPr>
              <w:t>&gt;15 errors</w:t>
            </w:r>
          </w:p>
        </w:tc>
      </w:tr>
    </w:tbl>
    <w:p>
      <w:pPr>
        <w:spacing w:before="120" w:after="200"/>
      </w:pPr>
      <w:r>
        <w:rPr>
          <w:rFonts w:ascii="Arial" w:hAnsi="Arial" w:cs="Arial"/>
          <w:b/>
          <w:i w:val="0"/>
          <w:color w:val="C62828"/>
          <w:sz w:val="20"/>
        </w:rPr>
        <w:t xml:space="preserve">Context: </w:t>
      </w:r>
      <w:r>
        <w:rPr>
          <w:rFonts w:ascii="Arial" w:hAnsi="Arial" w:cs="Arial"/>
          <w:b w:val="0"/>
          <w:i w:val="0"/>
          <w:sz w:val="20"/>
        </w:rPr>
        <w:t>Assumes ~60% of your visits include a medication prompt. Confirm prevalence from CRM data before locking thresholds — it could be 50% (lower denominator) or 70% (higher).</w:t>
      </w:r>
    </w:p>
    <w:p>
      <w:pPr>
        <w:spacing w:before="160" w:after="40"/>
      </w:pPr>
      <w:r>
        <w:rPr>
          <w:rFonts w:ascii="Arial" w:hAnsi="Arial" w:cs="Arial"/>
          <w:b/>
          <w:i w:val="0"/>
          <w:color w:val="C62828"/>
          <w:sz w:val="28"/>
        </w:rPr>
        <w:t>Falls reported / 100 Service Users</w:t>
      </w:r>
    </w:p>
    <w:p>
      <w:pPr>
        <w:spacing w:after="80"/>
      </w:pPr>
      <w:r>
        <w:rPr>
          <w:rFonts w:ascii="Arial" w:hAnsi="Arial" w:cs="Arial"/>
          <w:b/>
          <w:i w:val="0"/>
          <w:color w:val="595959"/>
          <w:sz w:val="20"/>
        </w:rPr>
        <w:t xml:space="preserve">Generic threshold: </w:t>
      </w:r>
      <w:r>
        <w:rPr>
          <w:rFonts w:ascii="Arial" w:hAnsi="Arial" w:cs="Arial"/>
          <w:b w:val="0"/>
          <w:i/>
          <w:color w:val="595959"/>
          <w:sz w:val="20"/>
        </w:rPr>
        <w:t>≤3 / 3-5 / &gt;5</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≤12 falls reported per month across 400 Service Users</w:t>
            </w:r>
          </w:p>
        </w:tc>
        <w:tc>
          <w:tcPr>
            <w:tcW w:type="dxa" w:w="3600"/>
            <w:shd w:val="clear" w:color="auto" w:fill="FFF3E0"/>
          </w:tcPr>
          <w:p>
            <w:r/>
            <w:r>
              <w:rPr>
                <w:rFonts w:ascii="Arial" w:hAnsi="Arial" w:cs="Arial"/>
                <w:b/>
                <w:i w:val="0"/>
                <w:color w:val="E65100"/>
                <w:sz w:val="20"/>
              </w:rPr>
              <w:t>12–20</w:t>
            </w:r>
          </w:p>
        </w:tc>
        <w:tc>
          <w:tcPr>
            <w:tcW w:type="dxa" w:w="2880"/>
            <w:shd w:val="clear" w:color="auto" w:fill="FFEBEE"/>
          </w:tcPr>
          <w:p>
            <w:r/>
            <w:r>
              <w:rPr>
                <w:rFonts w:ascii="Arial" w:hAnsi="Arial" w:cs="Arial"/>
                <w:b/>
                <w:i w:val="0"/>
                <w:color w:val="B71C1C"/>
                <w:sz w:val="20"/>
              </w:rPr>
              <w:t>&gt;20</w:t>
            </w:r>
          </w:p>
        </w:tc>
      </w:tr>
    </w:tbl>
    <w:p>
      <w:pPr>
        <w:spacing w:before="120" w:after="200"/>
      </w:pPr>
      <w:r>
        <w:rPr>
          <w:rFonts w:ascii="Arial" w:hAnsi="Arial" w:cs="Arial"/>
          <w:b/>
          <w:i w:val="0"/>
          <w:color w:val="C62828"/>
          <w:sz w:val="20"/>
        </w:rPr>
        <w:t xml:space="preserve">Context: </w:t>
      </w:r>
      <w:r>
        <w:rPr>
          <w:rFonts w:ascii="Arial" w:hAnsi="Arial" w:cs="Arial"/>
          <w:b w:val="0"/>
          <w:i w:val="0"/>
          <w:sz w:val="20"/>
        </w:rPr>
        <w:t>Under-reporting is a bigger risk than over-reporting. If you're below 8 falls/month, sense-check by asking supervisors whether minor falls are being normalised.</w:t>
      </w:r>
    </w:p>
    <w:p>
      <w:pPr>
        <w:spacing w:before="160" w:after="40"/>
      </w:pPr>
      <w:r>
        <w:rPr>
          <w:rFonts w:ascii="Arial" w:hAnsi="Arial" w:cs="Arial"/>
          <w:b/>
          <w:i w:val="0"/>
          <w:color w:val="C62828"/>
          <w:sz w:val="28"/>
        </w:rPr>
        <w:t>Serious incidents (Major/Extreme)</w:t>
      </w:r>
    </w:p>
    <w:p>
      <w:pPr>
        <w:spacing w:after="80"/>
      </w:pPr>
      <w:r>
        <w:rPr>
          <w:rFonts w:ascii="Arial" w:hAnsi="Arial" w:cs="Arial"/>
          <w:b/>
          <w:i w:val="0"/>
          <w:color w:val="595959"/>
          <w:sz w:val="20"/>
        </w:rPr>
        <w:t xml:space="preserve">Generic threshold: </w:t>
      </w:r>
      <w:r>
        <w:rPr>
          <w:rFonts w:ascii="Arial" w:hAnsi="Arial" w:cs="Arial"/>
          <w:b w:val="0"/>
          <w:i/>
          <w:color w:val="595959"/>
          <w:sz w:val="20"/>
        </w:rPr>
        <w:t>0 / 1-2 / ≥3</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0 in the month</w:t>
            </w:r>
          </w:p>
        </w:tc>
        <w:tc>
          <w:tcPr>
            <w:tcW w:type="dxa" w:w="3600"/>
            <w:shd w:val="clear" w:color="auto" w:fill="FFF3E0"/>
          </w:tcPr>
          <w:p>
            <w:r/>
            <w:r>
              <w:rPr>
                <w:rFonts w:ascii="Arial" w:hAnsi="Arial" w:cs="Arial"/>
                <w:b/>
                <w:i w:val="0"/>
                <w:color w:val="E65100"/>
                <w:sz w:val="20"/>
              </w:rPr>
              <w:t>1–2 in the month</w:t>
            </w:r>
          </w:p>
        </w:tc>
        <w:tc>
          <w:tcPr>
            <w:tcW w:type="dxa" w:w="2880"/>
            <w:shd w:val="clear" w:color="auto" w:fill="FFEBEE"/>
          </w:tcPr>
          <w:p>
            <w:r/>
            <w:r>
              <w:rPr>
                <w:rFonts w:ascii="Arial" w:hAnsi="Arial" w:cs="Arial"/>
                <w:b/>
                <w:i w:val="0"/>
                <w:color w:val="B71C1C"/>
                <w:sz w:val="20"/>
              </w:rPr>
              <w:t>≥3 in the month</w:t>
            </w:r>
          </w:p>
        </w:tc>
      </w:tr>
    </w:tbl>
    <w:p>
      <w:pPr>
        <w:spacing w:before="120" w:after="200"/>
      </w:pPr>
      <w:r>
        <w:rPr>
          <w:rFonts w:ascii="Arial" w:hAnsi="Arial" w:cs="Arial"/>
          <w:b/>
          <w:i w:val="0"/>
          <w:color w:val="C62828"/>
          <w:sz w:val="20"/>
        </w:rPr>
        <w:t xml:space="preserve">Context: </w:t>
      </w:r>
      <w:r>
        <w:rPr>
          <w:rFonts w:ascii="Arial" w:hAnsi="Arial" w:cs="Arial"/>
          <w:b w:val="0"/>
          <w:i w:val="0"/>
          <w:sz w:val="20"/>
        </w:rPr>
        <w:t>Major / Extreme rating uses the HSE Risk Scoring Matrix. Every Major or Extreme triggers an RCA and likely an Open Disclosure event.</w:t>
      </w:r>
    </w:p>
    <w:p>
      <w:pPr>
        <w:spacing w:before="160" w:after="40"/>
      </w:pPr>
      <w:r>
        <w:rPr>
          <w:rFonts w:ascii="Arial" w:hAnsi="Arial" w:cs="Arial"/>
          <w:b/>
          <w:i w:val="0"/>
          <w:color w:val="C62828"/>
          <w:sz w:val="28"/>
        </w:rPr>
        <w:t>Open Disclosure compliance</w:t>
      </w:r>
    </w:p>
    <w:p>
      <w:pPr>
        <w:spacing w:after="80"/>
      </w:pPr>
      <w:r>
        <w:rPr>
          <w:rFonts w:ascii="Arial" w:hAnsi="Arial" w:cs="Arial"/>
          <w:b/>
          <w:i w:val="0"/>
          <w:color w:val="595959"/>
          <w:sz w:val="20"/>
        </w:rPr>
        <w:t xml:space="preserve">Generic threshold: </w:t>
      </w:r>
      <w:r>
        <w:rPr>
          <w:rFonts w:ascii="Arial" w:hAnsi="Arial" w:cs="Arial"/>
          <w:b w:val="0"/>
          <w:i/>
          <w:color w:val="595959"/>
          <w:sz w:val="20"/>
        </w:rPr>
        <w:t>100% / 90-99% / &lt;90%</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100% of qualifying events completed in line with QA-13</w:t>
            </w:r>
          </w:p>
        </w:tc>
        <w:tc>
          <w:tcPr>
            <w:tcW w:type="dxa" w:w="3600"/>
            <w:shd w:val="clear" w:color="auto" w:fill="FFF3E0"/>
          </w:tcPr>
          <w:p>
            <w:r/>
            <w:r>
              <w:rPr>
                <w:rFonts w:ascii="Arial" w:hAnsi="Arial" w:cs="Arial"/>
                <w:b/>
                <w:i w:val="0"/>
                <w:color w:val="E65100"/>
                <w:sz w:val="20"/>
              </w:rPr>
              <w:t>90–99% completed</w:t>
            </w:r>
          </w:p>
        </w:tc>
        <w:tc>
          <w:tcPr>
            <w:tcW w:type="dxa" w:w="2880"/>
            <w:shd w:val="clear" w:color="auto" w:fill="FFEBEE"/>
          </w:tcPr>
          <w:p>
            <w:r/>
            <w:r>
              <w:rPr>
                <w:rFonts w:ascii="Arial" w:hAnsi="Arial" w:cs="Arial"/>
                <w:b/>
                <w:i w:val="0"/>
                <w:color w:val="B71C1C"/>
                <w:sz w:val="20"/>
              </w:rPr>
              <w:t>&lt;90% completed</w:t>
            </w:r>
          </w:p>
        </w:tc>
      </w:tr>
    </w:tbl>
    <w:p>
      <w:pPr>
        <w:spacing w:before="120" w:after="200"/>
      </w:pPr>
      <w:r>
        <w:rPr>
          <w:rFonts w:ascii="Arial" w:hAnsi="Arial" w:cs="Arial"/>
          <w:b/>
          <w:i w:val="0"/>
          <w:color w:val="C62828"/>
          <w:sz w:val="20"/>
        </w:rPr>
        <w:t xml:space="preserve">Context: </w:t>
      </w:r>
      <w:r>
        <w:rPr>
          <w:rFonts w:ascii="Arial" w:hAnsi="Arial" w:cs="Arial"/>
          <w:b w:val="0"/>
          <w:i w:val="0"/>
          <w:sz w:val="20"/>
        </w:rPr>
        <w:t>Per Patient Safety Act 2023 this is now a statutory obligation. At your scale expect 0–3 qualifying events per month — but compliance must be 100%, no exceptions.</w:t>
      </w:r>
    </w:p>
    <w:p>
      <w:r>
        <w:br w:type="page"/>
      </w:r>
    </w:p>
    <w:p>
      <w:pPr>
        <w:pStyle w:val="Heading1"/>
        <w:spacing w:before="200" w:after="120"/>
      </w:pPr>
      <w:r>
        <w:rPr>
          <w:rFonts w:ascii="Arial" w:hAnsi="Arial" w:cs="Arial"/>
          <w:b/>
          <w:i w:val="0"/>
          <w:color w:val="00838F"/>
          <w:sz w:val="44"/>
        </w:rPr>
        <w:t>Service User Experience</w:t>
      </w:r>
    </w:p>
    <w:p>
      <w:pPr>
        <w:spacing w:after="80"/>
        <w:ind w:left="0"/>
      </w:pPr>
      <w:r>
        <w:rPr>
          <w:rFonts w:ascii="Arial" w:hAnsi="Arial" w:cs="Arial"/>
          <w:b w:val="0"/>
          <w:i/>
          <w:color w:val="595959"/>
          <w:sz w:val="22"/>
        </w:rPr>
        <w:t>5 KPIs in this category.</w:t>
      </w:r>
    </w:p>
    <w:p/>
    <w:p>
      <w:pPr>
        <w:spacing w:before="160" w:after="40"/>
      </w:pPr>
      <w:r>
        <w:rPr>
          <w:rFonts w:ascii="Arial" w:hAnsi="Arial" w:cs="Arial"/>
          <w:b/>
          <w:i w:val="0"/>
          <w:color w:val="00838F"/>
          <w:sz w:val="28"/>
        </w:rPr>
        <w:t>Complaints volume</w:t>
      </w:r>
    </w:p>
    <w:p>
      <w:pPr>
        <w:spacing w:after="80"/>
      </w:pPr>
      <w:r>
        <w:rPr>
          <w:rFonts w:ascii="Arial" w:hAnsi="Arial" w:cs="Arial"/>
          <w:b/>
          <w:i w:val="0"/>
          <w:color w:val="595959"/>
          <w:sz w:val="20"/>
        </w:rPr>
        <w:t xml:space="preserve">Generic threshold: </w:t>
      </w:r>
      <w:r>
        <w:rPr>
          <w:rFonts w:ascii="Arial" w:hAnsi="Arial" w:cs="Arial"/>
          <w:b w:val="0"/>
          <w:i/>
          <w:color w:val="595959"/>
          <w:sz w:val="20"/>
        </w:rPr>
        <w:t>Trend tracked</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Track only — no fixed target</w:t>
            </w:r>
          </w:p>
        </w:tc>
        <w:tc>
          <w:tcPr>
            <w:tcW w:type="dxa" w:w="3600"/>
            <w:shd w:val="clear" w:color="auto" w:fill="FFF3E0"/>
          </w:tcPr>
          <w:p>
            <w:r/>
            <w:r>
              <w:rPr>
                <w:rFonts w:ascii="Arial" w:hAnsi="Arial" w:cs="Arial"/>
                <w:b/>
                <w:i w:val="0"/>
                <w:color w:val="E65100"/>
                <w:sz w:val="20"/>
              </w:rPr>
              <w:t>Track only</w:t>
            </w:r>
          </w:p>
        </w:tc>
        <w:tc>
          <w:tcPr>
            <w:tcW w:type="dxa" w:w="2880"/>
            <w:shd w:val="clear" w:color="auto" w:fill="FFEBEE"/>
          </w:tcPr>
          <w:p>
            <w:r/>
            <w:r>
              <w:rPr>
                <w:rFonts w:ascii="Arial" w:hAnsi="Arial" w:cs="Arial"/>
                <w:b/>
                <w:i w:val="0"/>
                <w:color w:val="B71C1C"/>
                <w:sz w:val="20"/>
              </w:rPr>
              <w:t>Track only</w:t>
            </w:r>
          </w:p>
        </w:tc>
      </w:tr>
    </w:tbl>
    <w:p>
      <w:pPr>
        <w:spacing w:before="120" w:after="200"/>
      </w:pPr>
      <w:r>
        <w:rPr>
          <w:rFonts w:ascii="Arial" w:hAnsi="Arial" w:cs="Arial"/>
          <w:b/>
          <w:i w:val="0"/>
          <w:color w:val="00838F"/>
          <w:sz w:val="20"/>
        </w:rPr>
        <w:t xml:space="preserve">Context: </w:t>
      </w:r>
      <w:r>
        <w:rPr>
          <w:rFonts w:ascii="Arial" w:hAnsi="Arial" w:cs="Arial"/>
          <w:b w:val="0"/>
          <w:i w:val="0"/>
          <w:sz w:val="20"/>
        </w:rPr>
        <w:t>Industry rate for home support is roughly 1–2% of Service Users complaining annually. For 400 Service Users that suggests 4–8 formal complaints per year, or 0–2 per month. Sudden spike = signal to investigate.</w:t>
      </w:r>
    </w:p>
    <w:p>
      <w:pPr>
        <w:spacing w:before="160" w:after="40"/>
      </w:pPr>
      <w:r>
        <w:rPr>
          <w:rFonts w:ascii="Arial" w:hAnsi="Arial" w:cs="Arial"/>
          <w:b/>
          <w:i w:val="0"/>
          <w:color w:val="00838F"/>
          <w:sz w:val="28"/>
        </w:rPr>
        <w:t>Complaints resolution time (median)</w:t>
      </w:r>
    </w:p>
    <w:p>
      <w:pPr>
        <w:spacing w:after="80"/>
      </w:pPr>
      <w:r>
        <w:rPr>
          <w:rFonts w:ascii="Arial" w:hAnsi="Arial" w:cs="Arial"/>
          <w:b/>
          <w:i w:val="0"/>
          <w:color w:val="595959"/>
          <w:sz w:val="20"/>
        </w:rPr>
        <w:t xml:space="preserve">Generic threshold: </w:t>
      </w:r>
      <w:r>
        <w:rPr>
          <w:rFonts w:ascii="Arial" w:hAnsi="Arial" w:cs="Arial"/>
          <w:b w:val="0"/>
          <w:i/>
          <w:color w:val="595959"/>
          <w:sz w:val="20"/>
        </w:rPr>
        <w:t>≤20 days / 20–30 / &gt;30</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Median ≤20 working days</w:t>
            </w:r>
          </w:p>
        </w:tc>
        <w:tc>
          <w:tcPr>
            <w:tcW w:type="dxa" w:w="3600"/>
            <w:shd w:val="clear" w:color="auto" w:fill="FFF3E0"/>
          </w:tcPr>
          <w:p>
            <w:r/>
            <w:r>
              <w:rPr>
                <w:rFonts w:ascii="Arial" w:hAnsi="Arial" w:cs="Arial"/>
                <w:b/>
                <w:i w:val="0"/>
                <w:color w:val="E65100"/>
                <w:sz w:val="20"/>
              </w:rPr>
              <w:t>Median 20–30 days</w:t>
            </w:r>
          </w:p>
        </w:tc>
        <w:tc>
          <w:tcPr>
            <w:tcW w:type="dxa" w:w="2880"/>
            <w:shd w:val="clear" w:color="auto" w:fill="FFEBEE"/>
          </w:tcPr>
          <w:p>
            <w:r/>
            <w:r>
              <w:rPr>
                <w:rFonts w:ascii="Arial" w:hAnsi="Arial" w:cs="Arial"/>
                <w:b/>
                <w:i w:val="0"/>
                <w:color w:val="B71C1C"/>
                <w:sz w:val="20"/>
              </w:rPr>
              <w:t>Median &gt;30 days</w:t>
            </w:r>
          </w:p>
        </w:tc>
      </w:tr>
    </w:tbl>
    <w:p>
      <w:pPr>
        <w:spacing w:before="120" w:after="200"/>
      </w:pPr>
      <w:r>
        <w:rPr>
          <w:rFonts w:ascii="Arial" w:hAnsi="Arial" w:cs="Arial"/>
          <w:b/>
          <w:i w:val="0"/>
          <w:color w:val="00838F"/>
          <w:sz w:val="20"/>
        </w:rPr>
        <w:t xml:space="preserve">Context: </w:t>
      </w:r>
      <w:r>
        <w:rPr>
          <w:rFonts w:ascii="Arial" w:hAnsi="Arial" w:cs="Arial"/>
          <w:b w:val="0"/>
          <w:i w:val="0"/>
          <w:sz w:val="20"/>
        </w:rPr>
        <w:t>Aligns to QA-03 stated target. Track at median (not average) so a single complex case doesn't skew the metric.</w:t>
      </w:r>
    </w:p>
    <w:p>
      <w:pPr>
        <w:spacing w:before="160" w:after="40"/>
      </w:pPr>
      <w:r>
        <w:rPr>
          <w:rFonts w:ascii="Arial" w:hAnsi="Arial" w:cs="Arial"/>
          <w:b/>
          <w:i w:val="0"/>
          <w:color w:val="00838F"/>
          <w:sz w:val="28"/>
        </w:rPr>
        <w:t>Complaints upheld %</w:t>
      </w:r>
    </w:p>
    <w:p>
      <w:pPr>
        <w:spacing w:after="80"/>
      </w:pPr>
      <w:r>
        <w:rPr>
          <w:rFonts w:ascii="Arial" w:hAnsi="Arial" w:cs="Arial"/>
          <w:b/>
          <w:i w:val="0"/>
          <w:color w:val="595959"/>
          <w:sz w:val="20"/>
        </w:rPr>
        <w:t xml:space="preserve">Generic threshold: </w:t>
      </w:r>
      <w:r>
        <w:rPr>
          <w:rFonts w:ascii="Arial" w:hAnsi="Arial" w:cs="Arial"/>
          <w:b w:val="0"/>
          <w:i/>
          <w:color w:val="595959"/>
          <w:sz w:val="20"/>
        </w:rPr>
        <w:t>Trend tracked</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Track only</w:t>
            </w:r>
          </w:p>
        </w:tc>
        <w:tc>
          <w:tcPr>
            <w:tcW w:type="dxa" w:w="3600"/>
            <w:shd w:val="clear" w:color="auto" w:fill="FFF3E0"/>
          </w:tcPr>
          <w:p>
            <w:r/>
            <w:r>
              <w:rPr>
                <w:rFonts w:ascii="Arial" w:hAnsi="Arial" w:cs="Arial"/>
                <w:b/>
                <w:i w:val="0"/>
                <w:color w:val="E65100"/>
                <w:sz w:val="20"/>
              </w:rPr>
              <w:t>Track only</w:t>
            </w:r>
          </w:p>
        </w:tc>
        <w:tc>
          <w:tcPr>
            <w:tcW w:type="dxa" w:w="2880"/>
            <w:shd w:val="clear" w:color="auto" w:fill="FFEBEE"/>
          </w:tcPr>
          <w:p>
            <w:r/>
            <w:r>
              <w:rPr>
                <w:rFonts w:ascii="Arial" w:hAnsi="Arial" w:cs="Arial"/>
                <w:b/>
                <w:i w:val="0"/>
                <w:color w:val="B71C1C"/>
                <w:sz w:val="20"/>
              </w:rPr>
              <w:t>Track only</w:t>
            </w:r>
          </w:p>
        </w:tc>
      </w:tr>
    </w:tbl>
    <w:p>
      <w:pPr>
        <w:spacing w:before="120" w:after="200"/>
      </w:pPr>
      <w:r>
        <w:rPr>
          <w:rFonts w:ascii="Arial" w:hAnsi="Arial" w:cs="Arial"/>
          <w:b/>
          <w:i w:val="0"/>
          <w:color w:val="00838F"/>
          <w:sz w:val="20"/>
        </w:rPr>
        <w:t xml:space="preserve">Context: </w:t>
      </w:r>
      <w:r>
        <w:rPr>
          <w:rFonts w:ascii="Arial" w:hAnsi="Arial" w:cs="Arial"/>
          <w:b w:val="0"/>
          <w:i w:val="0"/>
          <w:sz w:val="20"/>
        </w:rPr>
        <w:t>If a high % are upheld, your service has improvement work to do. If a low % are upheld, sense-check that your investigation process is genuinely fair to complainants.</w:t>
      </w:r>
    </w:p>
    <w:p>
      <w:pPr>
        <w:spacing w:before="160" w:after="40"/>
      </w:pPr>
      <w:r>
        <w:rPr>
          <w:rFonts w:ascii="Arial" w:hAnsi="Arial" w:cs="Arial"/>
          <w:b/>
          <w:i w:val="0"/>
          <w:color w:val="00838F"/>
          <w:sz w:val="28"/>
        </w:rPr>
        <w:t>Service User satisfaction score</w:t>
      </w:r>
    </w:p>
    <w:p>
      <w:pPr>
        <w:spacing w:after="80"/>
      </w:pPr>
      <w:r>
        <w:rPr>
          <w:rFonts w:ascii="Arial" w:hAnsi="Arial" w:cs="Arial"/>
          <w:b/>
          <w:i w:val="0"/>
          <w:color w:val="595959"/>
          <w:sz w:val="20"/>
        </w:rPr>
        <w:t xml:space="preserve">Generic threshold: </w:t>
      </w:r>
      <w:r>
        <w:rPr>
          <w:rFonts w:ascii="Arial" w:hAnsi="Arial" w:cs="Arial"/>
          <w:b w:val="0"/>
          <w:i/>
          <w:color w:val="595959"/>
          <w:sz w:val="20"/>
        </w:rPr>
        <w:t>≥90% / 80–89% / &lt;80%</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Annual survey overall score ≥90%</w:t>
            </w:r>
          </w:p>
        </w:tc>
        <w:tc>
          <w:tcPr>
            <w:tcW w:type="dxa" w:w="3600"/>
            <w:shd w:val="clear" w:color="auto" w:fill="FFF3E0"/>
          </w:tcPr>
          <w:p>
            <w:r/>
            <w:r>
              <w:rPr>
                <w:rFonts w:ascii="Arial" w:hAnsi="Arial" w:cs="Arial"/>
                <w:b/>
                <w:i w:val="0"/>
                <w:color w:val="E65100"/>
                <w:sz w:val="20"/>
              </w:rPr>
              <w:t>80–89%</w:t>
            </w:r>
          </w:p>
        </w:tc>
        <w:tc>
          <w:tcPr>
            <w:tcW w:type="dxa" w:w="2880"/>
            <w:shd w:val="clear" w:color="auto" w:fill="FFEBEE"/>
          </w:tcPr>
          <w:p>
            <w:r/>
            <w:r>
              <w:rPr>
                <w:rFonts w:ascii="Arial" w:hAnsi="Arial" w:cs="Arial"/>
                <w:b/>
                <w:i w:val="0"/>
                <w:color w:val="B71C1C"/>
                <w:sz w:val="20"/>
              </w:rPr>
              <w:t>&lt;80%</w:t>
            </w:r>
          </w:p>
        </w:tc>
      </w:tr>
    </w:tbl>
    <w:p>
      <w:pPr>
        <w:spacing w:before="120" w:after="200"/>
      </w:pPr>
      <w:r>
        <w:rPr>
          <w:rFonts w:ascii="Arial" w:hAnsi="Arial" w:cs="Arial"/>
          <w:b/>
          <w:i w:val="0"/>
          <w:color w:val="00838F"/>
          <w:sz w:val="20"/>
        </w:rPr>
        <w:t xml:space="preserve">Context: </w:t>
      </w:r>
      <w:r>
        <w:rPr>
          <w:rFonts w:ascii="Arial" w:hAnsi="Arial" w:cs="Arial"/>
          <w:b w:val="0"/>
          <w:i w:val="0"/>
          <w:sz w:val="20"/>
        </w:rPr>
        <w:t>Run annually as a minimum. Industry benchmark for high-quality providers is 90%+. Anything &lt;80% is a red signal regardless of complaints volume.</w:t>
      </w:r>
    </w:p>
    <w:p>
      <w:pPr>
        <w:spacing w:before="160" w:after="40"/>
      </w:pPr>
      <w:r>
        <w:rPr>
          <w:rFonts w:ascii="Arial" w:hAnsi="Arial" w:cs="Arial"/>
          <w:b/>
          <w:i w:val="0"/>
          <w:color w:val="00838F"/>
          <w:sz w:val="28"/>
        </w:rPr>
        <w:t>Compliments received</w:t>
      </w:r>
    </w:p>
    <w:p>
      <w:pPr>
        <w:spacing w:after="80"/>
      </w:pPr>
      <w:r>
        <w:rPr>
          <w:rFonts w:ascii="Arial" w:hAnsi="Arial" w:cs="Arial"/>
          <w:b/>
          <w:i w:val="0"/>
          <w:color w:val="595959"/>
          <w:sz w:val="20"/>
        </w:rPr>
        <w:t xml:space="preserve">Generic threshold: </w:t>
      </w:r>
      <w:r>
        <w:rPr>
          <w:rFonts w:ascii="Arial" w:hAnsi="Arial" w:cs="Arial"/>
          <w:b w:val="0"/>
          <w:i/>
          <w:color w:val="595959"/>
          <w:sz w:val="20"/>
        </w:rPr>
        <w:t>Trend tracked</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Track only — aim for compliments:complaints ≥5:1</w:t>
            </w:r>
          </w:p>
        </w:tc>
        <w:tc>
          <w:tcPr>
            <w:tcW w:type="dxa" w:w="3600"/>
            <w:shd w:val="clear" w:color="auto" w:fill="FFF3E0"/>
          </w:tcPr>
          <w:p>
            <w:r/>
            <w:r>
              <w:rPr>
                <w:rFonts w:ascii="Arial" w:hAnsi="Arial" w:cs="Arial"/>
                <w:b/>
                <w:i w:val="0"/>
                <w:color w:val="E65100"/>
                <w:sz w:val="20"/>
              </w:rPr>
              <w:t>3:1–5:1</w:t>
            </w:r>
          </w:p>
        </w:tc>
        <w:tc>
          <w:tcPr>
            <w:tcW w:type="dxa" w:w="2880"/>
            <w:shd w:val="clear" w:color="auto" w:fill="FFEBEE"/>
          </w:tcPr>
          <w:p>
            <w:r/>
            <w:r>
              <w:rPr>
                <w:rFonts w:ascii="Arial" w:hAnsi="Arial" w:cs="Arial"/>
                <w:b/>
                <w:i w:val="0"/>
                <w:color w:val="B71C1C"/>
                <w:sz w:val="20"/>
              </w:rPr>
              <w:t>&lt;3:1</w:t>
            </w:r>
          </w:p>
        </w:tc>
      </w:tr>
    </w:tbl>
    <w:p>
      <w:pPr>
        <w:spacing w:before="120" w:after="200"/>
      </w:pPr>
      <w:r>
        <w:rPr>
          <w:rFonts w:ascii="Arial" w:hAnsi="Arial" w:cs="Arial"/>
          <w:b/>
          <w:i w:val="0"/>
          <w:color w:val="00838F"/>
          <w:sz w:val="20"/>
        </w:rPr>
        <w:t xml:space="preserve">Context: </w:t>
      </w:r>
      <w:r>
        <w:rPr>
          <w:rFonts w:ascii="Arial" w:hAnsi="Arial" w:cs="Arial"/>
          <w:b w:val="0"/>
          <w:i w:val="0"/>
          <w:sz w:val="20"/>
        </w:rPr>
        <w:t>Capture in CRM. HIQA likes to see this is taken seriously. A healthy ratio is 5 compliments to every 1 complaint.</w:t>
      </w:r>
    </w:p>
    <w:p>
      <w:r>
        <w:br w:type="page"/>
      </w:r>
    </w:p>
    <w:p>
      <w:pPr>
        <w:pStyle w:val="Heading1"/>
        <w:spacing w:before="200" w:after="120"/>
      </w:pPr>
      <w:r>
        <w:rPr>
          <w:rFonts w:ascii="Arial" w:hAnsi="Arial" w:cs="Arial"/>
          <w:b/>
          <w:i w:val="0"/>
          <w:color w:val="6A1B9A"/>
          <w:sz w:val="44"/>
        </w:rPr>
        <w:t>Staff Workforce</w:t>
      </w:r>
    </w:p>
    <w:p>
      <w:pPr>
        <w:spacing w:after="80"/>
        <w:ind w:left="0"/>
      </w:pPr>
      <w:r>
        <w:rPr>
          <w:rFonts w:ascii="Arial" w:hAnsi="Arial" w:cs="Arial"/>
          <w:b w:val="0"/>
          <w:i/>
          <w:color w:val="595959"/>
          <w:sz w:val="22"/>
        </w:rPr>
        <w:t>5 KPIs in this category.</w:t>
      </w:r>
    </w:p>
    <w:p/>
    <w:p>
      <w:pPr>
        <w:spacing w:before="160" w:after="40"/>
      </w:pPr>
      <w:r>
        <w:rPr>
          <w:rFonts w:ascii="Arial" w:hAnsi="Arial" w:cs="Arial"/>
          <w:b/>
          <w:i w:val="0"/>
          <w:color w:val="6A1B9A"/>
          <w:sz w:val="28"/>
        </w:rPr>
        <w:t>Annual staff turnover</w:t>
      </w:r>
    </w:p>
    <w:p>
      <w:pPr>
        <w:spacing w:after="80"/>
      </w:pPr>
      <w:r>
        <w:rPr>
          <w:rFonts w:ascii="Arial" w:hAnsi="Arial" w:cs="Arial"/>
          <w:b/>
          <w:i w:val="0"/>
          <w:color w:val="595959"/>
          <w:sz w:val="20"/>
        </w:rPr>
        <w:t xml:space="preserve">Generic threshold: </w:t>
      </w:r>
      <w:r>
        <w:rPr>
          <w:rFonts w:ascii="Arial" w:hAnsi="Arial" w:cs="Arial"/>
          <w:b w:val="0"/>
          <w:i/>
          <w:color w:val="595959"/>
          <w:sz w:val="20"/>
        </w:rPr>
        <w:t>≤20% / 20–30% / &gt;30%</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≤27 leavers per year (≤2 per month average)</w:t>
            </w:r>
          </w:p>
        </w:tc>
        <w:tc>
          <w:tcPr>
            <w:tcW w:type="dxa" w:w="3600"/>
            <w:shd w:val="clear" w:color="auto" w:fill="FFF3E0"/>
          </w:tcPr>
          <w:p>
            <w:r/>
            <w:r>
              <w:rPr>
                <w:rFonts w:ascii="Arial" w:hAnsi="Arial" w:cs="Arial"/>
                <w:b/>
                <w:i w:val="0"/>
                <w:color w:val="E65100"/>
                <w:sz w:val="20"/>
              </w:rPr>
              <w:t>27–40 leavers per year</w:t>
            </w:r>
          </w:p>
        </w:tc>
        <w:tc>
          <w:tcPr>
            <w:tcW w:type="dxa" w:w="2880"/>
            <w:shd w:val="clear" w:color="auto" w:fill="FFEBEE"/>
          </w:tcPr>
          <w:p>
            <w:r/>
            <w:r>
              <w:rPr>
                <w:rFonts w:ascii="Arial" w:hAnsi="Arial" w:cs="Arial"/>
                <w:b/>
                <w:i w:val="0"/>
                <w:color w:val="B71C1C"/>
                <w:sz w:val="20"/>
              </w:rPr>
              <w:t>&gt;40 leavers per year</w:t>
            </w:r>
          </w:p>
        </w:tc>
      </w:tr>
    </w:tbl>
    <w:p>
      <w:pPr>
        <w:spacing w:before="120" w:after="200"/>
      </w:pPr>
      <w:r>
        <w:rPr>
          <w:rFonts w:ascii="Arial" w:hAnsi="Arial" w:cs="Arial"/>
          <w:b/>
          <w:i w:val="0"/>
          <w:color w:val="6A1B9A"/>
          <w:sz w:val="20"/>
        </w:rPr>
        <w:t xml:space="preserve">Context: </w:t>
      </w:r>
      <w:r>
        <w:rPr>
          <w:rFonts w:ascii="Arial" w:hAnsi="Arial" w:cs="Arial"/>
          <w:b w:val="0"/>
          <w:i w:val="0"/>
          <w:sz w:val="20"/>
        </w:rPr>
        <w:t>Irish home-care sector average is ~25–35%. A ≤20% target is ambitious but it's the right place to set the bar — beating the industry.</w:t>
      </w:r>
    </w:p>
    <w:p>
      <w:pPr>
        <w:spacing w:before="160" w:after="40"/>
      </w:pPr>
      <w:r>
        <w:rPr>
          <w:rFonts w:ascii="Arial" w:hAnsi="Arial" w:cs="Arial"/>
          <w:b/>
          <w:i w:val="0"/>
          <w:color w:val="6A1B9A"/>
          <w:sz w:val="28"/>
        </w:rPr>
        <w:t>Staff sickness rate</w:t>
      </w:r>
    </w:p>
    <w:p>
      <w:pPr>
        <w:spacing w:after="80"/>
      </w:pPr>
      <w:r>
        <w:rPr>
          <w:rFonts w:ascii="Arial" w:hAnsi="Arial" w:cs="Arial"/>
          <w:b/>
          <w:i w:val="0"/>
          <w:color w:val="595959"/>
          <w:sz w:val="20"/>
        </w:rPr>
        <w:t xml:space="preserve">Generic threshold: </w:t>
      </w:r>
      <w:r>
        <w:rPr>
          <w:rFonts w:ascii="Arial" w:hAnsi="Arial" w:cs="Arial"/>
          <w:b w:val="0"/>
          <w:i/>
          <w:color w:val="595959"/>
          <w:sz w:val="20"/>
        </w:rPr>
        <w:t>≤4% / 4–6% / &gt;6%</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≤119 sickness days per month across the workforce</w:t>
            </w:r>
          </w:p>
        </w:tc>
        <w:tc>
          <w:tcPr>
            <w:tcW w:type="dxa" w:w="3600"/>
            <w:shd w:val="clear" w:color="auto" w:fill="FFF3E0"/>
          </w:tcPr>
          <w:p>
            <w:r/>
            <w:r>
              <w:rPr>
                <w:rFonts w:ascii="Arial" w:hAnsi="Arial" w:cs="Arial"/>
                <w:b/>
                <w:i w:val="0"/>
                <w:color w:val="E65100"/>
                <w:sz w:val="20"/>
              </w:rPr>
              <w:t>119–178 days</w:t>
            </w:r>
          </w:p>
        </w:tc>
        <w:tc>
          <w:tcPr>
            <w:tcW w:type="dxa" w:w="2880"/>
            <w:shd w:val="clear" w:color="auto" w:fill="FFEBEE"/>
          </w:tcPr>
          <w:p>
            <w:r/>
            <w:r>
              <w:rPr>
                <w:rFonts w:ascii="Arial" w:hAnsi="Arial" w:cs="Arial"/>
                <w:b/>
                <w:i w:val="0"/>
                <w:color w:val="B71C1C"/>
                <w:sz w:val="20"/>
              </w:rPr>
              <w:t>&gt;178 days</w:t>
            </w:r>
          </w:p>
        </w:tc>
      </w:tr>
    </w:tbl>
    <w:p>
      <w:pPr>
        <w:spacing w:before="120" w:after="200"/>
      </w:pPr>
      <w:r>
        <w:rPr>
          <w:rFonts w:ascii="Arial" w:hAnsi="Arial" w:cs="Arial"/>
          <w:b/>
          <w:i w:val="0"/>
          <w:color w:val="6A1B9A"/>
          <w:sz w:val="20"/>
        </w:rPr>
        <w:t xml:space="preserve">Context: </w:t>
      </w:r>
      <w:r>
        <w:rPr>
          <w:rFonts w:ascii="Arial" w:hAnsi="Arial" w:cs="Arial"/>
          <w:b w:val="0"/>
          <w:i w:val="0"/>
          <w:sz w:val="20"/>
        </w:rPr>
        <w:t>Assumes 135 staff × 22 working days = 2,970 available days/month. Drives visit cover risk — direct input to the operations risk register.</w:t>
      </w:r>
    </w:p>
    <w:p>
      <w:pPr>
        <w:spacing w:before="160" w:after="40"/>
      </w:pPr>
      <w:r>
        <w:rPr>
          <w:rFonts w:ascii="Arial" w:hAnsi="Arial" w:cs="Arial"/>
          <w:b/>
          <w:i w:val="0"/>
          <w:color w:val="6A1B9A"/>
          <w:sz w:val="28"/>
        </w:rPr>
        <w:t>Mandatory training compliance</w:t>
      </w:r>
    </w:p>
    <w:p>
      <w:pPr>
        <w:spacing w:after="80"/>
      </w:pPr>
      <w:r>
        <w:rPr>
          <w:rFonts w:ascii="Arial" w:hAnsi="Arial" w:cs="Arial"/>
          <w:b/>
          <w:i w:val="0"/>
          <w:color w:val="595959"/>
          <w:sz w:val="20"/>
        </w:rPr>
        <w:t xml:space="preserve">Generic threshold: </w:t>
      </w:r>
      <w:r>
        <w:rPr>
          <w:rFonts w:ascii="Arial" w:hAnsi="Arial" w:cs="Arial"/>
          <w:b w:val="0"/>
          <w:i/>
          <w:color w:val="595959"/>
          <w:sz w:val="20"/>
        </w:rPr>
        <w:t>≥95% / 90–94.9% / &lt;90%</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≥128 of 135 staff with all mandatory training in date</w:t>
            </w:r>
          </w:p>
        </w:tc>
        <w:tc>
          <w:tcPr>
            <w:tcW w:type="dxa" w:w="3600"/>
            <w:shd w:val="clear" w:color="auto" w:fill="FFF3E0"/>
          </w:tcPr>
          <w:p>
            <w:r/>
            <w:r>
              <w:rPr>
                <w:rFonts w:ascii="Arial" w:hAnsi="Arial" w:cs="Arial"/>
                <w:b/>
                <w:i w:val="0"/>
                <w:color w:val="E65100"/>
                <w:sz w:val="20"/>
              </w:rPr>
              <w:t>122–128</w:t>
            </w:r>
          </w:p>
        </w:tc>
        <w:tc>
          <w:tcPr>
            <w:tcW w:type="dxa" w:w="2880"/>
            <w:shd w:val="clear" w:color="auto" w:fill="FFEBEE"/>
          </w:tcPr>
          <w:p>
            <w:r/>
            <w:r>
              <w:rPr>
                <w:rFonts w:ascii="Arial" w:hAnsi="Arial" w:cs="Arial"/>
                <w:b/>
                <w:i w:val="0"/>
                <w:color w:val="B71C1C"/>
                <w:sz w:val="20"/>
              </w:rPr>
              <w:t>&lt;122</w:t>
            </w:r>
          </w:p>
        </w:tc>
      </w:tr>
    </w:tbl>
    <w:p>
      <w:pPr>
        <w:spacing w:before="120" w:after="200"/>
      </w:pPr>
      <w:r>
        <w:rPr>
          <w:rFonts w:ascii="Arial" w:hAnsi="Arial" w:cs="Arial"/>
          <w:b/>
          <w:i w:val="0"/>
          <w:color w:val="6A1B9A"/>
          <w:sz w:val="20"/>
        </w:rPr>
        <w:t xml:space="preserve">Context: </w:t>
      </w:r>
      <w:r>
        <w:rPr>
          <w:rFonts w:ascii="Arial" w:hAnsi="Arial" w:cs="Arial"/>
          <w:b w:val="0"/>
          <w:i w:val="0"/>
          <w:sz w:val="20"/>
        </w:rPr>
        <w:t>Track by module too — overall % can mask one bad module (e.g. dementia training out of date for half the workforce). Drives the Training Audit (AUD-TRG-01).</w:t>
      </w:r>
    </w:p>
    <w:p>
      <w:pPr>
        <w:spacing w:before="160" w:after="40"/>
      </w:pPr>
      <w:r>
        <w:rPr>
          <w:rFonts w:ascii="Arial" w:hAnsi="Arial" w:cs="Arial"/>
          <w:b/>
          <w:i w:val="0"/>
          <w:color w:val="6A1B9A"/>
          <w:sz w:val="28"/>
        </w:rPr>
        <w:t>Supervision compliance</w:t>
      </w:r>
    </w:p>
    <w:p>
      <w:pPr>
        <w:spacing w:after="80"/>
      </w:pPr>
      <w:r>
        <w:rPr>
          <w:rFonts w:ascii="Arial" w:hAnsi="Arial" w:cs="Arial"/>
          <w:b/>
          <w:i w:val="0"/>
          <w:color w:val="595959"/>
          <w:sz w:val="20"/>
        </w:rPr>
        <w:t xml:space="preserve">Generic threshold: </w:t>
      </w:r>
      <w:r>
        <w:rPr>
          <w:rFonts w:ascii="Arial" w:hAnsi="Arial" w:cs="Arial"/>
          <w:b w:val="0"/>
          <w:i/>
          <w:color w:val="595959"/>
          <w:sz w:val="20"/>
        </w:rPr>
        <w:t>≥95% / 90–94.9% / &lt;90%</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≥128 of 135 staff with supervision recorded at policy cadence</w:t>
            </w:r>
          </w:p>
        </w:tc>
        <w:tc>
          <w:tcPr>
            <w:tcW w:type="dxa" w:w="3600"/>
            <w:shd w:val="clear" w:color="auto" w:fill="FFF3E0"/>
          </w:tcPr>
          <w:p>
            <w:r/>
            <w:r>
              <w:rPr>
                <w:rFonts w:ascii="Arial" w:hAnsi="Arial" w:cs="Arial"/>
                <w:b/>
                <w:i w:val="0"/>
                <w:color w:val="E65100"/>
                <w:sz w:val="20"/>
              </w:rPr>
              <w:t>122–128</w:t>
            </w:r>
          </w:p>
        </w:tc>
        <w:tc>
          <w:tcPr>
            <w:tcW w:type="dxa" w:w="2880"/>
            <w:shd w:val="clear" w:color="auto" w:fill="FFEBEE"/>
          </w:tcPr>
          <w:p>
            <w:r/>
            <w:r>
              <w:rPr>
                <w:rFonts w:ascii="Arial" w:hAnsi="Arial" w:cs="Arial"/>
                <w:b/>
                <w:i w:val="0"/>
                <w:color w:val="B71C1C"/>
                <w:sz w:val="20"/>
              </w:rPr>
              <w:t>&lt;122</w:t>
            </w:r>
          </w:p>
        </w:tc>
      </w:tr>
    </w:tbl>
    <w:p>
      <w:pPr>
        <w:spacing w:before="120" w:after="200"/>
      </w:pPr>
      <w:r>
        <w:rPr>
          <w:rFonts w:ascii="Arial" w:hAnsi="Arial" w:cs="Arial"/>
          <w:b/>
          <w:i w:val="0"/>
          <w:color w:val="6A1B9A"/>
          <w:sz w:val="20"/>
        </w:rPr>
        <w:t xml:space="preserve">Context: </w:t>
      </w:r>
      <w:r>
        <w:rPr>
          <w:rFonts w:ascii="Arial" w:hAnsi="Arial" w:cs="Arial"/>
          <w:b w:val="0"/>
          <w:i w:val="0"/>
          <w:sz w:val="20"/>
        </w:rPr>
        <w:t>HR-14 sets the cadence. If supervision compliance drops below 95% it's almost always because supervisors don't have ringfenced time — a structural, not individual, issue.</w:t>
      </w:r>
    </w:p>
    <w:p>
      <w:pPr>
        <w:spacing w:before="160" w:after="40"/>
      </w:pPr>
      <w:r>
        <w:rPr>
          <w:rFonts w:ascii="Arial" w:hAnsi="Arial" w:cs="Arial"/>
          <w:b/>
          <w:i w:val="0"/>
          <w:color w:val="6A1B9A"/>
          <w:sz w:val="28"/>
        </w:rPr>
        <w:t>Garda vetting currency</w:t>
      </w:r>
    </w:p>
    <w:p>
      <w:pPr>
        <w:spacing w:after="80"/>
      </w:pPr>
      <w:r>
        <w:rPr>
          <w:rFonts w:ascii="Arial" w:hAnsi="Arial" w:cs="Arial"/>
          <w:b/>
          <w:i w:val="0"/>
          <w:color w:val="595959"/>
          <w:sz w:val="20"/>
        </w:rPr>
        <w:t xml:space="preserve">Generic threshold: </w:t>
      </w:r>
      <w:r>
        <w:rPr>
          <w:rFonts w:ascii="Arial" w:hAnsi="Arial" w:cs="Arial"/>
          <w:b w:val="0"/>
          <w:i/>
          <w:color w:val="595959"/>
          <w:sz w:val="20"/>
        </w:rPr>
        <w:t>100% / 99–99.9% / &lt;99%</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All 135 staff with valid NVB vetting in date</w:t>
            </w:r>
          </w:p>
        </w:tc>
        <w:tc>
          <w:tcPr>
            <w:tcW w:type="dxa" w:w="3600"/>
            <w:shd w:val="clear" w:color="auto" w:fill="FFF3E0"/>
          </w:tcPr>
          <w:p>
            <w:r/>
            <w:r>
              <w:rPr>
                <w:rFonts w:ascii="Arial" w:hAnsi="Arial" w:cs="Arial"/>
                <w:b/>
                <w:i w:val="0"/>
                <w:color w:val="E65100"/>
                <w:sz w:val="20"/>
              </w:rPr>
              <w:t>1 expiring within 30 days</w:t>
            </w:r>
          </w:p>
        </w:tc>
        <w:tc>
          <w:tcPr>
            <w:tcW w:type="dxa" w:w="2880"/>
            <w:shd w:val="clear" w:color="auto" w:fill="FFEBEE"/>
          </w:tcPr>
          <w:p>
            <w:r/>
            <w:r>
              <w:rPr>
                <w:rFonts w:ascii="Arial" w:hAnsi="Arial" w:cs="Arial"/>
                <w:b/>
                <w:i w:val="0"/>
                <w:color w:val="B71C1C"/>
                <w:sz w:val="20"/>
              </w:rPr>
              <w:t>Any out of date</w:t>
            </w:r>
          </w:p>
        </w:tc>
      </w:tr>
    </w:tbl>
    <w:p>
      <w:pPr>
        <w:spacing w:before="120" w:after="200"/>
      </w:pPr>
      <w:r>
        <w:rPr>
          <w:rFonts w:ascii="Arial" w:hAnsi="Arial" w:cs="Arial"/>
          <w:b/>
          <w:i w:val="0"/>
          <w:color w:val="6A1B9A"/>
          <w:sz w:val="20"/>
        </w:rPr>
        <w:t xml:space="preserve">Context: </w:t>
      </w:r>
      <w:r>
        <w:rPr>
          <w:rFonts w:ascii="Arial" w:hAnsi="Arial" w:cs="Arial"/>
          <w:b w:val="0"/>
          <w:i w:val="0"/>
          <w:sz w:val="20"/>
        </w:rPr>
        <w:t>Per HR-29 — non-negotiable. Set up a 90-day renewal alert in the HR system. Set re-vetting cycle at 3 years if not already locked.</w:t>
      </w:r>
    </w:p>
    <w:p>
      <w:r>
        <w:br w:type="page"/>
      </w:r>
    </w:p>
    <w:p>
      <w:pPr>
        <w:pStyle w:val="Heading1"/>
        <w:spacing w:before="200" w:after="120"/>
      </w:pPr>
      <w:r>
        <w:rPr>
          <w:rFonts w:ascii="Arial" w:hAnsi="Arial" w:cs="Arial"/>
          <w:b/>
          <w:i w:val="0"/>
          <w:color w:val="1F4E79"/>
          <w:sz w:val="44"/>
        </w:rPr>
        <w:t>Governance &amp; Compliance</w:t>
      </w:r>
    </w:p>
    <w:p>
      <w:pPr>
        <w:spacing w:after="80"/>
        <w:ind w:left="0"/>
      </w:pPr>
      <w:r>
        <w:rPr>
          <w:rFonts w:ascii="Arial" w:hAnsi="Arial" w:cs="Arial"/>
          <w:b w:val="0"/>
          <w:i/>
          <w:color w:val="595959"/>
          <w:sz w:val="22"/>
        </w:rPr>
        <w:t>7 KPIs in this category.</w:t>
      </w:r>
    </w:p>
    <w:p/>
    <w:p>
      <w:pPr>
        <w:spacing w:before="160" w:after="40"/>
      </w:pPr>
      <w:r>
        <w:rPr>
          <w:rFonts w:ascii="Arial" w:hAnsi="Arial" w:cs="Arial"/>
          <w:b/>
          <w:i w:val="0"/>
          <w:color w:val="1F4E79"/>
          <w:sz w:val="28"/>
        </w:rPr>
        <w:t>Safeguarding concerns raised</w:t>
      </w:r>
    </w:p>
    <w:p>
      <w:pPr>
        <w:spacing w:after="80"/>
      </w:pPr>
      <w:r>
        <w:rPr>
          <w:rFonts w:ascii="Arial" w:hAnsi="Arial" w:cs="Arial"/>
          <w:b/>
          <w:i w:val="0"/>
          <w:color w:val="595959"/>
          <w:sz w:val="20"/>
        </w:rPr>
        <w:t xml:space="preserve">Generic threshold: </w:t>
      </w:r>
      <w:r>
        <w:rPr>
          <w:rFonts w:ascii="Arial" w:hAnsi="Arial" w:cs="Arial"/>
          <w:b w:val="0"/>
          <w:i/>
          <w:color w:val="595959"/>
          <w:sz w:val="20"/>
        </w:rPr>
        <w:t>Trend tracked</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Track only</w:t>
            </w:r>
          </w:p>
        </w:tc>
        <w:tc>
          <w:tcPr>
            <w:tcW w:type="dxa" w:w="3600"/>
            <w:shd w:val="clear" w:color="auto" w:fill="FFF3E0"/>
          </w:tcPr>
          <w:p>
            <w:r/>
            <w:r>
              <w:rPr>
                <w:rFonts w:ascii="Arial" w:hAnsi="Arial" w:cs="Arial"/>
                <w:b/>
                <w:i w:val="0"/>
                <w:color w:val="E65100"/>
                <w:sz w:val="20"/>
              </w:rPr>
              <w:t>Track only</w:t>
            </w:r>
          </w:p>
        </w:tc>
        <w:tc>
          <w:tcPr>
            <w:tcW w:type="dxa" w:w="2880"/>
            <w:shd w:val="clear" w:color="auto" w:fill="FFEBEE"/>
          </w:tcPr>
          <w:p>
            <w:r/>
            <w:r>
              <w:rPr>
                <w:rFonts w:ascii="Arial" w:hAnsi="Arial" w:cs="Arial"/>
                <w:b/>
                <w:i w:val="0"/>
                <w:color w:val="B71C1C"/>
                <w:sz w:val="20"/>
              </w:rPr>
              <w:t>Track only</w:t>
            </w:r>
          </w:p>
        </w:tc>
      </w:tr>
    </w:tbl>
    <w:p>
      <w:pPr>
        <w:spacing w:before="120" w:after="200"/>
      </w:pPr>
      <w:r>
        <w:rPr>
          <w:rFonts w:ascii="Arial" w:hAnsi="Arial" w:cs="Arial"/>
          <w:b/>
          <w:i w:val="0"/>
          <w:color w:val="1F4E79"/>
          <w:sz w:val="20"/>
        </w:rPr>
        <w:t xml:space="preserve">Context: </w:t>
      </w:r>
      <w:r>
        <w:rPr>
          <w:rFonts w:ascii="Arial" w:hAnsi="Arial" w:cs="Arial"/>
          <w:b w:val="0"/>
          <w:i w:val="0"/>
          <w:sz w:val="20"/>
        </w:rPr>
        <w:t>At your scale expect ~1–5% of Service Users to be the subject of a safeguarding concern annually — roughly 4–20 concerns per year. Zero is not the target — under-reporting is more dangerous than over-reporting.</w:t>
      </w:r>
    </w:p>
    <w:p>
      <w:pPr>
        <w:spacing w:before="160" w:after="40"/>
      </w:pPr>
      <w:r>
        <w:rPr>
          <w:rFonts w:ascii="Arial" w:hAnsi="Arial" w:cs="Arial"/>
          <w:b/>
          <w:i w:val="0"/>
          <w:color w:val="1F4E79"/>
          <w:sz w:val="28"/>
        </w:rPr>
        <w:t>Statutory notifications submitted on time</w:t>
      </w:r>
    </w:p>
    <w:p>
      <w:pPr>
        <w:spacing w:after="80"/>
      </w:pPr>
      <w:r>
        <w:rPr>
          <w:rFonts w:ascii="Arial" w:hAnsi="Arial" w:cs="Arial"/>
          <w:b/>
          <w:i w:val="0"/>
          <w:color w:val="595959"/>
          <w:sz w:val="20"/>
        </w:rPr>
        <w:t xml:space="preserve">Generic threshold: </w:t>
      </w:r>
      <w:r>
        <w:rPr>
          <w:rFonts w:ascii="Arial" w:hAnsi="Arial" w:cs="Arial"/>
          <w:b w:val="0"/>
          <w:i/>
          <w:color w:val="595959"/>
          <w:sz w:val="20"/>
        </w:rPr>
        <w:t>100% / Any miss = Red</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100% of statutory notifications submitted within statutory deadline</w:t>
            </w:r>
          </w:p>
        </w:tc>
        <w:tc>
          <w:tcPr>
            <w:tcW w:type="dxa" w:w="3600"/>
            <w:shd w:val="clear" w:color="auto" w:fill="FFF3E0"/>
          </w:tcPr>
          <w:p>
            <w:r/>
            <w:r>
              <w:rPr>
                <w:rFonts w:ascii="Arial" w:hAnsi="Arial" w:cs="Arial"/>
                <w:b/>
                <w:i w:val="0"/>
                <w:color w:val="E65100"/>
                <w:sz w:val="20"/>
              </w:rPr>
              <w:t>n/a</w:t>
            </w:r>
          </w:p>
        </w:tc>
        <w:tc>
          <w:tcPr>
            <w:tcW w:type="dxa" w:w="2880"/>
            <w:shd w:val="clear" w:color="auto" w:fill="FFEBEE"/>
          </w:tcPr>
          <w:p>
            <w:r/>
            <w:r>
              <w:rPr>
                <w:rFonts w:ascii="Arial" w:hAnsi="Arial" w:cs="Arial"/>
                <w:b/>
                <w:i w:val="0"/>
                <w:color w:val="B71C1C"/>
                <w:sz w:val="20"/>
              </w:rPr>
              <w:t>Any miss = red</w:t>
            </w:r>
          </w:p>
        </w:tc>
      </w:tr>
    </w:tbl>
    <w:p>
      <w:pPr>
        <w:spacing w:before="120" w:after="200"/>
      </w:pPr>
      <w:r>
        <w:rPr>
          <w:rFonts w:ascii="Arial" w:hAnsi="Arial" w:cs="Arial"/>
          <w:b/>
          <w:i w:val="0"/>
          <w:color w:val="1F4E79"/>
          <w:sz w:val="20"/>
        </w:rPr>
        <w:t xml:space="preserve">Context: </w:t>
      </w:r>
      <w:r>
        <w:rPr>
          <w:rFonts w:ascii="Arial" w:hAnsi="Arial" w:cs="Arial"/>
          <w:b w:val="0"/>
          <w:i w:val="0"/>
          <w:sz w:val="20"/>
        </w:rPr>
        <w:t>Patient Safety Act 2023, HSE Authorisation Scheme, HIQA — every statutory notification has a defined timeframe. Single miss is a Board-level concern.</w:t>
      </w:r>
    </w:p>
    <w:p>
      <w:pPr>
        <w:spacing w:before="160" w:after="40"/>
      </w:pPr>
      <w:r>
        <w:rPr>
          <w:rFonts w:ascii="Arial" w:hAnsi="Arial" w:cs="Arial"/>
          <w:b/>
          <w:i w:val="0"/>
          <w:color w:val="1F4E79"/>
          <w:sz w:val="28"/>
        </w:rPr>
        <w:t>Audits completed vs plan</w:t>
      </w:r>
    </w:p>
    <w:p>
      <w:pPr>
        <w:spacing w:after="80"/>
      </w:pPr>
      <w:r>
        <w:rPr>
          <w:rFonts w:ascii="Arial" w:hAnsi="Arial" w:cs="Arial"/>
          <w:b/>
          <w:i w:val="0"/>
          <w:color w:val="595959"/>
          <w:sz w:val="20"/>
        </w:rPr>
        <w:t xml:space="preserve">Generic threshold: </w:t>
      </w:r>
      <w:r>
        <w:rPr>
          <w:rFonts w:ascii="Arial" w:hAnsi="Arial" w:cs="Arial"/>
          <w:b w:val="0"/>
          <w:i/>
          <w:color w:val="595959"/>
          <w:sz w:val="20"/>
        </w:rPr>
        <w:t>≥95% / 85–94.9% / &lt;85%</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≥17 of 18 audits completed on schedule per annum</w:t>
            </w:r>
          </w:p>
        </w:tc>
        <w:tc>
          <w:tcPr>
            <w:tcW w:type="dxa" w:w="3600"/>
            <w:shd w:val="clear" w:color="auto" w:fill="FFF3E0"/>
          </w:tcPr>
          <w:p>
            <w:r/>
            <w:r>
              <w:rPr>
                <w:rFonts w:ascii="Arial" w:hAnsi="Arial" w:cs="Arial"/>
                <w:b/>
                <w:i w:val="0"/>
                <w:color w:val="E65100"/>
                <w:sz w:val="20"/>
              </w:rPr>
              <w:t>15–16 completed</w:t>
            </w:r>
          </w:p>
        </w:tc>
        <w:tc>
          <w:tcPr>
            <w:tcW w:type="dxa" w:w="2880"/>
            <w:shd w:val="clear" w:color="auto" w:fill="FFEBEE"/>
          </w:tcPr>
          <w:p>
            <w:r/>
            <w:r>
              <w:rPr>
                <w:rFonts w:ascii="Arial" w:hAnsi="Arial" w:cs="Arial"/>
                <w:b/>
                <w:i w:val="0"/>
                <w:color w:val="B71C1C"/>
                <w:sz w:val="20"/>
              </w:rPr>
              <w:t>&lt;15 completed</w:t>
            </w:r>
          </w:p>
        </w:tc>
      </w:tr>
    </w:tbl>
    <w:p>
      <w:pPr>
        <w:spacing w:before="120" w:after="200"/>
      </w:pPr>
      <w:r>
        <w:rPr>
          <w:rFonts w:ascii="Arial" w:hAnsi="Arial" w:cs="Arial"/>
          <w:b/>
          <w:i w:val="0"/>
          <w:color w:val="1F4E79"/>
          <w:sz w:val="20"/>
        </w:rPr>
        <w:t xml:space="preserve">Context: </w:t>
      </w:r>
      <w:r>
        <w:rPr>
          <w:rFonts w:ascii="Arial" w:hAnsi="Arial" w:cs="Arial"/>
          <w:b w:val="0"/>
          <w:i w:val="0"/>
          <w:sz w:val="20"/>
        </w:rPr>
        <w:t>Year-one calendar in the Audit Working Pack is 18 audits. Slipping even one means a Q4 audit doesn't happen.</w:t>
      </w:r>
    </w:p>
    <w:p>
      <w:pPr>
        <w:spacing w:before="160" w:after="40"/>
      </w:pPr>
      <w:r>
        <w:rPr>
          <w:rFonts w:ascii="Arial" w:hAnsi="Arial" w:cs="Arial"/>
          <w:b/>
          <w:i w:val="0"/>
          <w:color w:val="1F4E79"/>
          <w:sz w:val="28"/>
        </w:rPr>
        <w:t>Audit findings closed within SLA</w:t>
      </w:r>
    </w:p>
    <w:p>
      <w:pPr>
        <w:spacing w:after="80"/>
      </w:pPr>
      <w:r>
        <w:rPr>
          <w:rFonts w:ascii="Arial" w:hAnsi="Arial" w:cs="Arial"/>
          <w:b/>
          <w:i w:val="0"/>
          <w:color w:val="595959"/>
          <w:sz w:val="20"/>
        </w:rPr>
        <w:t xml:space="preserve">Generic threshold: </w:t>
      </w:r>
      <w:r>
        <w:rPr>
          <w:rFonts w:ascii="Arial" w:hAnsi="Arial" w:cs="Arial"/>
          <w:b w:val="0"/>
          <w:i/>
          <w:color w:val="595959"/>
          <w:sz w:val="20"/>
        </w:rPr>
        <w:t>≥90% / 80–89.9% / &lt;80%</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≥90% of audit findings closed by target date</w:t>
            </w:r>
          </w:p>
        </w:tc>
        <w:tc>
          <w:tcPr>
            <w:tcW w:type="dxa" w:w="3600"/>
            <w:shd w:val="clear" w:color="auto" w:fill="FFF3E0"/>
          </w:tcPr>
          <w:p>
            <w:r/>
            <w:r>
              <w:rPr>
                <w:rFonts w:ascii="Arial" w:hAnsi="Arial" w:cs="Arial"/>
                <w:b/>
                <w:i w:val="0"/>
                <w:color w:val="E65100"/>
                <w:sz w:val="20"/>
              </w:rPr>
              <w:t>80–89.9%</w:t>
            </w:r>
          </w:p>
        </w:tc>
        <w:tc>
          <w:tcPr>
            <w:tcW w:type="dxa" w:w="2880"/>
            <w:shd w:val="clear" w:color="auto" w:fill="FFEBEE"/>
          </w:tcPr>
          <w:p>
            <w:r/>
            <w:r>
              <w:rPr>
                <w:rFonts w:ascii="Arial" w:hAnsi="Arial" w:cs="Arial"/>
                <w:b/>
                <w:i w:val="0"/>
                <w:color w:val="B71C1C"/>
                <w:sz w:val="20"/>
              </w:rPr>
              <w:t>&lt;80%</w:t>
            </w:r>
          </w:p>
        </w:tc>
      </w:tr>
    </w:tbl>
    <w:p>
      <w:pPr>
        <w:spacing w:before="120" w:after="200"/>
      </w:pPr>
      <w:r>
        <w:rPr>
          <w:rFonts w:ascii="Arial" w:hAnsi="Arial" w:cs="Arial"/>
          <w:b/>
          <w:i w:val="0"/>
          <w:color w:val="1F4E79"/>
          <w:sz w:val="20"/>
        </w:rPr>
        <w:t xml:space="preserve">Context: </w:t>
      </w:r>
      <w:r>
        <w:rPr>
          <w:rFonts w:ascii="Arial" w:hAnsi="Arial" w:cs="Arial"/>
          <w:b w:val="0"/>
          <w:i w:val="0"/>
          <w:sz w:val="20"/>
        </w:rPr>
        <w:t>Closure within SLA is the test of whether the QIP system is alive or stuck. Findings staying open &gt;90 days = chronic non-closure pattern.</w:t>
      </w:r>
    </w:p>
    <w:p>
      <w:pPr>
        <w:spacing w:before="160" w:after="40"/>
      </w:pPr>
      <w:r>
        <w:rPr>
          <w:rFonts w:ascii="Arial" w:hAnsi="Arial" w:cs="Arial"/>
          <w:b/>
          <w:i w:val="0"/>
          <w:color w:val="1F4E79"/>
          <w:sz w:val="28"/>
        </w:rPr>
        <w:t>Open QIPs</w:t>
      </w:r>
    </w:p>
    <w:p>
      <w:pPr>
        <w:spacing w:after="80"/>
      </w:pPr>
      <w:r>
        <w:rPr>
          <w:rFonts w:ascii="Arial" w:hAnsi="Arial" w:cs="Arial"/>
          <w:b/>
          <w:i w:val="0"/>
          <w:color w:val="595959"/>
          <w:sz w:val="20"/>
        </w:rPr>
        <w:t xml:space="preserve">Generic threshold: </w:t>
      </w:r>
      <w:r>
        <w:rPr>
          <w:rFonts w:ascii="Arial" w:hAnsi="Arial" w:cs="Arial"/>
          <w:b w:val="0"/>
          <w:i/>
          <w:color w:val="595959"/>
          <w:sz w:val="20"/>
        </w:rPr>
        <w:t>Trend tracked</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Track only — typical range 20–40 open at any time</w:t>
            </w:r>
          </w:p>
        </w:tc>
        <w:tc>
          <w:tcPr>
            <w:tcW w:type="dxa" w:w="3600"/>
            <w:shd w:val="clear" w:color="auto" w:fill="FFF3E0"/>
          </w:tcPr>
          <w:p>
            <w:r/>
            <w:r>
              <w:rPr>
                <w:rFonts w:ascii="Arial" w:hAnsi="Arial" w:cs="Arial"/>
                <w:b/>
                <w:i w:val="0"/>
                <w:color w:val="E65100"/>
                <w:sz w:val="20"/>
              </w:rPr>
              <w:t>Track only</w:t>
            </w:r>
          </w:p>
        </w:tc>
        <w:tc>
          <w:tcPr>
            <w:tcW w:type="dxa" w:w="2880"/>
            <w:shd w:val="clear" w:color="auto" w:fill="FFEBEE"/>
          </w:tcPr>
          <w:p>
            <w:r/>
            <w:r>
              <w:rPr>
                <w:rFonts w:ascii="Arial" w:hAnsi="Arial" w:cs="Arial"/>
                <w:b/>
                <w:i w:val="0"/>
                <w:color w:val="B71C1C"/>
                <w:sz w:val="20"/>
              </w:rPr>
              <w:t>Track only</w:t>
            </w:r>
          </w:p>
        </w:tc>
      </w:tr>
    </w:tbl>
    <w:p>
      <w:pPr>
        <w:spacing w:before="120" w:after="200"/>
      </w:pPr>
      <w:r>
        <w:rPr>
          <w:rFonts w:ascii="Arial" w:hAnsi="Arial" w:cs="Arial"/>
          <w:b/>
          <w:i w:val="0"/>
          <w:color w:val="1F4E79"/>
          <w:sz w:val="20"/>
        </w:rPr>
        <w:t xml:space="preserve">Context: </w:t>
      </w:r>
      <w:r>
        <w:rPr>
          <w:rFonts w:ascii="Arial" w:hAnsi="Arial" w:cs="Arial"/>
          <w:b w:val="0"/>
          <w:i w:val="0"/>
          <w:sz w:val="20"/>
        </w:rPr>
        <w:t>At your scale a healthy QIP register has 20–40 open items at any moment. Suddenly going below 10 = under-recording. Suddenly going above 60 = closure problem.</w:t>
      </w:r>
    </w:p>
    <w:p>
      <w:pPr>
        <w:spacing w:before="160" w:after="40"/>
      </w:pPr>
      <w:r>
        <w:rPr>
          <w:rFonts w:ascii="Arial" w:hAnsi="Arial" w:cs="Arial"/>
          <w:b/>
          <w:i w:val="0"/>
          <w:color w:val="1F4E79"/>
          <w:sz w:val="28"/>
        </w:rPr>
        <w:t>QIP closure within target</w:t>
      </w:r>
    </w:p>
    <w:p>
      <w:pPr>
        <w:spacing w:after="80"/>
      </w:pPr>
      <w:r>
        <w:rPr>
          <w:rFonts w:ascii="Arial" w:hAnsi="Arial" w:cs="Arial"/>
          <w:b/>
          <w:i w:val="0"/>
          <w:color w:val="595959"/>
          <w:sz w:val="20"/>
        </w:rPr>
        <w:t xml:space="preserve">Generic threshold: </w:t>
      </w:r>
      <w:r>
        <w:rPr>
          <w:rFonts w:ascii="Arial" w:hAnsi="Arial" w:cs="Arial"/>
          <w:b w:val="0"/>
          <w:i/>
          <w:color w:val="595959"/>
          <w:sz w:val="20"/>
        </w:rPr>
        <w:t>≥85% / 70–84.9% / &lt;70%</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≥85% of QIPs closed by their target date</w:t>
            </w:r>
          </w:p>
        </w:tc>
        <w:tc>
          <w:tcPr>
            <w:tcW w:type="dxa" w:w="3600"/>
            <w:shd w:val="clear" w:color="auto" w:fill="FFF3E0"/>
          </w:tcPr>
          <w:p>
            <w:r/>
            <w:r>
              <w:rPr>
                <w:rFonts w:ascii="Arial" w:hAnsi="Arial" w:cs="Arial"/>
                <w:b/>
                <w:i w:val="0"/>
                <w:color w:val="E65100"/>
                <w:sz w:val="20"/>
              </w:rPr>
              <w:t>70–84.9%</w:t>
            </w:r>
          </w:p>
        </w:tc>
        <w:tc>
          <w:tcPr>
            <w:tcW w:type="dxa" w:w="2880"/>
            <w:shd w:val="clear" w:color="auto" w:fill="FFEBEE"/>
          </w:tcPr>
          <w:p>
            <w:r/>
            <w:r>
              <w:rPr>
                <w:rFonts w:ascii="Arial" w:hAnsi="Arial" w:cs="Arial"/>
                <w:b/>
                <w:i w:val="0"/>
                <w:color w:val="B71C1C"/>
                <w:sz w:val="20"/>
              </w:rPr>
              <w:t>&lt;70%</w:t>
            </w:r>
          </w:p>
        </w:tc>
      </w:tr>
    </w:tbl>
    <w:p>
      <w:pPr>
        <w:spacing w:before="120" w:after="200"/>
      </w:pPr>
      <w:r>
        <w:rPr>
          <w:rFonts w:ascii="Arial" w:hAnsi="Arial" w:cs="Arial"/>
          <w:b/>
          <w:i w:val="0"/>
          <w:color w:val="1F4E79"/>
          <w:sz w:val="20"/>
        </w:rPr>
        <w:t xml:space="preserve">Context: </w:t>
      </w:r>
      <w:r>
        <w:rPr>
          <w:rFonts w:ascii="Arial" w:hAnsi="Arial" w:cs="Arial"/>
          <w:b w:val="0"/>
          <w:i w:val="0"/>
          <w:sz w:val="20"/>
        </w:rPr>
        <w:t>Pair this with average QIP age. If closure rate is high but average age is also rising, you have stuck QIPs that need executive intervention.</w:t>
      </w:r>
    </w:p>
    <w:p>
      <w:pPr>
        <w:spacing w:before="160" w:after="40"/>
      </w:pPr>
      <w:r>
        <w:rPr>
          <w:rFonts w:ascii="Arial" w:hAnsi="Arial" w:cs="Arial"/>
          <w:b/>
          <w:i w:val="0"/>
          <w:color w:val="1F4E79"/>
          <w:sz w:val="28"/>
        </w:rPr>
        <w:t>Policies within review date</w:t>
      </w:r>
    </w:p>
    <w:p>
      <w:pPr>
        <w:spacing w:after="80"/>
      </w:pPr>
      <w:r>
        <w:rPr>
          <w:rFonts w:ascii="Arial" w:hAnsi="Arial" w:cs="Arial"/>
          <w:b/>
          <w:i w:val="0"/>
          <w:color w:val="595959"/>
          <w:sz w:val="20"/>
        </w:rPr>
        <w:t xml:space="preserve">Generic threshold: </w:t>
      </w:r>
      <w:r>
        <w:rPr>
          <w:rFonts w:ascii="Arial" w:hAnsi="Arial" w:cs="Arial"/>
          <w:b w:val="0"/>
          <w:i/>
          <w:color w:val="595959"/>
          <w:sz w:val="20"/>
        </w:rPr>
        <w:t>100% / 95–99.9% / &lt;95%</w:t>
      </w:r>
    </w:p>
    <w:tbl>
      <w:tblPr>
        <w:tblStyle w:val="LightGrid-Accent1"/>
        <w:tblW w:type="auto" w:w="0"/>
        <w:tblLook w:firstColumn="1" w:firstRow="1" w:lastColumn="0" w:lastRow="0" w:noHBand="0" w:noVBand="1" w:val="04A0"/>
      </w:tblPr>
      <w:tblGrid>
        <w:gridCol w:w="3213"/>
        <w:gridCol w:w="3213"/>
        <w:gridCol w:w="3213"/>
      </w:tblGrid>
      <w:tr>
        <w:tc>
          <w:tcPr>
            <w:tcW w:type="dxa" w:w="3600"/>
            <w:shd w:val="clear" w:color="auto" w:fill="1B5E20"/>
          </w:tcPr>
          <w:p>
            <w:r/>
            <w:r>
              <w:rPr>
                <w:rFonts w:ascii="Arial" w:hAnsi="Arial" w:cs="Arial"/>
                <w:b/>
                <w:i w:val="0"/>
                <w:color w:val="FFFFFF"/>
                <w:sz w:val="20"/>
              </w:rPr>
              <w:t>Green</w:t>
            </w:r>
          </w:p>
        </w:tc>
        <w:tc>
          <w:tcPr>
            <w:tcW w:type="dxa" w:w="3600"/>
            <w:shd w:val="clear" w:color="auto" w:fill="E65100"/>
          </w:tcPr>
          <w:p>
            <w:r/>
            <w:r>
              <w:rPr>
                <w:rFonts w:ascii="Arial" w:hAnsi="Arial" w:cs="Arial"/>
                <w:b/>
                <w:i w:val="0"/>
                <w:color w:val="FFFFFF"/>
                <w:sz w:val="20"/>
              </w:rPr>
              <w:t>Amber</w:t>
            </w:r>
          </w:p>
        </w:tc>
        <w:tc>
          <w:tcPr>
            <w:tcW w:type="dxa" w:w="2880"/>
            <w:shd w:val="clear" w:color="auto" w:fill="B71C1C"/>
          </w:tcPr>
          <w:p>
            <w:r/>
            <w:r>
              <w:rPr>
                <w:rFonts w:ascii="Arial" w:hAnsi="Arial" w:cs="Arial"/>
                <w:b/>
                <w:i w:val="0"/>
                <w:color w:val="FFFFFF"/>
                <w:sz w:val="20"/>
              </w:rPr>
              <w:t>Red</w:t>
            </w:r>
          </w:p>
        </w:tc>
      </w:tr>
      <w:tr>
        <w:tc>
          <w:tcPr>
            <w:tcW w:type="dxa" w:w="3600"/>
            <w:shd w:val="clear" w:color="auto" w:fill="E8F5E9"/>
          </w:tcPr>
          <w:p>
            <w:r/>
            <w:r>
              <w:rPr>
                <w:rFonts w:ascii="Arial" w:hAnsi="Arial" w:cs="Arial"/>
                <w:b/>
                <w:i w:val="0"/>
                <w:color w:val="1B5E20"/>
                <w:sz w:val="20"/>
              </w:rPr>
              <w:t>All 42 policies within their review cycle</w:t>
            </w:r>
          </w:p>
        </w:tc>
        <w:tc>
          <w:tcPr>
            <w:tcW w:type="dxa" w:w="3600"/>
            <w:shd w:val="clear" w:color="auto" w:fill="FFF3E0"/>
          </w:tcPr>
          <w:p>
            <w:r/>
            <w:r>
              <w:rPr>
                <w:rFonts w:ascii="Arial" w:hAnsi="Arial" w:cs="Arial"/>
                <w:b/>
                <w:i w:val="0"/>
                <w:color w:val="E65100"/>
                <w:sz w:val="20"/>
              </w:rPr>
              <w:t>40–41 in date (1 overdue acceptable for ≤30 days)</w:t>
            </w:r>
          </w:p>
        </w:tc>
        <w:tc>
          <w:tcPr>
            <w:tcW w:type="dxa" w:w="2880"/>
            <w:shd w:val="clear" w:color="auto" w:fill="FFEBEE"/>
          </w:tcPr>
          <w:p>
            <w:r/>
            <w:r>
              <w:rPr>
                <w:rFonts w:ascii="Arial" w:hAnsi="Arial" w:cs="Arial"/>
                <w:b/>
                <w:i w:val="0"/>
                <w:color w:val="B71C1C"/>
                <w:sz w:val="20"/>
              </w:rPr>
              <w:t>&lt;40 in date</w:t>
            </w:r>
          </w:p>
        </w:tc>
      </w:tr>
    </w:tbl>
    <w:p>
      <w:pPr>
        <w:spacing w:before="120" w:after="200"/>
      </w:pPr>
      <w:r>
        <w:rPr>
          <w:rFonts w:ascii="Arial" w:hAnsi="Arial" w:cs="Arial"/>
          <w:b/>
          <w:i w:val="0"/>
          <w:color w:val="1F4E79"/>
          <w:sz w:val="20"/>
        </w:rPr>
        <w:t xml:space="preserve">Context: </w:t>
      </w:r>
      <w:r>
        <w:rPr>
          <w:rFonts w:ascii="Arial" w:hAnsi="Arial" w:cs="Arial"/>
          <w:b w:val="0"/>
          <w:i w:val="0"/>
          <w:sz w:val="20"/>
        </w:rPr>
        <w:t>The Document Control Register in the QMS Build folder automates this — overdue policies will flag in red as their review date passes.</w:t>
      </w:r>
    </w:p>
    <w:p>
      <w:r>
        <w:br w:type="page"/>
      </w:r>
    </w:p>
    <w:p>
      <w:pPr>
        <w:pStyle w:val="Heading1"/>
        <w:spacing w:before="200" w:after="120"/>
      </w:pPr>
      <w:r>
        <w:rPr>
          <w:rFonts w:ascii="Arial" w:hAnsi="Arial" w:cs="Arial"/>
          <w:b/>
          <w:i w:val="0"/>
          <w:color w:val="1F4E79"/>
          <w:sz w:val="44"/>
        </w:rPr>
        <w:t>Top numbers to remember</w:t>
      </w:r>
    </w:p>
    <w:p>
      <w:pPr>
        <w:spacing w:after="80"/>
        <w:ind w:left="0"/>
      </w:pPr>
      <w:r>
        <w:rPr>
          <w:rFonts w:ascii="Arial" w:hAnsi="Arial" w:cs="Arial"/>
          <w:b w:val="0"/>
          <w:i/>
          <w:color w:val="595959"/>
          <w:sz w:val="22"/>
        </w:rPr>
        <w:t>The dozen numbers that any Director should be able to recite. If these are memorised, the QMS is operationally credible.</w:t>
      </w:r>
    </w:p>
    <w:p/>
    <w:tbl>
      <w:tblPr>
        <w:tblStyle w:val="LightGrid-Accent1"/>
        <w:tblW w:type="auto" w:w="0"/>
        <w:tblLook w:firstColumn="1" w:firstRow="1" w:lastColumn="0" w:lastRow="0" w:noHBand="0" w:noVBand="1" w:val="04A0"/>
      </w:tblPr>
      <w:tblGrid>
        <w:gridCol w:w="4819"/>
        <w:gridCol w:w="4819"/>
      </w:tblGrid>
      <w:tr>
        <w:tc>
          <w:tcPr>
            <w:tcW w:type="dxa" w:w="1728"/>
            <w:shd w:val="clear" w:color="auto" w:fill="F2F2F2"/>
            <w:vAlign w:val="center"/>
          </w:tcPr>
          <w:p>
            <w:r/>
            <w:r>
              <w:rPr>
                <w:rFonts w:ascii="Arial" w:hAnsi="Arial" w:cs="Arial"/>
                <w:b/>
                <w:i w:val="0"/>
                <w:color w:val="1F4E79"/>
                <w:sz w:val="40"/>
              </w:rPr>
              <w:t>25,333</w:t>
            </w:r>
          </w:p>
        </w:tc>
        <w:tc>
          <w:tcPr>
            <w:tcW w:type="dxa" w:w="7920"/>
            <w:vAlign w:val="center"/>
          </w:tcPr>
          <w:p>
            <w:r/>
            <w:r>
              <w:rPr>
                <w:rFonts w:ascii="Arial" w:hAnsi="Arial" w:cs="Arial"/>
                <w:b w:val="0"/>
                <w:i w:val="0"/>
                <w:sz w:val="22"/>
              </w:rPr>
              <w:t>visits delivered every month</w:t>
            </w:r>
          </w:p>
        </w:tc>
      </w:tr>
      <w:tr>
        <w:tc>
          <w:tcPr>
            <w:tcW w:type="dxa" w:w="1728"/>
            <w:shd w:val="clear" w:color="auto" w:fill="F2F2F2"/>
            <w:vAlign w:val="center"/>
          </w:tcPr>
          <w:p>
            <w:r/>
            <w:r>
              <w:rPr>
                <w:rFonts w:ascii="Arial" w:hAnsi="Arial" w:cs="Arial"/>
                <w:b/>
                <w:i w:val="0"/>
                <w:color w:val="1F4E79"/>
                <w:sz w:val="40"/>
              </w:rPr>
              <w:t>127</w:t>
            </w:r>
          </w:p>
        </w:tc>
        <w:tc>
          <w:tcPr>
            <w:tcW w:type="dxa" w:w="7920"/>
            <w:vAlign w:val="center"/>
          </w:tcPr>
          <w:p>
            <w:r/>
            <w:r>
              <w:rPr>
                <w:rFonts w:ascii="Arial" w:hAnsi="Arial" w:cs="Arial"/>
                <w:b w:val="0"/>
                <w:i w:val="0"/>
                <w:sz w:val="22"/>
              </w:rPr>
              <w:t>missed visits per month is your green threshold</w:t>
            </w:r>
          </w:p>
        </w:tc>
      </w:tr>
      <w:tr>
        <w:tc>
          <w:tcPr>
            <w:tcW w:type="dxa" w:w="1728"/>
            <w:shd w:val="clear" w:color="auto" w:fill="F2F2F2"/>
            <w:vAlign w:val="center"/>
          </w:tcPr>
          <w:p>
            <w:r/>
            <w:r>
              <w:rPr>
                <w:rFonts w:ascii="Arial" w:hAnsi="Arial" w:cs="Arial"/>
                <w:b/>
                <w:i w:val="0"/>
                <w:color w:val="1F4E79"/>
                <w:sz w:val="40"/>
              </w:rPr>
              <w:t>760</w:t>
            </w:r>
          </w:p>
        </w:tc>
        <w:tc>
          <w:tcPr>
            <w:tcW w:type="dxa" w:w="7920"/>
            <w:vAlign w:val="center"/>
          </w:tcPr>
          <w:p>
            <w:r/>
            <w:r>
              <w:rPr>
                <w:rFonts w:ascii="Arial" w:hAnsi="Arial" w:cs="Arial"/>
                <w:b w:val="0"/>
                <w:i w:val="0"/>
                <w:sz w:val="22"/>
              </w:rPr>
              <w:t>late visits per month is the amber boundary</w:t>
            </w:r>
          </w:p>
        </w:tc>
      </w:tr>
      <w:tr>
        <w:tc>
          <w:tcPr>
            <w:tcW w:type="dxa" w:w="1728"/>
            <w:shd w:val="clear" w:color="auto" w:fill="F2F2F2"/>
            <w:vAlign w:val="center"/>
          </w:tcPr>
          <w:p>
            <w:r/>
            <w:r>
              <w:rPr>
                <w:rFonts w:ascii="Arial" w:hAnsi="Arial" w:cs="Arial"/>
                <w:b/>
                <w:i w:val="0"/>
                <w:color w:val="1F4E79"/>
                <w:sz w:val="40"/>
              </w:rPr>
              <w:t>12</w:t>
            </w:r>
          </w:p>
        </w:tc>
        <w:tc>
          <w:tcPr>
            <w:tcW w:type="dxa" w:w="7920"/>
            <w:vAlign w:val="center"/>
          </w:tcPr>
          <w:p>
            <w:r/>
            <w:r>
              <w:rPr>
                <w:rFonts w:ascii="Arial" w:hAnsi="Arial" w:cs="Arial"/>
                <w:b w:val="0"/>
                <w:i w:val="0"/>
                <w:sz w:val="22"/>
              </w:rPr>
              <w:t>falls per month across 400 SUs = green threshold</w:t>
            </w:r>
          </w:p>
        </w:tc>
      </w:tr>
      <w:tr>
        <w:tc>
          <w:tcPr>
            <w:tcW w:type="dxa" w:w="1728"/>
            <w:shd w:val="clear" w:color="auto" w:fill="F2F2F2"/>
            <w:vAlign w:val="center"/>
          </w:tcPr>
          <w:p>
            <w:r/>
            <w:r>
              <w:rPr>
                <w:rFonts w:ascii="Arial" w:hAnsi="Arial" w:cs="Arial"/>
                <w:b/>
                <w:i w:val="0"/>
                <w:color w:val="1F4E79"/>
                <w:sz w:val="40"/>
              </w:rPr>
              <w:t>8</w:t>
            </w:r>
          </w:p>
        </w:tc>
        <w:tc>
          <w:tcPr>
            <w:tcW w:type="dxa" w:w="7920"/>
            <w:vAlign w:val="center"/>
          </w:tcPr>
          <w:p>
            <w:r/>
            <w:r>
              <w:rPr>
                <w:rFonts w:ascii="Arial" w:hAnsi="Arial" w:cs="Arial"/>
                <w:b w:val="0"/>
                <w:i w:val="0"/>
                <w:sz w:val="22"/>
              </w:rPr>
              <w:t>medication errors per month is your green ceiling</w:t>
            </w:r>
          </w:p>
        </w:tc>
      </w:tr>
      <w:tr>
        <w:tc>
          <w:tcPr>
            <w:tcW w:type="dxa" w:w="1728"/>
            <w:shd w:val="clear" w:color="auto" w:fill="F2F2F2"/>
            <w:vAlign w:val="center"/>
          </w:tcPr>
          <w:p>
            <w:r/>
            <w:r>
              <w:rPr>
                <w:rFonts w:ascii="Arial" w:hAnsi="Arial" w:cs="Arial"/>
                <w:b/>
                <w:i w:val="0"/>
                <w:color w:val="1F4E79"/>
                <w:sz w:val="40"/>
              </w:rPr>
              <w:t>27</w:t>
            </w:r>
          </w:p>
        </w:tc>
        <w:tc>
          <w:tcPr>
            <w:tcW w:type="dxa" w:w="7920"/>
            <w:vAlign w:val="center"/>
          </w:tcPr>
          <w:p>
            <w:r/>
            <w:r>
              <w:rPr>
                <w:rFonts w:ascii="Arial" w:hAnsi="Arial" w:cs="Arial"/>
                <w:b w:val="0"/>
                <w:i w:val="0"/>
                <w:sz w:val="22"/>
              </w:rPr>
              <w:t>leavers per year is the ≤20% turnover target (135 staff)</w:t>
            </w:r>
          </w:p>
        </w:tc>
      </w:tr>
      <w:tr>
        <w:tc>
          <w:tcPr>
            <w:tcW w:type="dxa" w:w="1728"/>
            <w:shd w:val="clear" w:color="auto" w:fill="F2F2F2"/>
            <w:vAlign w:val="center"/>
          </w:tcPr>
          <w:p>
            <w:r/>
            <w:r>
              <w:rPr>
                <w:rFonts w:ascii="Arial" w:hAnsi="Arial" w:cs="Arial"/>
                <w:b/>
                <w:i w:val="0"/>
                <w:color w:val="1F4E79"/>
                <w:sz w:val="40"/>
              </w:rPr>
              <w:t>128</w:t>
            </w:r>
          </w:p>
        </w:tc>
        <w:tc>
          <w:tcPr>
            <w:tcW w:type="dxa" w:w="7920"/>
            <w:vAlign w:val="center"/>
          </w:tcPr>
          <w:p>
            <w:r/>
            <w:r>
              <w:rPr>
                <w:rFonts w:ascii="Arial" w:hAnsi="Arial" w:cs="Arial"/>
                <w:b w:val="0"/>
                <w:i w:val="0"/>
                <w:sz w:val="22"/>
              </w:rPr>
              <w:t>staff with all training in date = ≥95% target</w:t>
            </w:r>
          </w:p>
        </w:tc>
      </w:tr>
      <w:tr>
        <w:tc>
          <w:tcPr>
            <w:tcW w:type="dxa" w:w="1728"/>
            <w:shd w:val="clear" w:color="auto" w:fill="F2F2F2"/>
            <w:vAlign w:val="center"/>
          </w:tcPr>
          <w:p>
            <w:r/>
            <w:r>
              <w:rPr>
                <w:rFonts w:ascii="Arial" w:hAnsi="Arial" w:cs="Arial"/>
                <w:b/>
                <w:i w:val="0"/>
                <w:color w:val="1F4E79"/>
                <w:sz w:val="40"/>
              </w:rPr>
              <w:t>119</w:t>
            </w:r>
          </w:p>
        </w:tc>
        <w:tc>
          <w:tcPr>
            <w:tcW w:type="dxa" w:w="7920"/>
            <w:vAlign w:val="center"/>
          </w:tcPr>
          <w:p>
            <w:r/>
            <w:r>
              <w:rPr>
                <w:rFonts w:ascii="Arial" w:hAnsi="Arial" w:cs="Arial"/>
                <w:b w:val="0"/>
                <w:i w:val="0"/>
                <w:sz w:val="22"/>
              </w:rPr>
              <w:t>sickness days per month is the green ceiling</w:t>
            </w:r>
          </w:p>
        </w:tc>
      </w:tr>
      <w:tr>
        <w:tc>
          <w:tcPr>
            <w:tcW w:type="dxa" w:w="1728"/>
            <w:shd w:val="clear" w:color="auto" w:fill="F2F2F2"/>
            <w:vAlign w:val="center"/>
          </w:tcPr>
          <w:p>
            <w:r/>
            <w:r>
              <w:rPr>
                <w:rFonts w:ascii="Arial" w:hAnsi="Arial" w:cs="Arial"/>
                <w:b/>
                <w:i w:val="0"/>
                <w:color w:val="1F4E79"/>
                <w:sz w:val="40"/>
              </w:rPr>
              <w:t>0</w:t>
            </w:r>
          </w:p>
        </w:tc>
        <w:tc>
          <w:tcPr>
            <w:tcW w:type="dxa" w:w="7920"/>
            <w:vAlign w:val="center"/>
          </w:tcPr>
          <w:p>
            <w:r/>
            <w:r>
              <w:rPr>
                <w:rFonts w:ascii="Arial" w:hAnsi="Arial" w:cs="Arial"/>
                <w:b w:val="0"/>
                <w:i w:val="0"/>
                <w:sz w:val="22"/>
              </w:rPr>
              <w:t>Major or Extreme incidents in the month = target</w:t>
            </w:r>
          </w:p>
        </w:tc>
      </w:tr>
      <w:tr>
        <w:tc>
          <w:tcPr>
            <w:tcW w:type="dxa" w:w="1728"/>
            <w:shd w:val="clear" w:color="auto" w:fill="F2F2F2"/>
            <w:vAlign w:val="center"/>
          </w:tcPr>
          <w:p>
            <w:r/>
            <w:r>
              <w:rPr>
                <w:rFonts w:ascii="Arial" w:hAnsi="Arial" w:cs="Arial"/>
                <w:b/>
                <w:i w:val="0"/>
                <w:color w:val="1F4E79"/>
                <w:sz w:val="40"/>
              </w:rPr>
              <w:t>100%</w:t>
            </w:r>
          </w:p>
        </w:tc>
        <w:tc>
          <w:tcPr>
            <w:tcW w:type="dxa" w:w="7920"/>
            <w:vAlign w:val="center"/>
          </w:tcPr>
          <w:p>
            <w:r/>
            <w:r>
              <w:rPr>
                <w:rFonts w:ascii="Arial" w:hAnsi="Arial" w:cs="Arial"/>
                <w:b w:val="0"/>
                <w:i w:val="0"/>
                <w:sz w:val="22"/>
              </w:rPr>
              <w:t>statutory notifications submitted on time</w:t>
            </w:r>
          </w:p>
        </w:tc>
      </w:tr>
      <w:tr>
        <w:tc>
          <w:tcPr>
            <w:tcW w:type="dxa" w:w="1728"/>
            <w:shd w:val="clear" w:color="auto" w:fill="F2F2F2"/>
            <w:vAlign w:val="center"/>
          </w:tcPr>
          <w:p>
            <w:r/>
            <w:r>
              <w:rPr>
                <w:rFonts w:ascii="Arial" w:hAnsi="Arial" w:cs="Arial"/>
                <w:b/>
                <w:i w:val="0"/>
                <w:color w:val="1F4E79"/>
                <w:sz w:val="40"/>
              </w:rPr>
              <w:t>17</w:t>
            </w:r>
          </w:p>
        </w:tc>
        <w:tc>
          <w:tcPr>
            <w:tcW w:type="dxa" w:w="7920"/>
            <w:vAlign w:val="center"/>
          </w:tcPr>
          <w:p>
            <w:r/>
            <w:r>
              <w:rPr>
                <w:rFonts w:ascii="Arial" w:hAnsi="Arial" w:cs="Arial"/>
                <w:b w:val="0"/>
                <w:i w:val="0"/>
                <w:sz w:val="22"/>
              </w:rPr>
              <w:t>of 18 annual audits completed = ≥95% green</w:t>
            </w:r>
          </w:p>
        </w:tc>
      </w:tr>
      <w:tr>
        <w:tc>
          <w:tcPr>
            <w:tcW w:type="dxa" w:w="1728"/>
            <w:shd w:val="clear" w:color="auto" w:fill="F2F2F2"/>
            <w:vAlign w:val="center"/>
          </w:tcPr>
          <w:p>
            <w:r/>
            <w:r>
              <w:rPr>
                <w:rFonts w:ascii="Arial" w:hAnsi="Arial" w:cs="Arial"/>
                <w:b/>
                <w:i w:val="0"/>
                <w:color w:val="1F4E79"/>
                <w:sz w:val="40"/>
              </w:rPr>
              <w:t>42</w:t>
            </w:r>
          </w:p>
        </w:tc>
        <w:tc>
          <w:tcPr>
            <w:tcW w:type="dxa" w:w="7920"/>
            <w:vAlign w:val="center"/>
          </w:tcPr>
          <w:p>
            <w:r/>
            <w:r>
              <w:rPr>
                <w:rFonts w:ascii="Arial" w:hAnsi="Arial" w:cs="Arial"/>
                <w:b w:val="0"/>
                <w:i w:val="0"/>
                <w:sz w:val="22"/>
              </w:rPr>
              <w:t>policies — all must be within review date</w:t>
            </w:r>
          </w:p>
        </w:tc>
      </w:tr>
    </w:tbl>
    <w:p>
      <w:r>
        <w:br w:type="page"/>
      </w:r>
    </w:p>
    <w:p>
      <w:pPr>
        <w:pStyle w:val="Heading1"/>
        <w:spacing w:before="200" w:after="120"/>
      </w:pPr>
      <w:r>
        <w:rPr>
          <w:rFonts w:ascii="Arial" w:hAnsi="Arial" w:cs="Arial"/>
          <w:b/>
          <w:i w:val="0"/>
          <w:color w:val="C62828"/>
          <w:sz w:val="44"/>
        </w:rPr>
        <w:t>Assumptions to verify</w:t>
      </w:r>
    </w:p>
    <w:p>
      <w:pPr>
        <w:spacing w:after="80"/>
        <w:ind w:left="0"/>
      </w:pPr>
      <w:r>
        <w:rPr>
          <w:rFonts w:ascii="Arial" w:hAnsi="Arial" w:cs="Arial"/>
          <w:b w:val="0"/>
          <w:i/>
          <w:color w:val="595959"/>
          <w:sz w:val="22"/>
        </w:rPr>
        <w:t>Each item below is an assumption baked into the calibrated thresholds. Replace with actual data from CRM and HR systems before final CGC sign-off.</w:t>
      </w:r>
    </w:p>
    <w:p/>
    <w:tbl>
      <w:tblPr>
        <w:tblStyle w:val="LightGrid-Accent1"/>
        <w:tblW w:type="auto" w:w="0"/>
        <w:tblLook w:firstColumn="1" w:firstRow="1" w:lastColumn="0" w:lastRow="0" w:noHBand="0" w:noVBand="1" w:val="04A0"/>
      </w:tblPr>
      <w:tblGrid>
        <w:gridCol w:w="3213"/>
        <w:gridCol w:w="3213"/>
        <w:gridCol w:w="3213"/>
      </w:tblGrid>
      <w:tr>
        <w:tc>
          <w:tcPr>
            <w:tcW w:type="dxa" w:w="3456"/>
            <w:shd w:val="clear" w:color="auto" w:fill="C62828"/>
          </w:tcPr>
          <w:p>
            <w:r/>
            <w:r>
              <w:rPr>
                <w:rFonts w:ascii="Arial" w:hAnsi="Arial" w:cs="Arial"/>
                <w:b/>
                <w:i w:val="0"/>
                <w:color w:val="FFFFFF"/>
                <w:sz w:val="20"/>
              </w:rPr>
              <w:t>Assumption</w:t>
            </w:r>
          </w:p>
        </w:tc>
        <w:tc>
          <w:tcPr>
            <w:tcW w:type="dxa" w:w="1440"/>
            <w:shd w:val="clear" w:color="auto" w:fill="C62828"/>
          </w:tcPr>
          <w:p>
            <w:r/>
            <w:r>
              <w:rPr>
                <w:rFonts w:ascii="Arial" w:hAnsi="Arial" w:cs="Arial"/>
                <w:b/>
                <w:i w:val="0"/>
                <w:color w:val="FFFFFF"/>
                <w:sz w:val="20"/>
              </w:rPr>
              <w:t>Used</w:t>
            </w:r>
          </w:p>
        </w:tc>
        <w:tc>
          <w:tcPr>
            <w:tcW w:type="dxa" w:w="5184"/>
            <w:shd w:val="clear" w:color="auto" w:fill="C62828"/>
          </w:tcPr>
          <w:p>
            <w:r/>
            <w:r>
              <w:rPr>
                <w:rFonts w:ascii="Arial" w:hAnsi="Arial" w:cs="Arial"/>
                <w:b/>
                <w:i w:val="0"/>
                <w:color w:val="FFFFFF"/>
                <w:sz w:val="20"/>
              </w:rPr>
              <w:t>Verification path</w:t>
            </w:r>
          </w:p>
        </w:tc>
      </w:tr>
      <w:tr>
        <w:tc>
          <w:tcPr>
            <w:tcW w:type="dxa" w:w="3456"/>
          </w:tcPr>
          <w:p>
            <w:r/>
            <w:r>
              <w:rPr>
                <w:rFonts w:ascii="Arial" w:hAnsi="Arial" w:cs="Arial"/>
                <w:b/>
                <w:i w:val="0"/>
                <w:sz w:val="20"/>
              </w:rPr>
              <w:t>Active Service User count</w:t>
            </w:r>
          </w:p>
        </w:tc>
        <w:tc>
          <w:tcPr>
            <w:tcW w:type="dxa" w:w="1440"/>
          </w:tcPr>
          <w:p>
            <w:r/>
            <w:r>
              <w:rPr>
                <w:rFonts w:ascii="Arial" w:hAnsi="Arial" w:cs="Arial"/>
                <w:b/>
                <w:i w:val="0"/>
                <w:color w:val="C62828"/>
                <w:sz w:val="22"/>
              </w:rPr>
              <w:t>400</w:t>
            </w:r>
          </w:p>
        </w:tc>
        <w:tc>
          <w:tcPr>
            <w:tcW w:type="dxa" w:w="5184"/>
          </w:tcPr>
          <w:p>
            <w:r/>
            <w:r>
              <w:rPr>
                <w:rFonts w:ascii="Arial" w:hAnsi="Arial" w:cs="Arial"/>
                <w:b w:val="0"/>
                <w:i w:val="0"/>
                <w:sz w:val="20"/>
              </w:rPr>
              <w:t>From Statement of Purpose (GOV-21). Confirm against today's CRM headcount; expect movement of ±20 month-on-month.</w:t>
            </w:r>
          </w:p>
        </w:tc>
      </w:tr>
      <w:tr>
        <w:tc>
          <w:tcPr>
            <w:tcW w:type="dxa" w:w="3456"/>
          </w:tcPr>
          <w:p>
            <w:r/>
            <w:r>
              <w:rPr>
                <w:rFonts w:ascii="Arial" w:hAnsi="Arial" w:cs="Arial"/>
                <w:b/>
                <w:i w:val="0"/>
                <w:sz w:val="20"/>
              </w:rPr>
              <w:t>Average visit duration</w:t>
            </w:r>
          </w:p>
        </w:tc>
        <w:tc>
          <w:tcPr>
            <w:tcW w:type="dxa" w:w="1440"/>
          </w:tcPr>
          <w:p>
            <w:r/>
            <w:r>
              <w:rPr>
                <w:rFonts w:ascii="Arial" w:hAnsi="Arial" w:cs="Arial"/>
                <w:b/>
                <w:i w:val="0"/>
                <w:color w:val="C62828"/>
                <w:sz w:val="22"/>
              </w:rPr>
              <w:t>45 minutes</w:t>
            </w:r>
          </w:p>
        </w:tc>
        <w:tc>
          <w:tcPr>
            <w:tcW w:type="dxa" w:w="5184"/>
          </w:tcPr>
          <w:p>
            <w:r/>
            <w:r>
              <w:rPr>
                <w:rFonts w:ascii="Arial" w:hAnsi="Arial" w:cs="Arial"/>
                <w:b w:val="0"/>
                <w:i w:val="0"/>
                <w:sz w:val="20"/>
              </w:rPr>
              <w:t>Reasonable Irish home-support average. Pull actual distribution from CRM (visit length × frequency).</w:t>
            </w:r>
          </w:p>
        </w:tc>
      </w:tr>
      <w:tr>
        <w:tc>
          <w:tcPr>
            <w:tcW w:type="dxa" w:w="3456"/>
          </w:tcPr>
          <w:p>
            <w:r/>
            <w:r>
              <w:rPr>
                <w:rFonts w:ascii="Arial" w:hAnsi="Arial" w:cs="Arial"/>
                <w:b/>
                <w:i w:val="0"/>
                <w:sz w:val="20"/>
              </w:rPr>
              <w:t>% of visits with medication prompting</w:t>
            </w:r>
          </w:p>
        </w:tc>
        <w:tc>
          <w:tcPr>
            <w:tcW w:type="dxa" w:w="1440"/>
          </w:tcPr>
          <w:p>
            <w:r/>
            <w:r>
              <w:rPr>
                <w:rFonts w:ascii="Arial" w:hAnsi="Arial" w:cs="Arial"/>
                <w:b/>
                <w:i w:val="0"/>
                <w:color w:val="C62828"/>
                <w:sz w:val="22"/>
              </w:rPr>
              <w:t>60%</w:t>
            </w:r>
          </w:p>
        </w:tc>
        <w:tc>
          <w:tcPr>
            <w:tcW w:type="dxa" w:w="5184"/>
          </w:tcPr>
          <w:p>
            <w:r/>
            <w:r>
              <w:rPr>
                <w:rFonts w:ascii="Arial" w:hAnsi="Arial" w:cs="Arial"/>
                <w:b w:val="0"/>
                <w:i w:val="0"/>
                <w:sz w:val="20"/>
              </w:rPr>
              <w:t>Industry estimate. Drives the medication-errors-per-1,000-prompts denominator. Should be measurable from CRM.</w:t>
            </w:r>
          </w:p>
        </w:tc>
      </w:tr>
      <w:tr>
        <w:tc>
          <w:tcPr>
            <w:tcW w:type="dxa" w:w="3456"/>
          </w:tcPr>
          <w:p>
            <w:r/>
            <w:r>
              <w:rPr>
                <w:rFonts w:ascii="Arial" w:hAnsi="Arial" w:cs="Arial"/>
                <w:b/>
                <w:i w:val="0"/>
                <w:sz w:val="20"/>
              </w:rPr>
              <w:t>Staff working days per month</w:t>
            </w:r>
          </w:p>
        </w:tc>
        <w:tc>
          <w:tcPr>
            <w:tcW w:type="dxa" w:w="1440"/>
          </w:tcPr>
          <w:p>
            <w:r/>
            <w:r>
              <w:rPr>
                <w:rFonts w:ascii="Arial" w:hAnsi="Arial" w:cs="Arial"/>
                <w:b/>
                <w:i w:val="0"/>
                <w:color w:val="C62828"/>
                <w:sz w:val="22"/>
              </w:rPr>
              <w:t>22</w:t>
            </w:r>
          </w:p>
        </w:tc>
        <w:tc>
          <w:tcPr>
            <w:tcW w:type="dxa" w:w="5184"/>
          </w:tcPr>
          <w:p>
            <w:r/>
            <w:r>
              <w:rPr>
                <w:rFonts w:ascii="Arial" w:hAnsi="Arial" w:cs="Arial"/>
                <w:b w:val="0"/>
                <w:i w:val="0"/>
                <w:sz w:val="20"/>
              </w:rPr>
              <w:t>Standard. Adjust if Liberty Living uses 4-day week or extended week patterns.</w:t>
            </w:r>
          </w:p>
        </w:tc>
      </w:tr>
      <w:tr>
        <w:tc>
          <w:tcPr>
            <w:tcW w:type="dxa" w:w="3456"/>
          </w:tcPr>
          <w:p>
            <w:r/>
            <w:r>
              <w:rPr>
                <w:rFonts w:ascii="Arial" w:hAnsi="Arial" w:cs="Arial"/>
                <w:b/>
                <w:i w:val="0"/>
                <w:sz w:val="20"/>
              </w:rPr>
              <w:t>Annual turnover target</w:t>
            </w:r>
          </w:p>
        </w:tc>
        <w:tc>
          <w:tcPr>
            <w:tcW w:type="dxa" w:w="1440"/>
          </w:tcPr>
          <w:p>
            <w:r/>
            <w:r>
              <w:rPr>
                <w:rFonts w:ascii="Arial" w:hAnsi="Arial" w:cs="Arial"/>
                <w:b/>
                <w:i w:val="0"/>
                <w:color w:val="C62828"/>
                <w:sz w:val="22"/>
              </w:rPr>
              <w:t>20%</w:t>
            </w:r>
          </w:p>
        </w:tc>
        <w:tc>
          <w:tcPr>
            <w:tcW w:type="dxa" w:w="5184"/>
          </w:tcPr>
          <w:p>
            <w:r/>
            <w:r>
              <w:rPr>
                <w:rFonts w:ascii="Arial" w:hAnsi="Arial" w:cs="Arial"/>
                <w:b w:val="0"/>
                <w:i w:val="0"/>
                <w:sz w:val="20"/>
              </w:rPr>
              <w:t>Below Irish sector average of 25-35%. Ambitious. The Board may want to set this at 25% in year 1, tightening to 20% in year 2.</w:t>
            </w:r>
          </w:p>
        </w:tc>
      </w:tr>
      <w:tr>
        <w:tc>
          <w:tcPr>
            <w:tcW w:type="dxa" w:w="3456"/>
          </w:tcPr>
          <w:p>
            <w:r/>
            <w:r>
              <w:rPr>
                <w:rFonts w:ascii="Arial" w:hAnsi="Arial" w:cs="Arial"/>
                <w:b/>
                <w:i w:val="0"/>
                <w:sz w:val="20"/>
              </w:rPr>
              <w:t>Care plan review cadence</w:t>
            </w:r>
          </w:p>
        </w:tc>
        <w:tc>
          <w:tcPr>
            <w:tcW w:type="dxa" w:w="1440"/>
          </w:tcPr>
          <w:p>
            <w:r/>
            <w:r>
              <w:rPr>
                <w:rFonts w:ascii="Arial" w:hAnsi="Arial" w:cs="Arial"/>
                <w:b/>
                <w:i w:val="0"/>
                <w:color w:val="C62828"/>
                <w:sz w:val="22"/>
              </w:rPr>
              <w:t>Annual</w:t>
            </w:r>
          </w:p>
        </w:tc>
        <w:tc>
          <w:tcPr>
            <w:tcW w:type="dxa" w:w="5184"/>
          </w:tcPr>
          <w:p>
            <w:r/>
            <w:r>
              <w:rPr>
                <w:rFonts w:ascii="Arial" w:hAnsi="Arial" w:cs="Arial"/>
                <w:b w:val="0"/>
                <w:i w:val="0"/>
                <w:sz w:val="20"/>
              </w:rPr>
              <w:t>Minimum. CARE-08 may specify earlier cadence for higher-acuity Service Users.</w:t>
            </w:r>
          </w:p>
        </w:tc>
      </w:tr>
      <w:tr>
        <w:tc>
          <w:tcPr>
            <w:tcW w:type="dxa" w:w="3456"/>
          </w:tcPr>
          <w:p>
            <w:r/>
            <w:r>
              <w:rPr>
                <w:rFonts w:ascii="Arial" w:hAnsi="Arial" w:cs="Arial"/>
                <w:b/>
                <w:i w:val="0"/>
                <w:sz w:val="20"/>
              </w:rPr>
              <w:t>Med-prompt incidents are reported faithfully</w:t>
            </w:r>
          </w:p>
        </w:tc>
        <w:tc>
          <w:tcPr>
            <w:tcW w:type="dxa" w:w="1440"/>
          </w:tcPr>
          <w:p>
            <w:r/>
            <w:r>
              <w:rPr>
                <w:rFonts w:ascii="Arial" w:hAnsi="Arial" w:cs="Arial"/>
                <w:b/>
                <w:i w:val="0"/>
                <w:color w:val="C62828"/>
                <w:sz w:val="22"/>
              </w:rPr>
              <w:t>Yes</w:t>
            </w:r>
          </w:p>
        </w:tc>
        <w:tc>
          <w:tcPr>
            <w:tcW w:type="dxa" w:w="5184"/>
          </w:tcPr>
          <w:p>
            <w:r/>
            <w:r>
              <w:rPr>
                <w:rFonts w:ascii="Arial" w:hAnsi="Arial" w:cs="Arial"/>
                <w:b w:val="0"/>
                <w:i w:val="0"/>
                <w:sz w:val="20"/>
              </w:rPr>
              <w:t>If frontline staff fear blame, this denominator will look artificially clean. Cross-check with audit findings.</w:t>
            </w:r>
          </w:p>
        </w:tc>
      </w:tr>
    </w:tbl>
    <w:p>
      <w:r>
        <w:br w:type="page"/>
      </w:r>
    </w:p>
    <w:p>
      <w:pPr>
        <w:pStyle w:val="Heading1"/>
        <w:spacing w:before="200" w:after="120"/>
        <w:jc w:val="center"/>
      </w:pPr>
      <w:r>
        <w:rPr>
          <w:rFonts w:ascii="Arial" w:hAnsi="Arial" w:cs="Arial"/>
          <w:b/>
          <w:i w:val="0"/>
          <w:color w:val="1F4E79"/>
          <w:sz w:val="44"/>
        </w:rPr>
        <w:t>Sign-off</w:t>
      </w:r>
    </w:p>
    <w:p>
      <w:pPr>
        <w:spacing w:after="80"/>
        <w:ind w:left="0"/>
        <w:jc w:val="center"/>
      </w:pPr>
      <w:r>
        <w:rPr>
          <w:rFonts w:ascii="Arial" w:hAnsi="Arial" w:cs="Arial"/>
          <w:b w:val="0"/>
          <w:i/>
          <w:color w:val="595959"/>
          <w:sz w:val="22"/>
        </w:rPr>
        <w:t>Calibrated KPI set ratified by the Clinical Governance Committee and CEO. To be reviewed quarterly and re-calibrated annually against actual delivery volume.</w:t>
      </w:r>
    </w:p>
    <w:p/>
    <w:p/>
    <w:tbl>
      <w:tblPr>
        <w:tblW w:type="auto" w:w="0"/>
        <w:jc w:val="center"/>
        <w:tblLayout w:type="fixed"/>
        <w:tblLook w:firstColumn="1" w:firstRow="1" w:lastColumn="0" w:lastRow="0" w:noHBand="0" w:noVBand="1" w:val="04A0"/>
      </w:tblPr>
      <w:tblGrid>
        <w:gridCol w:w="4819"/>
        <w:gridCol w:w="4819"/>
      </w:tblGrid>
      <w:tr>
        <w:trPr>
          <w:trHeight w:val="700" w:hRule="atLeast"/>
        </w:trPr>
        <w:tc>
          <w:tcPr>
            <w:tcW w:type="dxa" w:w="2880"/>
            <w:tcBorders>
              <w:top w:val="nil"/>
              <w:left w:val="nil"/>
              <w:bottom w:val="nil"/>
              <w:right w:val="nil"/>
            </w:tcBorders>
          </w:tcPr>
          <w:p>
            <w:r/>
            <w:r>
              <w:rPr>
                <w:rFonts w:ascii="Arial" w:hAnsi="Arial" w:cs="Arial"/>
                <w:b/>
                <w:i w:val="0"/>
                <w:sz w:val="22"/>
              </w:rPr>
              <w:t>Approved by:</w:t>
            </w:r>
          </w:p>
        </w:tc>
        <w:tc>
          <w:tcPr>
            <w:tcW w:type="dxa" w:w="5760"/>
            <w:tcBorders>
              <w:top w:val="nil"/>
              <w:left w:val="nil"/>
              <w:bottom w:val="nil"/>
              <w:right w:val="nil"/>
            </w:tcBorders>
          </w:tcPr>
          <w:p>
            <w:pPr>
              <w:pBdr>
                <w:bottom w:val="single" w:sz="4" w:space="1" w:color="404040"/>
              </w:pBdr>
            </w:pPr>
            <w:r/>
            <w:r>
              <w:rPr>
                <w:rFonts w:ascii="Arial" w:hAnsi="Arial" w:cs="Arial"/>
                <w:b w:val="0"/>
                <w:i w:val="0"/>
                <w:sz w:val="22"/>
              </w:rPr>
              <w:t xml:space="preserve">                                                            </w:t>
            </w:r>
          </w:p>
        </w:tc>
      </w:tr>
      <w:tr>
        <w:trPr>
          <w:trHeight w:val="700" w:hRule="atLeast"/>
        </w:trPr>
        <w:tc>
          <w:tcPr>
            <w:tcW w:type="dxa" w:w="2880"/>
            <w:tcBorders>
              <w:top w:val="nil"/>
              <w:left w:val="nil"/>
              <w:bottom w:val="nil"/>
              <w:right w:val="nil"/>
            </w:tcBorders>
          </w:tcPr>
          <w:p>
            <w:r/>
            <w:r>
              <w:rPr>
                <w:rFonts w:ascii="Arial" w:hAnsi="Arial" w:cs="Arial"/>
                <w:b/>
                <w:i w:val="0"/>
                <w:sz w:val="22"/>
              </w:rPr>
              <w:t>Role:</w:t>
            </w:r>
          </w:p>
        </w:tc>
        <w:tc>
          <w:tcPr>
            <w:tcW w:type="dxa" w:w="5760"/>
            <w:tcBorders>
              <w:top w:val="nil"/>
              <w:left w:val="nil"/>
              <w:bottom w:val="nil"/>
              <w:right w:val="nil"/>
            </w:tcBorders>
          </w:tcPr>
          <w:p>
            <w:pPr>
              <w:pBdr>
                <w:bottom w:val="single" w:sz="4" w:space="1" w:color="404040"/>
              </w:pBdr>
            </w:pPr>
            <w:r/>
            <w:r>
              <w:rPr>
                <w:rFonts w:ascii="Arial" w:hAnsi="Arial" w:cs="Arial"/>
                <w:b w:val="0"/>
                <w:i w:val="0"/>
                <w:sz w:val="22"/>
              </w:rPr>
              <w:t xml:space="preserve">                                                            </w:t>
            </w:r>
          </w:p>
        </w:tc>
      </w:tr>
      <w:tr>
        <w:trPr>
          <w:trHeight w:val="700" w:hRule="atLeast"/>
        </w:trPr>
        <w:tc>
          <w:tcPr>
            <w:tcW w:type="dxa" w:w="2880"/>
            <w:tcBorders>
              <w:top w:val="nil"/>
              <w:left w:val="nil"/>
              <w:bottom w:val="nil"/>
              <w:right w:val="nil"/>
            </w:tcBorders>
          </w:tcPr>
          <w:p>
            <w:r/>
            <w:r>
              <w:rPr>
                <w:rFonts w:ascii="Arial" w:hAnsi="Arial" w:cs="Arial"/>
                <w:b/>
                <w:i w:val="0"/>
                <w:sz w:val="22"/>
              </w:rPr>
              <w:t>Signature:</w:t>
            </w:r>
          </w:p>
        </w:tc>
        <w:tc>
          <w:tcPr>
            <w:tcW w:type="dxa" w:w="5760"/>
            <w:tcBorders>
              <w:top w:val="nil"/>
              <w:left w:val="nil"/>
              <w:bottom w:val="nil"/>
              <w:right w:val="nil"/>
            </w:tcBorders>
          </w:tcPr>
          <w:p>
            <w:pPr>
              <w:pBdr>
                <w:bottom w:val="single" w:sz="4" w:space="1" w:color="404040"/>
              </w:pBdr>
            </w:pPr>
            <w:r/>
            <w:r>
              <w:rPr>
                <w:rFonts w:ascii="Arial" w:hAnsi="Arial" w:cs="Arial"/>
                <w:b w:val="0"/>
                <w:i w:val="0"/>
                <w:sz w:val="22"/>
              </w:rPr>
              <w:t xml:space="preserve">                                                            </w:t>
            </w:r>
          </w:p>
        </w:tc>
      </w:tr>
      <w:tr>
        <w:trPr>
          <w:trHeight w:val="700" w:hRule="atLeast"/>
        </w:trPr>
        <w:tc>
          <w:tcPr>
            <w:tcW w:type="dxa" w:w="2880"/>
            <w:tcBorders>
              <w:top w:val="nil"/>
              <w:left w:val="nil"/>
              <w:bottom w:val="nil"/>
              <w:right w:val="nil"/>
            </w:tcBorders>
          </w:tcPr>
          <w:p>
            <w:r/>
            <w:r>
              <w:rPr>
                <w:rFonts w:ascii="Arial" w:hAnsi="Arial" w:cs="Arial"/>
                <w:b/>
                <w:i w:val="0"/>
                <w:sz w:val="22"/>
              </w:rPr>
              <w:t>Date:</w:t>
            </w:r>
          </w:p>
        </w:tc>
        <w:tc>
          <w:tcPr>
            <w:tcW w:type="dxa" w:w="5760"/>
            <w:tcBorders>
              <w:top w:val="nil"/>
              <w:left w:val="nil"/>
              <w:bottom w:val="nil"/>
              <w:right w:val="nil"/>
            </w:tcBorders>
          </w:tcPr>
          <w:p>
            <w:pPr>
              <w:pBdr>
                <w:bottom w:val="single" w:sz="4" w:space="1" w:color="404040"/>
              </w:pBdr>
            </w:pPr>
            <w:r/>
            <w:r>
              <w:rPr>
                <w:rFonts w:ascii="Arial" w:hAnsi="Arial" w:cs="Arial"/>
                <w:b w:val="0"/>
                <w:i w:val="0"/>
                <w:sz w:val="22"/>
              </w:rPr>
              <w:t xml:space="preserve">                                                            </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color w:val="595959"/>
        <w:sz w:val="18"/>
      </w:rPr>
      <w:t xml:space="preserve">Page </w:t>
    </w:r>
    <w:r>
      <w:rPr>
        <w:rFonts w:ascii="Arial" w:hAnsi="Arial" w:cs="Arial"/>
        <w:b w:val="0"/>
        <w:i w:val="0"/>
        <w:color w:val="595959"/>
        <w:sz w:val="18"/>
      </w:rPr>
      <w:fldChar w:fldCharType="begin"/>
      <w:instrText>PAGE</w:instrText>
      <w:fldChar w:fldCharType="end"/>
    </w:r>
    <w:r>
      <w:rPr>
        <w:rFonts w:ascii="Arial" w:hAnsi="Arial" w:cs="Arial"/>
        <w:b w:val="0"/>
        <w:i w:val="0"/>
        <w:color w:val="595959"/>
        <w:sz w:val="18"/>
      </w:rPr>
      <w:t xml:space="preserve">   ·   KPI Targets &amp; Baselines  ·  Issued May 2026  ·  Shauna Delaney, CEO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s="Arial"/>
        <w:b/>
        <w:i w:val="0"/>
        <w:color w:val="1F4E79"/>
        <w:sz w:val="18"/>
      </w:rPr>
      <w:t>LIBERTY LIVING HOMECARE  ·  KPI Targets &amp; Baselines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