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0EC9" w14:textId="5A5D2CAE" w:rsidR="00FB4DDF" w:rsidRPr="00FB4DDF" w:rsidRDefault="00FB4DDF" w:rsidP="00FB4DDF">
      <w:pPr>
        <w:pStyle w:val="1"/>
        <w:rPr>
          <w:sz w:val="22"/>
          <w:szCs w:val="24"/>
        </w:rPr>
      </w:pPr>
      <w:r w:rsidRPr="00FB4DDF">
        <w:t xml:space="preserve">Crowdfunding </w:t>
      </w:r>
      <w:r w:rsidRPr="00FB4DDF">
        <w:t>Excel Challenge</w:t>
      </w:r>
    </w:p>
    <w:p w14:paraId="6FE2B321" w14:textId="77777777" w:rsidR="00FB4DDF" w:rsidRPr="00FB4DDF" w:rsidRDefault="00FB4DDF" w:rsidP="00FB4DDF">
      <w:pPr>
        <w:widowControl/>
        <w:numPr>
          <w:ilvl w:val="0"/>
          <w:numId w:val="1"/>
        </w:numPr>
        <w:spacing w:before="100" w:beforeAutospacing="1" w:after="120" w:line="360" w:lineRule="atLeast"/>
        <w:jc w:val="left"/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</w:pPr>
      <w:r w:rsidRPr="00FB4DDF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  <w:t>Given the provided data, what are three conclusions that we can draw about crowdfunding campaigns?</w:t>
      </w:r>
    </w:p>
    <w:p w14:paraId="1B554F7D" w14:textId="79ADABFF" w:rsidR="00F13E5F" w:rsidRDefault="00FB4DDF" w:rsidP="00FB4DD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category statistics, the following </w:t>
      </w:r>
      <w:r w:rsidR="00950FB9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categories, out of nine analyzed, have success rates </w:t>
      </w:r>
      <w:r w:rsidR="00950FB9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 50%: </w:t>
      </w:r>
      <w:r w:rsidR="00950FB9">
        <w:rPr>
          <w:rFonts w:ascii="Times New Roman" w:hAnsi="Times New Roman" w:cs="Times New Roman"/>
        </w:rPr>
        <w:t>Food</w:t>
      </w:r>
      <w:r w:rsidR="008640D5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950FB9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 xml:space="preserve"> (see fig.1)</w:t>
      </w:r>
      <w:r w:rsidR="008640D5">
        <w:rPr>
          <w:rFonts w:ascii="Times New Roman" w:hAnsi="Times New Roman" w:cs="Times New Roman"/>
        </w:rPr>
        <w:t>.</w:t>
      </w:r>
      <w:r w:rsidR="00950FB9">
        <w:rPr>
          <w:rFonts w:ascii="Times New Roman" w:hAnsi="Times New Roman" w:cs="Times New Roman"/>
        </w:rPr>
        <w:t xml:space="preserve"> </w:t>
      </w:r>
      <w:r w:rsidR="008640D5">
        <w:rPr>
          <w:rFonts w:ascii="Times New Roman" w:hAnsi="Times New Roman" w:cs="Times New Roman"/>
        </w:rPr>
        <w:t xml:space="preserve">Journalism category has the </w:t>
      </w:r>
      <w:r w:rsidR="008640D5">
        <w:rPr>
          <w:rFonts w:ascii="Times New Roman" w:hAnsi="Times New Roman" w:cs="Times New Roman" w:hint="eastAsia"/>
        </w:rPr>
        <w:t>hi</w:t>
      </w:r>
      <w:r w:rsidR="008640D5">
        <w:rPr>
          <w:rFonts w:ascii="Times New Roman" w:hAnsi="Times New Roman" w:cs="Times New Roman"/>
        </w:rPr>
        <w:t xml:space="preserve">ghest success rate of 100%. </w:t>
      </w:r>
      <w:r w:rsidR="00337409">
        <w:rPr>
          <w:rFonts w:ascii="Times New Roman" w:hAnsi="Times New Roman" w:cs="Times New Roman"/>
        </w:rPr>
        <w:t>The s</w:t>
      </w:r>
      <w:r w:rsidR="008640D5">
        <w:rPr>
          <w:rFonts w:ascii="Times New Roman" w:hAnsi="Times New Roman" w:cs="Times New Roman"/>
        </w:rPr>
        <w:t>econd one is Technology category, the success</w:t>
      </w:r>
      <w:r w:rsidR="00337409">
        <w:rPr>
          <w:rFonts w:ascii="Times New Roman" w:hAnsi="Times New Roman" w:cs="Times New Roman"/>
        </w:rPr>
        <w:t>ful</w:t>
      </w:r>
      <w:r w:rsidR="008640D5">
        <w:rPr>
          <w:rFonts w:ascii="Times New Roman" w:hAnsi="Times New Roman" w:cs="Times New Roman"/>
        </w:rPr>
        <w:t xml:space="preserve"> rate of 66.67%. But Journalism category only has 4 campaigns, it is the smallest category, this category holds 0.4% of all campaigns and holds 0.7% of all successful campaigns.</w:t>
      </w:r>
    </w:p>
    <w:p w14:paraId="6CF181F1" w14:textId="7A604F10" w:rsidR="008640D5" w:rsidRDefault="008640D5" w:rsidP="00FB4DD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largest category is Theater</w:t>
      </w:r>
      <w:r w:rsidR="00F27AE7">
        <w:rPr>
          <w:rFonts w:ascii="Times New Roman" w:hAnsi="Times New Roman" w:cs="Times New Roman"/>
        </w:rPr>
        <w:t xml:space="preserve"> with a total of 344 campaigns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This category holds </w:t>
      </w:r>
      <w:r w:rsidR="00F27AE7">
        <w:rPr>
          <w:rFonts w:ascii="Times New Roman" w:hAnsi="Times New Roman" w:cs="Times New Roman"/>
        </w:rPr>
        <w:t>33.10</w:t>
      </w:r>
      <w:r>
        <w:rPr>
          <w:rFonts w:ascii="Times New Roman" w:hAnsi="Times New Roman" w:cs="Times New Roman"/>
        </w:rPr>
        <w:t>% of all successful campaigns through all nine categories</w:t>
      </w:r>
      <w:r w:rsidR="00F27AE7">
        <w:rPr>
          <w:rFonts w:ascii="Times New Roman" w:hAnsi="Times New Roman" w:cs="Times New Roman"/>
        </w:rPr>
        <w:t>. The second largest category is Film &amp; Video with a total of 178 campaigns. The third largest category is Music with a total of 175 campaigns. The three leading categor</w:t>
      </w:r>
      <w:r w:rsidR="00C416CA">
        <w:rPr>
          <w:rFonts w:ascii="Times New Roman" w:hAnsi="Times New Roman" w:cs="Times New Roman"/>
        </w:rPr>
        <w:t>ies</w:t>
      </w:r>
      <w:r w:rsidR="00F27AE7">
        <w:rPr>
          <w:rFonts w:ascii="Times New Roman" w:hAnsi="Times New Roman" w:cs="Times New Roman"/>
        </w:rPr>
        <w:t xml:space="preserve"> have sim</w:t>
      </w:r>
      <w:r w:rsidR="00F9565B">
        <w:rPr>
          <w:rFonts w:ascii="Times New Roman" w:hAnsi="Times New Roman" w:cs="Times New Roman"/>
        </w:rPr>
        <w:t>i</w:t>
      </w:r>
      <w:r w:rsidR="00F27AE7">
        <w:rPr>
          <w:rFonts w:ascii="Times New Roman" w:hAnsi="Times New Roman" w:cs="Times New Roman"/>
        </w:rPr>
        <w:t>lar successful rate</w:t>
      </w:r>
      <w:r w:rsidR="00C416CA">
        <w:rPr>
          <w:rFonts w:ascii="Times New Roman" w:hAnsi="Times New Roman" w:cs="Times New Roman"/>
        </w:rPr>
        <w:t>, 54.36%, 57.30% and 56.65%.</w:t>
      </w:r>
    </w:p>
    <w:p w14:paraId="567E2CED" w14:textId="2BB65AE0" w:rsidR="002F0018" w:rsidRPr="00F27AE7" w:rsidRDefault="002F0018" w:rsidP="00FB4DD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Australia, Technology category is the third largest category, instead of Music category. This category also has the highest successful rate of 83.33%.</w:t>
      </w:r>
    </w:p>
    <w:p w14:paraId="0B394CFD" w14:textId="77777777" w:rsidR="00950FB9" w:rsidRDefault="00950FB9" w:rsidP="00FB4DDF">
      <w:pPr>
        <w:ind w:firstLine="284"/>
        <w:rPr>
          <w:rFonts w:ascii="Times New Roman" w:hAnsi="Times New Roman" w:cs="Times New Roman"/>
        </w:rPr>
      </w:pPr>
    </w:p>
    <w:p w14:paraId="0E342AFF" w14:textId="4A136340" w:rsidR="00950FB9" w:rsidRDefault="00950FB9" w:rsidP="00FB4DDF">
      <w:pPr>
        <w:ind w:firstLine="284"/>
        <w:rPr>
          <w:lang w:val="en-AU"/>
        </w:rPr>
      </w:pPr>
      <w:r>
        <w:rPr>
          <w:noProof/>
        </w:rPr>
        <w:drawing>
          <wp:inline distT="0" distB="0" distL="0" distR="0" wp14:anchorId="545A233E" wp14:editId="594AD63B">
            <wp:extent cx="5274310" cy="2889250"/>
            <wp:effectExtent l="0" t="0" r="2540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D4A17FB3-B327-B860-1297-884B9AB9D6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600B4C" w14:textId="2F4D10FF" w:rsidR="00337409" w:rsidRDefault="00337409" w:rsidP="0033740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category statistics, the following </w:t>
      </w: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</w:t>
      </w:r>
      <w:r w:rsidR="00C416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categories, out of </w:t>
      </w:r>
      <w:r w:rsidR="00C416CA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 analyzed, have success rates under 50%: </w:t>
      </w:r>
      <w:r>
        <w:rPr>
          <w:rFonts w:ascii="Times New Roman" w:hAnsi="Times New Roman" w:cs="Times New Roman"/>
        </w:rPr>
        <w:t>Mobile Game, Science Fiction, Food Trucks and Video Game</w:t>
      </w:r>
      <w:r>
        <w:rPr>
          <w:rFonts w:ascii="Times New Roman" w:hAnsi="Times New Roman" w:cs="Times New Roman"/>
        </w:rPr>
        <w:t xml:space="preserve"> (see fig.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Audio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</w:t>
      </w:r>
      <w:r>
        <w:rPr>
          <w:rFonts w:ascii="Times New Roman" w:hAnsi="Times New Roman" w:cs="Times New Roman"/>
        </w:rPr>
        <w:t xml:space="preserve">and World Music sub-category </w:t>
      </w:r>
      <w:r>
        <w:rPr>
          <w:rFonts w:ascii="Times New Roman" w:hAnsi="Times New Roman" w:cs="Times New Roman"/>
        </w:rPr>
        <w:t xml:space="preserve">has the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 xml:space="preserve">ghest success rate of 100%.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ird</w:t>
      </w:r>
      <w:r>
        <w:rPr>
          <w:rFonts w:ascii="Times New Roman" w:hAnsi="Times New Roman" w:cs="Times New Roman"/>
        </w:rPr>
        <w:t xml:space="preserve"> one is 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>category, the success</w:t>
      </w:r>
      <w:r>
        <w:rPr>
          <w:rFonts w:ascii="Times New Roman" w:hAnsi="Times New Roman" w:cs="Times New Roman"/>
        </w:rPr>
        <w:t>ful</w:t>
      </w:r>
      <w:r>
        <w:rPr>
          <w:rFonts w:ascii="Times New Roman" w:hAnsi="Times New Roman" w:cs="Times New Roman"/>
        </w:rPr>
        <w:t xml:space="preserve"> rate of </w:t>
      </w:r>
      <w:r>
        <w:rPr>
          <w:rFonts w:ascii="Times New Roman" w:hAnsi="Times New Roman" w:cs="Times New Roman"/>
        </w:rPr>
        <w:t>70.59</w:t>
      </w:r>
      <w:r>
        <w:rPr>
          <w:rFonts w:ascii="Times New Roman" w:hAnsi="Times New Roman" w:cs="Times New Roman"/>
        </w:rPr>
        <w:t xml:space="preserve">%. But </w:t>
      </w:r>
      <w:r>
        <w:rPr>
          <w:rFonts w:ascii="Times New Roman" w:hAnsi="Times New Roman" w:cs="Times New Roman"/>
        </w:rPr>
        <w:t>Audio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only has 4 campaigns, </w:t>
      </w:r>
      <w:r>
        <w:rPr>
          <w:rFonts w:ascii="Times New Roman" w:hAnsi="Times New Roman" w:cs="Times New Roman"/>
        </w:rPr>
        <w:t>World Music sub-category only has 3 campaigns. They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the smallest </w:t>
      </w:r>
      <w:r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>categor</w:t>
      </w:r>
      <w:r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>.</w:t>
      </w:r>
    </w:p>
    <w:p w14:paraId="130EA51E" w14:textId="6EBDBB74" w:rsidR="00337409" w:rsidRDefault="00337409" w:rsidP="0033740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largest </w:t>
      </w:r>
      <w:r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is </w:t>
      </w:r>
      <w:r>
        <w:rPr>
          <w:rFonts w:ascii="Times New Roman" w:hAnsi="Times New Roman" w:cs="Times New Roman"/>
        </w:rPr>
        <w:t>Plays</w:t>
      </w:r>
      <w:r>
        <w:rPr>
          <w:rFonts w:ascii="Times New Roman" w:hAnsi="Times New Roman" w:cs="Times New Roman"/>
        </w:rPr>
        <w:t xml:space="preserve"> with a total of 344 campaigns. This </w:t>
      </w:r>
      <w:r w:rsidR="00C35C4E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holds 33.10% of all successful campaigns through all </w:t>
      </w:r>
      <w:r>
        <w:rPr>
          <w:rFonts w:ascii="Times New Roman" w:hAnsi="Times New Roman" w:cs="Times New Roman"/>
        </w:rPr>
        <w:t xml:space="preserve">35 </w:t>
      </w:r>
      <w:r>
        <w:rPr>
          <w:rFonts w:ascii="Times New Roman" w:hAnsi="Times New Roman" w:cs="Times New Roman"/>
        </w:rPr>
        <w:t xml:space="preserve">categories. The second largest </w:t>
      </w:r>
      <w:r w:rsidR="00C35C4E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is </w:t>
      </w:r>
      <w:r w:rsidR="00C35C4E">
        <w:rPr>
          <w:rFonts w:ascii="Times New Roman" w:hAnsi="Times New Roman" w:cs="Times New Roman"/>
        </w:rPr>
        <w:t>Rock</w:t>
      </w:r>
      <w:r>
        <w:rPr>
          <w:rFonts w:ascii="Times New Roman" w:hAnsi="Times New Roman" w:cs="Times New Roman"/>
        </w:rPr>
        <w:t xml:space="preserve"> with a total of </w:t>
      </w:r>
      <w:r w:rsidR="00C35C4E"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 xml:space="preserve"> campaigns. The third largest </w:t>
      </w:r>
      <w:r w:rsidR="00C35C4E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category is </w:t>
      </w:r>
      <w:r w:rsidR="00C35C4E">
        <w:rPr>
          <w:rFonts w:ascii="Times New Roman" w:hAnsi="Times New Roman" w:cs="Times New Roman"/>
        </w:rPr>
        <w:t>Documentary</w:t>
      </w:r>
      <w:r>
        <w:rPr>
          <w:rFonts w:ascii="Times New Roman" w:hAnsi="Times New Roman" w:cs="Times New Roman"/>
        </w:rPr>
        <w:t xml:space="preserve"> with a total of </w:t>
      </w:r>
      <w:r w:rsidR="00C35C4E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campaigns. The three leading </w:t>
      </w:r>
      <w:r w:rsidR="00C35C4E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>categor</w:t>
      </w:r>
      <w:r w:rsidR="00C416CA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have sim</w:t>
      </w:r>
      <w:r w:rsidR="00C416C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lar successful rate, 54.36%, </w:t>
      </w:r>
      <w:r w:rsidR="00C35C4E">
        <w:rPr>
          <w:rFonts w:ascii="Times New Roman" w:hAnsi="Times New Roman" w:cs="Times New Roman"/>
        </w:rPr>
        <w:t>57.65</w:t>
      </w:r>
      <w:r>
        <w:rPr>
          <w:rFonts w:ascii="Times New Roman" w:hAnsi="Times New Roman" w:cs="Times New Roman"/>
        </w:rPr>
        <w:t>% and 56.6</w:t>
      </w:r>
      <w:r w:rsidR="00C35C4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%.</w:t>
      </w:r>
    </w:p>
    <w:p w14:paraId="48DAF5A5" w14:textId="77777777" w:rsidR="00337409" w:rsidRDefault="00337409" w:rsidP="00337409">
      <w:pPr>
        <w:ind w:firstLine="284"/>
        <w:rPr>
          <w:rFonts w:ascii="Times New Roman" w:hAnsi="Times New Roman" w:cs="Times New Roman"/>
        </w:rPr>
      </w:pPr>
    </w:p>
    <w:p w14:paraId="64D35A27" w14:textId="1B366416" w:rsidR="0005628B" w:rsidRPr="00337409" w:rsidRDefault="0005628B" w:rsidP="00FB4DDF">
      <w:pPr>
        <w:ind w:firstLine="284"/>
      </w:pPr>
    </w:p>
    <w:p w14:paraId="10AA5246" w14:textId="7122F655" w:rsidR="0005628B" w:rsidRDefault="0005628B" w:rsidP="00FB4DDF">
      <w:pPr>
        <w:ind w:firstLine="284"/>
        <w:rPr>
          <w:lang w:val="en-AU"/>
        </w:rPr>
      </w:pPr>
    </w:p>
    <w:p w14:paraId="65510FD7" w14:textId="726F7FA9" w:rsidR="0005628B" w:rsidRDefault="0005628B" w:rsidP="00FB4DDF">
      <w:pPr>
        <w:ind w:firstLine="284"/>
        <w:rPr>
          <w:lang w:val="en-AU"/>
        </w:rPr>
      </w:pPr>
      <w:r>
        <w:rPr>
          <w:noProof/>
        </w:rPr>
        <w:drawing>
          <wp:inline distT="0" distB="0" distL="0" distR="0" wp14:anchorId="1ED70BD7" wp14:editId="2C3DCB33">
            <wp:extent cx="5274310" cy="2893695"/>
            <wp:effectExtent l="0" t="0" r="2540" b="19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258C16B-FFCC-4053-98F7-631C719ACB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81642A" w14:textId="10EC7D25" w:rsidR="00C35C4E" w:rsidRDefault="00C35C4E" w:rsidP="00FB4DDF">
      <w:pPr>
        <w:ind w:firstLine="284"/>
        <w:rPr>
          <w:lang w:val="en-AU"/>
        </w:rPr>
      </w:pPr>
    </w:p>
    <w:p w14:paraId="5B89BEC5" w14:textId="54B38220" w:rsidR="00C35C4E" w:rsidRDefault="00C35C4E" w:rsidP="00FB4DD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of relationship between the launch date and success of a campaign for all nine categories during the </w:t>
      </w:r>
      <w:r>
        <w:rPr>
          <w:rFonts w:ascii="Times New Roman" w:hAnsi="Times New Roman" w:cs="Times New Roman"/>
        </w:rPr>
        <w:t>eleven</w:t>
      </w:r>
      <w:r>
        <w:rPr>
          <w:rFonts w:ascii="Times New Roman" w:hAnsi="Times New Roman" w:cs="Times New Roman"/>
        </w:rPr>
        <w:t>-year period, between 20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and 20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, demonstrates grows in the number of successful campaigns and decrease in the number of failed and canceled campaigns for campaigns launched in </w:t>
      </w:r>
      <w:r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(see fig.3).</w:t>
      </w:r>
      <w:r w:rsidRPr="00C35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highest number of the successful campaigns, with a grows rate of </w:t>
      </w:r>
      <w:r w:rsidR="00A90D86">
        <w:rPr>
          <w:rFonts w:ascii="Times New Roman" w:hAnsi="Times New Roman" w:cs="Times New Roman"/>
        </w:rPr>
        <w:t>19.57</w:t>
      </w:r>
      <w:r>
        <w:rPr>
          <w:rFonts w:ascii="Times New Roman" w:hAnsi="Times New Roman" w:cs="Times New Roman"/>
        </w:rPr>
        <w:t xml:space="preserve">%, is observed among those campaigns that were launched in </w:t>
      </w:r>
      <w:r w:rsidR="00A90D86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, however, the number of the failed campaigns among those launched during this month, </w:t>
      </w:r>
      <w:r w:rsidR="00A90D86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creases as well, with a rate of 2</w:t>
      </w:r>
      <w:r w:rsidR="00A90D8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%.</w:t>
      </w:r>
    </w:p>
    <w:p w14:paraId="33B4E673" w14:textId="77777777" w:rsidR="00C35C4E" w:rsidRDefault="00C35C4E" w:rsidP="00FB4DDF">
      <w:pPr>
        <w:ind w:firstLine="284"/>
        <w:rPr>
          <w:rFonts w:ascii="Times New Roman" w:hAnsi="Times New Roman" w:cs="Times New Roman"/>
        </w:rPr>
      </w:pPr>
    </w:p>
    <w:p w14:paraId="53FD0988" w14:textId="0275DDEC" w:rsidR="00C35C4E" w:rsidRDefault="00C35C4E" w:rsidP="00FB4DDF">
      <w:pPr>
        <w:ind w:firstLine="284"/>
        <w:rPr>
          <w:lang w:val="en-AU"/>
        </w:rPr>
      </w:pPr>
      <w:r>
        <w:rPr>
          <w:noProof/>
        </w:rPr>
        <w:drawing>
          <wp:inline distT="0" distB="0" distL="0" distR="0" wp14:anchorId="392EDC4F" wp14:editId="59A94096">
            <wp:extent cx="5072063" cy="3295650"/>
            <wp:effectExtent l="0" t="0" r="14605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05AD2E0-DA7D-47F4-BC55-D0CF1803B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F6512" w14:textId="75656889" w:rsidR="00BC1537" w:rsidRDefault="00BC1537" w:rsidP="00FB4DDF">
      <w:pPr>
        <w:ind w:firstLine="284"/>
        <w:rPr>
          <w:lang w:val="en-AU"/>
        </w:rPr>
      </w:pPr>
    </w:p>
    <w:p w14:paraId="1D09D75F" w14:textId="0E53A6BF" w:rsidR="00BC1537" w:rsidRDefault="00BC1537" w:rsidP="00BC1537">
      <w:pPr>
        <w:widowControl/>
        <w:numPr>
          <w:ilvl w:val="0"/>
          <w:numId w:val="1"/>
        </w:numPr>
        <w:spacing w:before="100" w:beforeAutospacing="1" w:after="120" w:line="360" w:lineRule="atLeast"/>
        <w:jc w:val="left"/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</w:pPr>
      <w:r w:rsidRPr="00BC1537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  <w:lastRenderedPageBreak/>
        <w:t>What are some limitations of this dataset?</w:t>
      </w:r>
    </w:p>
    <w:p w14:paraId="34DC32AE" w14:textId="0DFEB43E" w:rsidR="00400A54" w:rsidRPr="00400A54" w:rsidRDefault="00400A54" w:rsidP="00400A54">
      <w:pPr>
        <w:ind w:firstLine="284"/>
        <w:rPr>
          <w:rFonts w:ascii="Times New Roman" w:hAnsi="Times New Roman" w:cs="Times New Roman"/>
        </w:rPr>
      </w:pPr>
      <w:r w:rsidRPr="00400A54">
        <w:rPr>
          <w:rFonts w:ascii="Times New Roman" w:hAnsi="Times New Roman" w:cs="Times New Roman"/>
        </w:rPr>
        <w:t>This dataset does not include most recent statistics for 20</w:t>
      </w:r>
      <w:r>
        <w:rPr>
          <w:rFonts w:ascii="Times New Roman" w:hAnsi="Times New Roman" w:cs="Times New Roman"/>
        </w:rPr>
        <w:t>21, and there are two campaigns for 2020 only</w:t>
      </w:r>
      <w:r w:rsidRPr="00400A54">
        <w:rPr>
          <w:rFonts w:ascii="Times New Roman" w:hAnsi="Times New Roman" w:cs="Times New Roman"/>
        </w:rPr>
        <w:t xml:space="preserve">. It provides data only for 9 categories, </w:t>
      </w:r>
      <w:r>
        <w:rPr>
          <w:rFonts w:ascii="Times New Roman" w:hAnsi="Times New Roman" w:cs="Times New Roman"/>
        </w:rPr>
        <w:t>and it only include 7 countries</w:t>
      </w:r>
      <w:r w:rsidR="00CE1443">
        <w:rPr>
          <w:rFonts w:ascii="Times New Roman" w:hAnsi="Times New Roman" w:cs="Times New Roman"/>
        </w:rPr>
        <w:t xml:space="preserve"> campaigns</w:t>
      </w:r>
      <w:r w:rsidRPr="00400A54">
        <w:rPr>
          <w:rFonts w:ascii="Times New Roman" w:hAnsi="Times New Roman" w:cs="Times New Roman"/>
        </w:rPr>
        <w:t>.</w:t>
      </w:r>
    </w:p>
    <w:p w14:paraId="3A30AE5A" w14:textId="1F8CC703" w:rsidR="00BC1537" w:rsidRPr="00BC1537" w:rsidRDefault="00BC1537" w:rsidP="00BC1537">
      <w:pPr>
        <w:ind w:firstLine="284"/>
        <w:rPr>
          <w:rFonts w:ascii="Times New Roman" w:hAnsi="Times New Roman" w:cs="Times New Roman"/>
        </w:rPr>
      </w:pPr>
    </w:p>
    <w:p w14:paraId="1D9818C7" w14:textId="77777777" w:rsidR="00BC1537" w:rsidRPr="00BC1537" w:rsidRDefault="00BC1537" w:rsidP="00BC1537">
      <w:pPr>
        <w:widowControl/>
        <w:numPr>
          <w:ilvl w:val="0"/>
          <w:numId w:val="1"/>
        </w:numPr>
        <w:spacing w:before="100" w:beforeAutospacing="1" w:after="120" w:line="360" w:lineRule="atLeast"/>
        <w:jc w:val="left"/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</w:pPr>
      <w:r w:rsidRPr="00BC1537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val="en-AU"/>
        </w:rPr>
        <w:t>What are some other possible tables and/or graphs that we could create, and what additional value would they provide?</w:t>
      </w:r>
    </w:p>
    <w:p w14:paraId="52F9EAFA" w14:textId="18F0921C" w:rsidR="00A00AF6" w:rsidRDefault="00A00AF6" w:rsidP="00E30CF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30CF5">
        <w:rPr>
          <w:rFonts w:ascii="Times New Roman" w:hAnsi="Times New Roman" w:cs="Times New Roman"/>
        </w:rPr>
        <w:t xml:space="preserve">Analysis </w:t>
      </w:r>
      <w:r w:rsidR="00E30CF5" w:rsidRPr="00E30CF5">
        <w:rPr>
          <w:rFonts w:ascii="Times New Roman" w:hAnsi="Times New Roman" w:cs="Times New Roman"/>
        </w:rPr>
        <w:t>average donation per backer and its successful rate.</w:t>
      </w:r>
    </w:p>
    <w:p w14:paraId="6021FFD5" w14:textId="7FCD40B5" w:rsidR="00E30CF5" w:rsidRPr="00E30CF5" w:rsidRDefault="00E30CF5" w:rsidP="00E30CF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Relationship between percent funded and backer count.</w:t>
      </w:r>
    </w:p>
    <w:p w14:paraId="2B07E257" w14:textId="582C3AE5" w:rsidR="00400A54" w:rsidRPr="00E30CF5" w:rsidRDefault="00400A54" w:rsidP="00E30CF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30CF5">
        <w:rPr>
          <w:rFonts w:ascii="Times New Roman" w:hAnsi="Times New Roman" w:cs="Times New Roman"/>
        </w:rPr>
        <w:t>Relationship between campaign goal and its success</w:t>
      </w:r>
      <w:r w:rsidRPr="00E30CF5">
        <w:rPr>
          <w:rFonts w:ascii="Times New Roman" w:hAnsi="Times New Roman" w:cs="Times New Roman"/>
        </w:rPr>
        <w:t>ful</w:t>
      </w:r>
      <w:r w:rsidRPr="00E30CF5">
        <w:rPr>
          <w:rFonts w:ascii="Times New Roman" w:hAnsi="Times New Roman" w:cs="Times New Roman"/>
        </w:rPr>
        <w:t xml:space="preserve"> rate</w:t>
      </w:r>
      <w:r w:rsidR="00E30CF5" w:rsidRPr="00E30CF5">
        <w:rPr>
          <w:rFonts w:ascii="Times New Roman" w:hAnsi="Times New Roman" w:cs="Times New Roman"/>
        </w:rPr>
        <w:t>.</w:t>
      </w:r>
    </w:p>
    <w:p w14:paraId="6882F427" w14:textId="33DC3577" w:rsidR="00400A54" w:rsidRPr="00E30CF5" w:rsidRDefault="00400A54" w:rsidP="00E30CF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30CF5">
        <w:rPr>
          <w:rFonts w:ascii="Times New Roman" w:hAnsi="Times New Roman" w:cs="Times New Roman"/>
        </w:rPr>
        <w:t xml:space="preserve">Analysis of campaign </w:t>
      </w:r>
      <w:r w:rsidR="00A00AF6" w:rsidRPr="00E30CF5">
        <w:rPr>
          <w:rFonts w:ascii="Times New Roman" w:hAnsi="Times New Roman" w:cs="Times New Roman"/>
        </w:rPr>
        <w:t>long</w:t>
      </w:r>
      <w:r w:rsidRPr="00E30CF5">
        <w:rPr>
          <w:rFonts w:ascii="Times New Roman" w:hAnsi="Times New Roman" w:cs="Times New Roman"/>
        </w:rPr>
        <w:t xml:space="preserve"> and its success</w:t>
      </w:r>
      <w:r w:rsidRPr="00E30CF5">
        <w:rPr>
          <w:rFonts w:ascii="Times New Roman" w:hAnsi="Times New Roman" w:cs="Times New Roman"/>
        </w:rPr>
        <w:t>ful</w:t>
      </w:r>
      <w:r w:rsidRPr="00E30CF5">
        <w:rPr>
          <w:rFonts w:ascii="Times New Roman" w:hAnsi="Times New Roman" w:cs="Times New Roman"/>
        </w:rPr>
        <w:t xml:space="preserve"> rate</w:t>
      </w:r>
      <w:r w:rsidR="00E30CF5" w:rsidRPr="00E30CF5">
        <w:rPr>
          <w:rFonts w:ascii="Times New Roman" w:hAnsi="Times New Roman" w:cs="Times New Roman"/>
        </w:rPr>
        <w:t>.</w:t>
      </w:r>
    </w:p>
    <w:p w14:paraId="099578DD" w14:textId="21FBDAA4" w:rsidR="00400A54" w:rsidRPr="00E30CF5" w:rsidRDefault="00400A54" w:rsidP="00E30CF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30CF5">
        <w:rPr>
          <w:rFonts w:ascii="Times New Roman" w:hAnsi="Times New Roman" w:cs="Times New Roman"/>
        </w:rPr>
        <w:t>Relationship between a campaign goal and the amount pledged</w:t>
      </w:r>
      <w:r w:rsidR="00E30CF5" w:rsidRPr="00E30CF5">
        <w:rPr>
          <w:rFonts w:ascii="Times New Roman" w:hAnsi="Times New Roman" w:cs="Times New Roman"/>
        </w:rPr>
        <w:t>.</w:t>
      </w:r>
    </w:p>
    <w:p w14:paraId="4E68506C" w14:textId="2ED09BDA" w:rsidR="00BC1537" w:rsidRDefault="00BC1537" w:rsidP="00400A54">
      <w:pPr>
        <w:ind w:firstLine="284"/>
        <w:rPr>
          <w:rFonts w:ascii="Times New Roman" w:hAnsi="Times New Roman" w:cs="Times New Roman"/>
        </w:rPr>
      </w:pPr>
    </w:p>
    <w:p w14:paraId="13F7C9EC" w14:textId="77777777" w:rsidR="001C5435" w:rsidRPr="00BC1537" w:rsidRDefault="001C5435" w:rsidP="00400A54">
      <w:pPr>
        <w:ind w:firstLine="284"/>
        <w:rPr>
          <w:rFonts w:ascii="Times New Roman" w:hAnsi="Times New Roman" w:cs="Times New Roman" w:hint="eastAsia"/>
        </w:rPr>
      </w:pPr>
    </w:p>
    <w:sectPr w:rsidR="001C5435" w:rsidRPr="00BC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F2F"/>
    <w:multiLevelType w:val="hybridMultilevel"/>
    <w:tmpl w:val="47EC9C4C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2859"/>
    <w:multiLevelType w:val="multilevel"/>
    <w:tmpl w:val="465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B1A5B"/>
    <w:multiLevelType w:val="multilevel"/>
    <w:tmpl w:val="B7D8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945754">
    <w:abstractNumId w:val="2"/>
  </w:num>
  <w:num w:numId="2" w16cid:durableId="881863581">
    <w:abstractNumId w:val="3"/>
  </w:num>
  <w:num w:numId="3" w16cid:durableId="359086537">
    <w:abstractNumId w:val="1"/>
  </w:num>
  <w:num w:numId="4" w16cid:durableId="191550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F"/>
    <w:rsid w:val="00046672"/>
    <w:rsid w:val="0005628B"/>
    <w:rsid w:val="001C5435"/>
    <w:rsid w:val="002F0018"/>
    <w:rsid w:val="00337409"/>
    <w:rsid w:val="00400A54"/>
    <w:rsid w:val="004835D1"/>
    <w:rsid w:val="005762F0"/>
    <w:rsid w:val="008640D5"/>
    <w:rsid w:val="00950FB9"/>
    <w:rsid w:val="00A00AF6"/>
    <w:rsid w:val="00A90D86"/>
    <w:rsid w:val="00B22CB1"/>
    <w:rsid w:val="00BC1537"/>
    <w:rsid w:val="00C35C4E"/>
    <w:rsid w:val="00C416CA"/>
    <w:rsid w:val="00CB0352"/>
    <w:rsid w:val="00CE1443"/>
    <w:rsid w:val="00E30CF5"/>
    <w:rsid w:val="00F27AE7"/>
    <w:rsid w:val="00F9565B"/>
    <w:rsid w:val="00F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90D0"/>
  <w15:chartTrackingRefBased/>
  <w15:docId w15:val="{7EA497C1-6DDB-4DA5-AEBA-33BACF80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4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00A5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1C54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n\Desktop\Analysis%20Project\Crowdfunding%20Analysis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n\Desktop\Analysis%20Project\Crowdfunding%20Analysis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n\Desktop\Analysis%20Project\Crowdfunding%20Analysis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[CrowdfundingBook.xlsx]Categary pivot chart 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Category</a:t>
            </a:r>
            <a:r>
              <a:rPr lang="en-AU" altLang="zh-CN" baseline="0"/>
              <a:t> Statistics </a:t>
            </a:r>
            <a:r>
              <a:rPr lang="en-US" altLang="zh-CN" baseline="0"/>
              <a:t>fig.1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'Categary pivot chart 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'Categary pivot chart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'Categary pivot chart 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C-4783-8085-C2B1867DE78B}"/>
            </c:ext>
          </c:extLst>
        </c:ser>
        <c:ser>
          <c:idx val="1"/>
          <c:order val="1"/>
          <c:tx>
            <c:strRef>
              <c:f>'Categary pivot chart 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'Categary pivot chart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'Categary pivot chart 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C-4783-8085-C2B1867DE78B}"/>
            </c:ext>
          </c:extLst>
        </c:ser>
        <c:ser>
          <c:idx val="2"/>
          <c:order val="2"/>
          <c:tx>
            <c:strRef>
              <c:f>'Categary pivot chart 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'Categary pivot chart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'Categary pivot chart 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CC-4783-8085-C2B1867DE78B}"/>
            </c:ext>
          </c:extLst>
        </c:ser>
        <c:ser>
          <c:idx val="3"/>
          <c:order val="3"/>
          <c:tx>
            <c:strRef>
              <c:f>'Categary pivot chart 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'Categary pivot chart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'Categary pivot chart 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CC-4783-8085-C2B1867DE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9712552"/>
        <c:axId val="709711896"/>
      </c:barChart>
      <c:catAx>
        <c:axId val="709712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11896"/>
        <c:crosses val="autoZero"/>
        <c:auto val="1"/>
        <c:lblAlgn val="ctr"/>
        <c:lblOffset val="100"/>
        <c:noMultiLvlLbl val="0"/>
      </c:catAx>
      <c:valAx>
        <c:axId val="70971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712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Sub-category Statistics fig.2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0350066057333225E-2"/>
          <c:y val="0.14016456035481115"/>
          <c:w val="0.82879173413732798"/>
          <c:h val="0.63889652521758478"/>
        </c:manualLayout>
      </c:layout>
      <c:barChart>
        <c:barDir val="col"/>
        <c:grouping val="stacked"/>
        <c:varyColors val="0"/>
        <c:ser>
          <c:idx val="0"/>
          <c:order val="0"/>
          <c:tx>
            <c:v>canceled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4"/>
              <c:pt idx="0">
                <c:v>animation</c:v>
              </c:pt>
              <c:pt idx="1">
                <c:v>audio</c:v>
              </c:pt>
              <c:pt idx="2">
                <c:v>documentary</c:v>
              </c:pt>
              <c:pt idx="3">
                <c:v>drama</c:v>
              </c:pt>
              <c:pt idx="4">
                <c:v>electric music</c:v>
              </c:pt>
              <c:pt idx="5">
                <c:v>fiction</c:v>
              </c:pt>
              <c:pt idx="6">
                <c:v>food trucks</c:v>
              </c:pt>
              <c:pt idx="7">
                <c:v>indie rock</c:v>
              </c:pt>
              <c:pt idx="8">
                <c:v>jazz</c:v>
              </c:pt>
              <c:pt idx="9">
                <c:v>metal</c:v>
              </c:pt>
              <c:pt idx="10">
                <c:v>mobile games</c:v>
              </c:pt>
              <c:pt idx="11">
                <c:v>nonfiction</c:v>
              </c:pt>
              <c:pt idx="12">
                <c:v>photography books</c:v>
              </c:pt>
              <c:pt idx="13">
                <c:v>plays</c:v>
              </c:pt>
              <c:pt idx="14">
                <c:v>radio &amp; podcasts</c:v>
              </c:pt>
              <c:pt idx="15">
                <c:v>rock</c:v>
              </c:pt>
              <c:pt idx="16">
                <c:v>science fiction</c:v>
              </c:pt>
              <c:pt idx="17">
                <c:v>shorts</c:v>
              </c:pt>
              <c:pt idx="18">
                <c:v>television</c:v>
              </c:pt>
              <c:pt idx="19">
                <c:v>translations</c:v>
              </c:pt>
              <c:pt idx="20">
                <c:v>video games</c:v>
              </c:pt>
              <c:pt idx="21">
                <c:v>wearables</c:v>
              </c:pt>
              <c:pt idx="22">
                <c:v>web</c:v>
              </c:pt>
              <c:pt idx="23">
                <c:v>world music</c:v>
              </c:pt>
            </c:strLit>
          </c:cat>
          <c:val>
            <c:numLit>
              <c:formatCode>General</c:formatCode>
              <c:ptCount val="24"/>
              <c:pt idx="0">
                <c:v>1</c:v>
              </c:pt>
              <c:pt idx="1">
                <c:v>0</c:v>
              </c:pt>
              <c:pt idx="2">
                <c:v>4</c:v>
              </c:pt>
              <c:pt idx="3">
                <c:v>2</c:v>
              </c:pt>
              <c:pt idx="4">
                <c:v>0</c:v>
              </c:pt>
              <c:pt idx="5">
                <c:v>1</c:v>
              </c:pt>
              <c:pt idx="6">
                <c:v>4</c:v>
              </c:pt>
              <c:pt idx="7">
                <c:v>3</c:v>
              </c:pt>
              <c:pt idx="8">
                <c:v>1</c:v>
              </c:pt>
              <c:pt idx="9">
                <c:v>0</c:v>
              </c:pt>
              <c:pt idx="10">
                <c:v>0</c:v>
              </c:pt>
              <c:pt idx="11">
                <c:v>1</c:v>
              </c:pt>
              <c:pt idx="12">
                <c:v>4</c:v>
              </c:pt>
              <c:pt idx="13">
                <c:v>23</c:v>
              </c:pt>
              <c:pt idx="14">
                <c:v>0</c:v>
              </c:pt>
              <c:pt idx="15">
                <c:v>6</c:v>
              </c:pt>
              <c:pt idx="16">
                <c:v>0</c:v>
              </c:pt>
              <c:pt idx="17">
                <c:v>1</c:v>
              </c:pt>
              <c:pt idx="18">
                <c:v>3</c:v>
              </c:pt>
              <c:pt idx="19">
                <c:v>0</c:v>
              </c:pt>
              <c:pt idx="20">
                <c:v>1</c:v>
              </c:pt>
              <c:pt idx="21">
                <c:v>0</c:v>
              </c:pt>
              <c:pt idx="22">
                <c:v>2</c:v>
              </c:pt>
              <c:pt idx="2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ED3-4468-A0DA-0A9B7FDF4215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4"/>
              <c:pt idx="0">
                <c:v>animation</c:v>
              </c:pt>
              <c:pt idx="1">
                <c:v>audio</c:v>
              </c:pt>
              <c:pt idx="2">
                <c:v>documentary</c:v>
              </c:pt>
              <c:pt idx="3">
                <c:v>drama</c:v>
              </c:pt>
              <c:pt idx="4">
                <c:v>electric music</c:v>
              </c:pt>
              <c:pt idx="5">
                <c:v>fiction</c:v>
              </c:pt>
              <c:pt idx="6">
                <c:v>food trucks</c:v>
              </c:pt>
              <c:pt idx="7">
                <c:v>indie rock</c:v>
              </c:pt>
              <c:pt idx="8">
                <c:v>jazz</c:v>
              </c:pt>
              <c:pt idx="9">
                <c:v>metal</c:v>
              </c:pt>
              <c:pt idx="10">
                <c:v>mobile games</c:v>
              </c:pt>
              <c:pt idx="11">
                <c:v>nonfiction</c:v>
              </c:pt>
              <c:pt idx="12">
                <c:v>photography books</c:v>
              </c:pt>
              <c:pt idx="13">
                <c:v>plays</c:v>
              </c:pt>
              <c:pt idx="14">
                <c:v>radio &amp; podcasts</c:v>
              </c:pt>
              <c:pt idx="15">
                <c:v>rock</c:v>
              </c:pt>
              <c:pt idx="16">
                <c:v>science fiction</c:v>
              </c:pt>
              <c:pt idx="17">
                <c:v>shorts</c:v>
              </c:pt>
              <c:pt idx="18">
                <c:v>television</c:v>
              </c:pt>
              <c:pt idx="19">
                <c:v>translations</c:v>
              </c:pt>
              <c:pt idx="20">
                <c:v>video games</c:v>
              </c:pt>
              <c:pt idx="21">
                <c:v>wearables</c:v>
              </c:pt>
              <c:pt idx="22">
                <c:v>web</c:v>
              </c:pt>
              <c:pt idx="23">
                <c:v>world music</c:v>
              </c:pt>
            </c:strLit>
          </c:cat>
          <c:val>
            <c:numLit>
              <c:formatCode>General</c:formatCode>
              <c:ptCount val="24"/>
              <c:pt idx="0">
                <c:v>10</c:v>
              </c:pt>
              <c:pt idx="1">
                <c:v>0</c:v>
              </c:pt>
              <c:pt idx="2">
                <c:v>21</c:v>
              </c:pt>
              <c:pt idx="3">
                <c:v>12</c:v>
              </c:pt>
              <c:pt idx="4">
                <c:v>8</c:v>
              </c:pt>
              <c:pt idx="5">
                <c:v>7</c:v>
              </c:pt>
              <c:pt idx="6">
                <c:v>20</c:v>
              </c:pt>
              <c:pt idx="7">
                <c:v>19</c:v>
              </c:pt>
              <c:pt idx="8">
                <c:v>6</c:v>
              </c:pt>
              <c:pt idx="9">
                <c:v>3</c:v>
              </c:pt>
              <c:pt idx="10">
                <c:v>8</c:v>
              </c:pt>
              <c:pt idx="11">
                <c:v>6</c:v>
              </c:pt>
              <c:pt idx="12">
                <c:v>11</c:v>
              </c:pt>
              <c:pt idx="13">
                <c:v>132</c:v>
              </c:pt>
              <c:pt idx="14">
                <c:v>4</c:v>
              </c:pt>
              <c:pt idx="15">
                <c:v>30</c:v>
              </c:pt>
              <c:pt idx="16">
                <c:v>9</c:v>
              </c:pt>
              <c:pt idx="17">
                <c:v>5</c:v>
              </c:pt>
              <c:pt idx="18">
                <c:v>3</c:v>
              </c:pt>
              <c:pt idx="19">
                <c:v>7</c:v>
              </c:pt>
              <c:pt idx="20">
                <c:v>15</c:v>
              </c:pt>
              <c:pt idx="21">
                <c:v>16</c:v>
              </c:pt>
              <c:pt idx="22">
                <c:v>12</c:v>
              </c:pt>
              <c:pt idx="2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5-5ED3-4468-A0DA-0A9B7FDF4215}"/>
            </c:ext>
          </c:extLst>
        </c:ser>
        <c:ser>
          <c:idx val="2"/>
          <c:order val="2"/>
          <c:tx>
            <c:v>live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24"/>
              <c:pt idx="0">
                <c:v>animation</c:v>
              </c:pt>
              <c:pt idx="1">
                <c:v>audio</c:v>
              </c:pt>
              <c:pt idx="2">
                <c:v>documentary</c:v>
              </c:pt>
              <c:pt idx="3">
                <c:v>drama</c:v>
              </c:pt>
              <c:pt idx="4">
                <c:v>electric music</c:v>
              </c:pt>
              <c:pt idx="5">
                <c:v>fiction</c:v>
              </c:pt>
              <c:pt idx="6">
                <c:v>food trucks</c:v>
              </c:pt>
              <c:pt idx="7">
                <c:v>indie rock</c:v>
              </c:pt>
              <c:pt idx="8">
                <c:v>jazz</c:v>
              </c:pt>
              <c:pt idx="9">
                <c:v>metal</c:v>
              </c:pt>
              <c:pt idx="10">
                <c:v>mobile games</c:v>
              </c:pt>
              <c:pt idx="11">
                <c:v>nonfiction</c:v>
              </c:pt>
              <c:pt idx="12">
                <c:v>photography books</c:v>
              </c:pt>
              <c:pt idx="13">
                <c:v>plays</c:v>
              </c:pt>
              <c:pt idx="14">
                <c:v>radio &amp; podcasts</c:v>
              </c:pt>
              <c:pt idx="15">
                <c:v>rock</c:v>
              </c:pt>
              <c:pt idx="16">
                <c:v>science fiction</c:v>
              </c:pt>
              <c:pt idx="17">
                <c:v>shorts</c:v>
              </c:pt>
              <c:pt idx="18">
                <c:v>television</c:v>
              </c:pt>
              <c:pt idx="19">
                <c:v>translations</c:v>
              </c:pt>
              <c:pt idx="20">
                <c:v>video games</c:v>
              </c:pt>
              <c:pt idx="21">
                <c:v>wearables</c:v>
              </c:pt>
              <c:pt idx="22">
                <c:v>web</c:v>
              </c:pt>
              <c:pt idx="23">
                <c:v>world music</c:v>
              </c:pt>
            </c:strLit>
          </c:cat>
          <c:val>
            <c:numLit>
              <c:formatCode>General</c:formatCode>
              <c:ptCount val="24"/>
              <c:pt idx="0">
                <c:v>2</c:v>
              </c:pt>
              <c:pt idx="1">
                <c:v>0</c:v>
              </c:pt>
              <c:pt idx="2">
                <c:v>1</c:v>
              </c:pt>
              <c:pt idx="3">
                <c:v>1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2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  <c:pt idx="17">
                <c:v>1</c:v>
              </c:pt>
              <c:pt idx="18">
                <c:v>0</c:v>
              </c:pt>
              <c:pt idx="19">
                <c:v>0</c:v>
              </c:pt>
              <c:pt idx="20">
                <c:v>2</c:v>
              </c:pt>
              <c:pt idx="21">
                <c:v>1</c:v>
              </c:pt>
              <c:pt idx="22">
                <c:v>1</c:v>
              </c:pt>
              <c:pt idx="2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5ED3-4468-A0DA-0A9B7FDF4215}"/>
            </c:ext>
          </c:extLst>
        </c:ser>
        <c:ser>
          <c:idx val="3"/>
          <c:order val="3"/>
          <c:tx>
            <c:v>successful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24"/>
              <c:pt idx="0">
                <c:v>animation</c:v>
              </c:pt>
              <c:pt idx="1">
                <c:v>audio</c:v>
              </c:pt>
              <c:pt idx="2">
                <c:v>documentary</c:v>
              </c:pt>
              <c:pt idx="3">
                <c:v>drama</c:v>
              </c:pt>
              <c:pt idx="4">
                <c:v>electric music</c:v>
              </c:pt>
              <c:pt idx="5">
                <c:v>fiction</c:v>
              </c:pt>
              <c:pt idx="6">
                <c:v>food trucks</c:v>
              </c:pt>
              <c:pt idx="7">
                <c:v>indie rock</c:v>
              </c:pt>
              <c:pt idx="8">
                <c:v>jazz</c:v>
              </c:pt>
              <c:pt idx="9">
                <c:v>metal</c:v>
              </c:pt>
              <c:pt idx="10">
                <c:v>mobile games</c:v>
              </c:pt>
              <c:pt idx="11">
                <c:v>nonfiction</c:v>
              </c:pt>
              <c:pt idx="12">
                <c:v>photography books</c:v>
              </c:pt>
              <c:pt idx="13">
                <c:v>plays</c:v>
              </c:pt>
              <c:pt idx="14">
                <c:v>radio &amp; podcasts</c:v>
              </c:pt>
              <c:pt idx="15">
                <c:v>rock</c:v>
              </c:pt>
              <c:pt idx="16">
                <c:v>science fiction</c:v>
              </c:pt>
              <c:pt idx="17">
                <c:v>shorts</c:v>
              </c:pt>
              <c:pt idx="18">
                <c:v>television</c:v>
              </c:pt>
              <c:pt idx="19">
                <c:v>translations</c:v>
              </c:pt>
              <c:pt idx="20">
                <c:v>video games</c:v>
              </c:pt>
              <c:pt idx="21">
                <c:v>wearables</c:v>
              </c:pt>
              <c:pt idx="22">
                <c:v>web</c:v>
              </c:pt>
              <c:pt idx="23">
                <c:v>world music</c:v>
              </c:pt>
            </c:strLit>
          </c:cat>
          <c:val>
            <c:numLit>
              <c:formatCode>General</c:formatCode>
              <c:ptCount val="24"/>
              <c:pt idx="0">
                <c:v>21</c:v>
              </c:pt>
              <c:pt idx="1">
                <c:v>4</c:v>
              </c:pt>
              <c:pt idx="2">
                <c:v>34</c:v>
              </c:pt>
              <c:pt idx="3">
                <c:v>22</c:v>
              </c:pt>
              <c:pt idx="4">
                <c:v>10</c:v>
              </c:pt>
              <c:pt idx="5">
                <c:v>9</c:v>
              </c:pt>
              <c:pt idx="6">
                <c:v>22</c:v>
              </c:pt>
              <c:pt idx="7">
                <c:v>23</c:v>
              </c:pt>
              <c:pt idx="8">
                <c:v>10</c:v>
              </c:pt>
              <c:pt idx="9">
                <c:v>4</c:v>
              </c:pt>
              <c:pt idx="10">
                <c:v>4</c:v>
              </c:pt>
              <c:pt idx="11">
                <c:v>13</c:v>
              </c:pt>
              <c:pt idx="12">
                <c:v>26</c:v>
              </c:pt>
              <c:pt idx="13">
                <c:v>187</c:v>
              </c:pt>
              <c:pt idx="14">
                <c:v>4</c:v>
              </c:pt>
              <c:pt idx="15">
                <c:v>49</c:v>
              </c:pt>
              <c:pt idx="16">
                <c:v>5</c:v>
              </c:pt>
              <c:pt idx="17">
                <c:v>9</c:v>
              </c:pt>
              <c:pt idx="18">
                <c:v>11</c:v>
              </c:pt>
              <c:pt idx="19">
                <c:v>14</c:v>
              </c:pt>
              <c:pt idx="20">
                <c:v>17</c:v>
              </c:pt>
              <c:pt idx="21">
                <c:v>28</c:v>
              </c:pt>
              <c:pt idx="22">
                <c:v>36</c:v>
              </c:pt>
              <c:pt idx="23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7-5ED3-4468-A0DA-0A9B7FDF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6634384"/>
        <c:axId val="716635040"/>
      </c:barChart>
      <c:catAx>
        <c:axId val="71663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635040"/>
        <c:crosses val="autoZero"/>
        <c:auto val="1"/>
        <c:lblAlgn val="ctr"/>
        <c:lblOffset val="100"/>
        <c:noMultiLvlLbl val="0"/>
      </c:catAx>
      <c:valAx>
        <c:axId val="7166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63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Lunch Date</a:t>
            </a:r>
            <a:r>
              <a:rPr lang="en-AU" altLang="zh-CN" baseline="0"/>
              <a:t> Statistics fig.3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canceled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6</c:v>
              </c:pt>
              <c:pt idx="1">
                <c:v>7</c:v>
              </c:pt>
              <c:pt idx="2">
                <c:v>4</c:v>
              </c:pt>
              <c:pt idx="3">
                <c:v>1</c:v>
              </c:pt>
              <c:pt idx="4">
                <c:v>3</c:v>
              </c:pt>
              <c:pt idx="5">
                <c:v>3</c:v>
              </c:pt>
              <c:pt idx="6">
                <c:v>4</c:v>
              </c:pt>
              <c:pt idx="7">
                <c:v>8</c:v>
              </c:pt>
              <c:pt idx="8">
                <c:v>5</c:v>
              </c:pt>
              <c:pt idx="9">
                <c:v>6</c:v>
              </c:pt>
              <c:pt idx="10">
                <c:v>3</c:v>
              </c:pt>
              <c:pt idx="11">
                <c:v>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5EB-423A-8235-F67351BE957F}"/>
            </c:ext>
          </c:extLst>
        </c:ser>
        <c:ser>
          <c:idx val="1"/>
          <c:order val="1"/>
          <c:tx>
            <c:v>failed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36</c:v>
              </c:pt>
              <c:pt idx="1">
                <c:v>28</c:v>
              </c:pt>
              <c:pt idx="2">
                <c:v>33</c:v>
              </c:pt>
              <c:pt idx="3">
                <c:v>30</c:v>
              </c:pt>
              <c:pt idx="4">
                <c:v>35</c:v>
              </c:pt>
              <c:pt idx="5">
                <c:v>28</c:v>
              </c:pt>
              <c:pt idx="6">
                <c:v>31</c:v>
              </c:pt>
              <c:pt idx="7">
                <c:v>35</c:v>
              </c:pt>
              <c:pt idx="8">
                <c:v>23</c:v>
              </c:pt>
              <c:pt idx="9">
                <c:v>26</c:v>
              </c:pt>
              <c:pt idx="10">
                <c:v>27</c:v>
              </c:pt>
              <c:pt idx="11">
                <c:v>32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A5EB-423A-8235-F67351BE957F}"/>
            </c:ext>
          </c:extLst>
        </c:ser>
        <c:ser>
          <c:idx val="2"/>
          <c:order val="2"/>
          <c:tx>
            <c:v>successful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49</c:v>
              </c:pt>
              <c:pt idx="1">
                <c:v>44</c:v>
              </c:pt>
              <c:pt idx="2">
                <c:v>49</c:v>
              </c:pt>
              <c:pt idx="3">
                <c:v>46</c:v>
              </c:pt>
              <c:pt idx="4">
                <c:v>46</c:v>
              </c:pt>
              <c:pt idx="5">
                <c:v>55</c:v>
              </c:pt>
              <c:pt idx="6">
                <c:v>58</c:v>
              </c:pt>
              <c:pt idx="7">
                <c:v>41</c:v>
              </c:pt>
              <c:pt idx="8">
                <c:v>45</c:v>
              </c:pt>
              <c:pt idx="9">
                <c:v>45</c:v>
              </c:pt>
              <c:pt idx="10">
                <c:v>45</c:v>
              </c:pt>
              <c:pt idx="11">
                <c:v>42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A5EB-423A-8235-F67351BE9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904064"/>
        <c:axId val="733900456"/>
      </c:lineChart>
      <c:catAx>
        <c:axId val="73390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900456"/>
        <c:crosses val="autoZero"/>
        <c:auto val="1"/>
        <c:lblAlgn val="ctr"/>
        <c:lblOffset val="100"/>
        <c:noMultiLvlLbl val="0"/>
      </c:catAx>
      <c:valAx>
        <c:axId val="73390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9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尚</dc:creator>
  <cp:keywords/>
  <dc:description/>
  <cp:lastModifiedBy>徐 尚</cp:lastModifiedBy>
  <cp:revision>8</cp:revision>
  <dcterms:created xsi:type="dcterms:W3CDTF">2022-08-06T12:11:00Z</dcterms:created>
  <dcterms:modified xsi:type="dcterms:W3CDTF">2022-08-06T23:33:00Z</dcterms:modified>
</cp:coreProperties>
</file>