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6876" w14:textId="66D9970A" w:rsidR="002C52C4" w:rsidRDefault="00113D58" w:rsidP="00113D58">
      <w:pPr>
        <w:spacing w:line="480" w:lineRule="auto"/>
        <w:jc w:val="center"/>
      </w:pPr>
      <w:r>
        <w:t>Journal Reflection</w:t>
      </w:r>
    </w:p>
    <w:p w14:paraId="20F9F924" w14:textId="77777777" w:rsidR="00113D58" w:rsidRDefault="00113D58" w:rsidP="00113D58">
      <w:pPr>
        <w:spacing w:line="480" w:lineRule="auto"/>
        <w:jc w:val="center"/>
      </w:pPr>
    </w:p>
    <w:p w14:paraId="765B36EA" w14:textId="1A8A36B2" w:rsidR="00113D58" w:rsidRDefault="00113D58" w:rsidP="00113D58">
      <w:pPr>
        <w:spacing w:line="480" w:lineRule="auto"/>
      </w:pPr>
      <w:r>
        <w:tab/>
      </w:r>
      <w:r>
        <w:t>NIST’s Secure Software Development Framework says secure software practices need to be integrated into each software development life cycle implementation, rather than added only at the end. That reinforces what we practiced all term</w:t>
      </w:r>
      <w:r>
        <w:t>.</w:t>
      </w:r>
      <w:r>
        <w:t xml:space="preserve"> </w:t>
      </w:r>
      <w:r>
        <w:t>I</w:t>
      </w:r>
      <w:r>
        <w:t xml:space="preserve">f teams wait until late testing to think about input validation, safe memory handling, exception behavior, or access control, they are usually choosing between rushed patches and accepting risk. By contrast, adopting a secure coding standard early gives developers a common language, repeatable rules, and clearer expectations during design, coding, code review, and testing. In my own view, </w:t>
      </w:r>
      <w:r w:rsidR="009B3536">
        <w:t>which</w:t>
      </w:r>
      <w:r>
        <w:t xml:space="preserve"> makes secure coding less about fixing bugs and more about building software in a way that reduces the chance of introducing those bugs in the first place.</w:t>
      </w:r>
    </w:p>
    <w:p w14:paraId="29EBDAA1" w14:textId="1F1C6B13" w:rsidR="00113D58" w:rsidRDefault="00113D58" w:rsidP="00113D58">
      <w:pPr>
        <w:spacing w:line="480" w:lineRule="auto"/>
        <w:ind w:firstLine="720"/>
      </w:pPr>
      <w:r>
        <w:t xml:space="preserve">That also connects directly to how I now think about risk evaluation and the cost-benefit of mitigation. Not every issue carries the same business impact, exploitability, or remediation cost, so security work </w:t>
      </w:r>
      <w:r>
        <w:t>must</w:t>
      </w:r>
      <w:r>
        <w:t xml:space="preserve"> be prioritized. NIST’s risk assessment guidance frames risk in terms of threats, vulnerabilities, likelihood, and impact, which is a practical model for deciding what to fix first. In a real development environment, </w:t>
      </w:r>
      <w:r w:rsidR="009B3536">
        <w:t>which</w:t>
      </w:r>
      <w:r>
        <w:t xml:space="preserve"> means high-severity issues with a realistic exploitation path</w:t>
      </w:r>
      <w:r>
        <w:t xml:space="preserve">, </w:t>
      </w:r>
      <w:r>
        <w:t>such as SQL injection, broken authorization, unsafe memory access, or exposed secrets</w:t>
      </w:r>
      <w:r>
        <w:t xml:space="preserve">, </w:t>
      </w:r>
      <w:r>
        <w:t xml:space="preserve">should be treated as urgent because the potential cost of a breach is usually much greater than the engineering cost of fixing them. Lower-risk issues still matter, but they can often be scheduled based on available time and technical debt priorities. This course helped me see that good security decisions are not just </w:t>
      </w:r>
      <w:r>
        <w:t xml:space="preserve">to </w:t>
      </w:r>
      <w:r>
        <w:t>fix everything immediately, but rather</w:t>
      </w:r>
      <w:r>
        <w:t xml:space="preserve"> to</w:t>
      </w:r>
      <w:r>
        <w:t xml:space="preserve"> fix the right things first, with a clear understanding of both risk and resource constraints.</w:t>
      </w:r>
    </w:p>
    <w:p w14:paraId="20C7F21A" w14:textId="1F1B8B9B" w:rsidR="00113D58" w:rsidRDefault="00113D58" w:rsidP="00113D58">
      <w:pPr>
        <w:spacing w:line="480" w:lineRule="auto"/>
        <w:ind w:firstLine="720"/>
      </w:pPr>
      <w:r>
        <w:lastRenderedPageBreak/>
        <w:t>Another major concept that stands out is zero trust. Before this course, it was easy to think of security mostly in terms of perimeter defense</w:t>
      </w:r>
      <w:r>
        <w:t xml:space="preserve">, </w:t>
      </w:r>
      <w:r>
        <w:t xml:space="preserve">protecting the outside and assuming what is inside is mostly safe. Zero trust changes that mindset completely. </w:t>
      </w:r>
      <w:r>
        <w:t>Z</w:t>
      </w:r>
      <w:r>
        <w:t>ero trust shift</w:t>
      </w:r>
      <w:r>
        <w:t>s</w:t>
      </w:r>
      <w:r>
        <w:t xml:space="preserve"> away from static, network-based perimeters and toward protecting users, assets, and resources individually. In practice, </w:t>
      </w:r>
      <w:r w:rsidR="009B3536">
        <w:t>which</w:t>
      </w:r>
      <w:r>
        <w:t xml:space="preserve"> means developers should assume that any request, user, system, or network path could be untrusted until it is verified. From a coding perspective, this supports practices like validating every input, enforcing authorization on the server side for every request, limiting access by role and context, protecting internal APIs, and logging security-relevant actions for review. What I find most useful about zero trust is that it turns security into an ongoing verification process rather than a one-time approval. </w:t>
      </w:r>
    </w:p>
    <w:p w14:paraId="50238142" w14:textId="57298028" w:rsidR="00113D58" w:rsidRDefault="00113D58" w:rsidP="00113D58">
      <w:pPr>
        <w:spacing w:line="480" w:lineRule="auto"/>
        <w:ind w:firstLine="720"/>
      </w:pPr>
      <w:r>
        <w:t>The course also strengthened my understanding of how important security policies are to implementation and long-term consistency. A policy is not just paperwork for auditors; it is what turns secure coding practices into repeatable expectations across a team. As projects grow, different developers will naturally make different decisions unless there is a shared standard for things like input validation, encryption, exception handling, authorization checks, and testing requirements. A good security policy helps by defining what is required, where automation should enforce it, and how the organization should maintain and update those controls over time. The most effective recommendation I would make is to keep policy tied to the actual development pipeline: static analysis in the build process, unit and negative testing in CI, dependency scanning before release, and logging/monitoring after deployment. That keeps policy practical and enforceable instead of theoretical.</w:t>
      </w:r>
    </w:p>
    <w:p w14:paraId="5D633873" w14:textId="7D22A347" w:rsidR="00113D58" w:rsidRDefault="00113D58" w:rsidP="004E01F5">
      <w:pPr>
        <w:spacing w:line="480" w:lineRule="auto"/>
        <w:ind w:firstLine="720"/>
      </w:pPr>
      <w:r>
        <w:lastRenderedPageBreak/>
        <w:t>Overall, this course changed how I think about secure development. I now see secure coding standards, risk-based prioritization, zero trust, and policy implementation as parts of the same system rather than separate topics. Secure coding standards define the rules, risk assessment determines what matters most, zero trust shapes how trust is granted and maintained, and policy makes those expectations sustainable across teams and projects. Taken together, they support a more mature development process where security is built in early, validated continuously, and maintained as the system changes. That is the approach I would want to carry into professional practice because it is more realistic, more scalable, and more effective than treating security as something that only happens at the end.</w:t>
      </w:r>
    </w:p>
    <w:p w14:paraId="62AA7173" w14:textId="77777777" w:rsidR="004E01F5" w:rsidRDefault="004E01F5" w:rsidP="004E01F5">
      <w:pPr>
        <w:spacing w:line="480" w:lineRule="auto"/>
      </w:pPr>
    </w:p>
    <w:sdt>
      <w:sdtPr>
        <w:id w:val="-719818725"/>
        <w:docPartObj>
          <w:docPartGallery w:val="Bibliographies"/>
          <w:docPartUnique/>
        </w:docPartObj>
      </w:sdtPr>
      <w:sdtEndPr>
        <w:rPr>
          <w:rFonts w:ascii="Times New Roman" w:eastAsiaTheme="minorHAnsi" w:hAnsi="Times New Roman" w:cs="Times New Roman"/>
          <w:color w:val="auto"/>
          <w:sz w:val="24"/>
          <w:szCs w:val="24"/>
        </w:rPr>
      </w:sdtEndPr>
      <w:sdtContent>
        <w:p w14:paraId="67219F10" w14:textId="32D683D8" w:rsidR="004E01F5" w:rsidRDefault="004E01F5">
          <w:pPr>
            <w:pStyle w:val="Heading1"/>
          </w:pPr>
          <w:r>
            <w:t>References</w:t>
          </w:r>
        </w:p>
        <w:sdt>
          <w:sdtPr>
            <w:id w:val="-573587230"/>
            <w:bibliography/>
          </w:sdtPr>
          <w:sdtContent>
            <w:p w14:paraId="074CE17E" w14:textId="77777777" w:rsidR="004E01F5" w:rsidRDefault="004E01F5" w:rsidP="004E01F5">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NIST. (n.d.). </w:t>
              </w:r>
              <w:r>
                <w:rPr>
                  <w:i/>
                  <w:iCs/>
                  <w:noProof/>
                </w:rPr>
                <w:t>NIST SP 800-207, Zero Trust Architecture</w:t>
              </w:r>
              <w:r>
                <w:rPr>
                  <w:noProof/>
                </w:rPr>
                <w:t>. Retrieved from NIST: https://csrc.nist.gov/pubs/sp/800/207</w:t>
              </w:r>
            </w:p>
            <w:p w14:paraId="2B7356D2" w14:textId="77777777" w:rsidR="004E01F5" w:rsidRDefault="004E01F5" w:rsidP="004E01F5">
              <w:pPr>
                <w:pStyle w:val="Bibliography"/>
                <w:ind w:left="720" w:hanging="720"/>
                <w:rPr>
                  <w:noProof/>
                </w:rPr>
              </w:pPr>
              <w:r>
                <w:rPr>
                  <w:noProof/>
                </w:rPr>
                <w:t xml:space="preserve">NIST. (n.d.). </w:t>
              </w:r>
              <w:r>
                <w:rPr>
                  <w:i/>
                  <w:iCs/>
                  <w:noProof/>
                </w:rPr>
                <w:t>NIST SP 800-218, Secure Software Development Framework (SSDF) Version 1.1.</w:t>
              </w:r>
              <w:r>
                <w:rPr>
                  <w:noProof/>
                </w:rPr>
                <w:t xml:space="preserve"> Retrieved from NIST: https://csrc.nist.gov/pubs/sp/800/218/final</w:t>
              </w:r>
            </w:p>
            <w:p w14:paraId="02D68B09" w14:textId="77777777" w:rsidR="004E01F5" w:rsidRDefault="004E01F5" w:rsidP="004E01F5">
              <w:pPr>
                <w:pStyle w:val="Bibliography"/>
                <w:ind w:left="720" w:hanging="720"/>
                <w:rPr>
                  <w:noProof/>
                </w:rPr>
              </w:pPr>
              <w:r>
                <w:rPr>
                  <w:noProof/>
                </w:rPr>
                <w:t xml:space="preserve">NIST. (n.d.). </w:t>
              </w:r>
              <w:r>
                <w:rPr>
                  <w:i/>
                  <w:iCs/>
                  <w:noProof/>
                </w:rPr>
                <w:t>NIST SP 800-30 Rev. 1, Guide for Conducting Risk Assessments.</w:t>
              </w:r>
              <w:r>
                <w:rPr>
                  <w:noProof/>
                </w:rPr>
                <w:t xml:space="preserve"> Retrieved from NIST: https://csrc.nist.gov/pubs/sp/800/30/r1/final</w:t>
              </w:r>
            </w:p>
            <w:p w14:paraId="0FE0105E" w14:textId="7BE59D75" w:rsidR="004E01F5" w:rsidRDefault="004E01F5" w:rsidP="004E01F5">
              <w:r>
                <w:rPr>
                  <w:b/>
                  <w:bCs/>
                  <w:noProof/>
                </w:rPr>
                <w:fldChar w:fldCharType="end"/>
              </w:r>
            </w:p>
          </w:sdtContent>
        </w:sdt>
      </w:sdtContent>
    </w:sdt>
    <w:p w14:paraId="0C2D0E02" w14:textId="77777777" w:rsidR="004E01F5" w:rsidRDefault="004E01F5" w:rsidP="004E01F5">
      <w:pPr>
        <w:spacing w:line="480" w:lineRule="auto"/>
      </w:pPr>
    </w:p>
    <w:p w14:paraId="5FE7E2F0" w14:textId="77777777" w:rsidR="00113D58" w:rsidRDefault="00113D58" w:rsidP="00113D58"/>
    <w:sectPr w:rsidR="00113D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022F" w14:textId="77777777" w:rsidR="001D782F" w:rsidRDefault="001D782F" w:rsidP="00113D58">
      <w:pPr>
        <w:spacing w:after="0" w:line="240" w:lineRule="auto"/>
      </w:pPr>
      <w:r>
        <w:separator/>
      </w:r>
    </w:p>
  </w:endnote>
  <w:endnote w:type="continuationSeparator" w:id="0">
    <w:p w14:paraId="6252DBE0" w14:textId="77777777" w:rsidR="001D782F" w:rsidRDefault="001D782F" w:rsidP="00113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731F7" w14:textId="77777777" w:rsidR="001D782F" w:rsidRDefault="001D782F" w:rsidP="00113D58">
      <w:pPr>
        <w:spacing w:after="0" w:line="240" w:lineRule="auto"/>
      </w:pPr>
      <w:r>
        <w:separator/>
      </w:r>
    </w:p>
  </w:footnote>
  <w:footnote w:type="continuationSeparator" w:id="0">
    <w:p w14:paraId="7D7AB0B7" w14:textId="77777777" w:rsidR="001D782F" w:rsidRDefault="001D782F" w:rsidP="00113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3DB5" w14:textId="4A06F372" w:rsidR="00113D58" w:rsidRDefault="00113D58" w:rsidP="00113D58">
    <w:pPr>
      <w:pStyle w:val="Header"/>
      <w:jc w:val="right"/>
    </w:pPr>
    <w:r>
      <w:t>Shauntel Hall</w:t>
    </w:r>
  </w:p>
  <w:p w14:paraId="72AB6009" w14:textId="3C429DC2" w:rsidR="00113D58" w:rsidRDefault="00113D58" w:rsidP="00113D58">
    <w:pPr>
      <w:pStyle w:val="Header"/>
      <w:jc w:val="right"/>
    </w:pPr>
    <w:r>
      <w:t>CS-410</w:t>
    </w:r>
  </w:p>
  <w:p w14:paraId="54A5E9AE" w14:textId="7B0B24AA" w:rsidR="00113D58" w:rsidRDefault="00113D58" w:rsidP="00113D58">
    <w:pPr>
      <w:pStyle w:val="Header"/>
      <w:jc w:val="right"/>
    </w:pPr>
    <w:r>
      <w:t>2/28/2026</w:t>
    </w:r>
  </w:p>
  <w:p w14:paraId="3E08BA38" w14:textId="77777777" w:rsidR="00113D58" w:rsidRDefault="00113D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58"/>
    <w:rsid w:val="00113D58"/>
    <w:rsid w:val="001D782F"/>
    <w:rsid w:val="002C52C4"/>
    <w:rsid w:val="004E01F5"/>
    <w:rsid w:val="009B3536"/>
    <w:rsid w:val="00D8548C"/>
    <w:rsid w:val="00DB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D9F90"/>
  <w15:chartTrackingRefBased/>
  <w15:docId w15:val="{6F684C70-E879-4E2F-A8E9-5285204C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D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D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3D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D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D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D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D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D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3D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3D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3D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3D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3D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3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3D58"/>
    <w:pPr>
      <w:spacing w:before="160"/>
      <w:jc w:val="center"/>
    </w:pPr>
    <w:rPr>
      <w:i/>
      <w:iCs/>
      <w:color w:val="404040" w:themeColor="text1" w:themeTint="BF"/>
    </w:rPr>
  </w:style>
  <w:style w:type="character" w:customStyle="1" w:styleId="QuoteChar">
    <w:name w:val="Quote Char"/>
    <w:basedOn w:val="DefaultParagraphFont"/>
    <w:link w:val="Quote"/>
    <w:uiPriority w:val="29"/>
    <w:rsid w:val="00113D58"/>
    <w:rPr>
      <w:i/>
      <w:iCs/>
      <w:color w:val="404040" w:themeColor="text1" w:themeTint="BF"/>
    </w:rPr>
  </w:style>
  <w:style w:type="paragraph" w:styleId="ListParagraph">
    <w:name w:val="List Paragraph"/>
    <w:basedOn w:val="Normal"/>
    <w:uiPriority w:val="34"/>
    <w:qFormat/>
    <w:rsid w:val="00113D58"/>
    <w:pPr>
      <w:ind w:left="720"/>
      <w:contextualSpacing/>
    </w:pPr>
  </w:style>
  <w:style w:type="character" w:styleId="IntenseEmphasis">
    <w:name w:val="Intense Emphasis"/>
    <w:basedOn w:val="DefaultParagraphFont"/>
    <w:uiPriority w:val="21"/>
    <w:qFormat/>
    <w:rsid w:val="00113D58"/>
    <w:rPr>
      <w:i/>
      <w:iCs/>
      <w:color w:val="0F4761" w:themeColor="accent1" w:themeShade="BF"/>
    </w:rPr>
  </w:style>
  <w:style w:type="paragraph" w:styleId="IntenseQuote">
    <w:name w:val="Intense Quote"/>
    <w:basedOn w:val="Normal"/>
    <w:next w:val="Normal"/>
    <w:link w:val="IntenseQuoteChar"/>
    <w:uiPriority w:val="30"/>
    <w:qFormat/>
    <w:rsid w:val="00113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58"/>
    <w:rPr>
      <w:i/>
      <w:iCs/>
      <w:color w:val="0F4761" w:themeColor="accent1" w:themeShade="BF"/>
    </w:rPr>
  </w:style>
  <w:style w:type="character" w:styleId="IntenseReference">
    <w:name w:val="Intense Reference"/>
    <w:basedOn w:val="DefaultParagraphFont"/>
    <w:uiPriority w:val="32"/>
    <w:qFormat/>
    <w:rsid w:val="00113D58"/>
    <w:rPr>
      <w:b/>
      <w:bCs/>
      <w:smallCaps/>
      <w:color w:val="0F4761" w:themeColor="accent1" w:themeShade="BF"/>
      <w:spacing w:val="5"/>
    </w:rPr>
  </w:style>
  <w:style w:type="paragraph" w:styleId="Header">
    <w:name w:val="header"/>
    <w:basedOn w:val="Normal"/>
    <w:link w:val="HeaderChar"/>
    <w:uiPriority w:val="99"/>
    <w:unhideWhenUsed/>
    <w:rsid w:val="00113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D58"/>
  </w:style>
  <w:style w:type="paragraph" w:styleId="Footer">
    <w:name w:val="footer"/>
    <w:basedOn w:val="Normal"/>
    <w:link w:val="FooterChar"/>
    <w:uiPriority w:val="99"/>
    <w:unhideWhenUsed/>
    <w:rsid w:val="00113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D58"/>
  </w:style>
  <w:style w:type="paragraph" w:styleId="Bibliography">
    <w:name w:val="Bibliography"/>
    <w:basedOn w:val="Normal"/>
    <w:next w:val="Normal"/>
    <w:uiPriority w:val="37"/>
    <w:unhideWhenUsed/>
    <w:rsid w:val="004E0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4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NIS</b:Tag>
    <b:SourceType>InternetSite</b:SourceType>
    <b:Guid>{CA8683A6-5BC8-42D4-822B-8A3AB2E21A10}</b:Guid>
    <b:Author>
      <b:Author>
        <b:Corporate>NIST</b:Corporate>
      </b:Author>
    </b:Author>
    <b:Title>NIST SP 800-218, Secure Software Development Framework (SSDF) Version 1.1.</b:Title>
    <b:InternetSiteTitle>NIST</b:InternetSiteTitle>
    <b:URL>https://csrc.nist.gov/pubs/sp/800/218/final</b:URL>
    <b:RefOrder>1</b:RefOrder>
  </b:Source>
  <b:Source>
    <b:Tag>NIS1</b:Tag>
    <b:SourceType>InternetSite</b:SourceType>
    <b:Guid>{87B9A908-BD6A-4DB2-892A-EEAE43368FA1}</b:Guid>
    <b:Author>
      <b:Author>
        <b:Corporate>NIST</b:Corporate>
      </b:Author>
    </b:Author>
    <b:Title>NIST SP 800-207, Zero Trust Architecture</b:Title>
    <b:InternetSiteTitle>NIST</b:InternetSiteTitle>
    <b:URL>https://csrc.nist.gov/pubs/sp/800/207</b:URL>
    <b:RefOrder>2</b:RefOrder>
  </b:Source>
  <b:Source>
    <b:Tag>NIS2</b:Tag>
    <b:SourceType>InternetSite</b:SourceType>
    <b:Guid>{5BEF21AC-FAC1-4919-A913-D9A92CD2150B}</b:Guid>
    <b:Author>
      <b:Author>
        <b:Corporate>NIST</b:Corporate>
      </b:Author>
    </b:Author>
    <b:Title>NIST SP 800-30 Rev. 1, Guide for Conducting Risk Assessments.</b:Title>
    <b:InternetSiteTitle>NIST</b:InternetSiteTitle>
    <b:URL>https://csrc.nist.gov/pubs/sp/800/30/r1/final</b:URL>
    <b:RefOrder>3</b:RefOrder>
  </b:Source>
</b:Sources>
</file>

<file path=customXml/itemProps1.xml><?xml version="1.0" encoding="utf-8"?>
<ds:datastoreItem xmlns:ds="http://schemas.openxmlformats.org/officeDocument/2006/customXml" ds:itemID="{7FF9C296-99F5-48D4-9D75-6E2B5453E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Shauntel Hall</dc:creator>
  <cp:keywords/>
  <dc:description/>
  <cp:lastModifiedBy>Shauntel Hall</cp:lastModifiedBy>
  <cp:revision>1</cp:revision>
  <dcterms:created xsi:type="dcterms:W3CDTF">2026-02-28T16:09:00Z</dcterms:created>
  <dcterms:modified xsi:type="dcterms:W3CDTF">2026-02-28T16:36:00Z</dcterms:modified>
</cp:coreProperties>
</file>