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jc w:val="center"/>
      </w:pPr>
      <w:r>
        <w:rPr>
          <w:rFonts w:ascii="Calibri" w:hAnsi="Calibri"/>
          <w:b/>
          <w:color w:val="1E3A8A"/>
          <w:sz w:val="68"/>
        </w:rPr>
        <w:t>SudokuVision</w:t>
      </w:r>
    </w:p>
    <w:p>
      <w:pPr>
        <w:spacing w:before="0" w:after="560"/>
        <w:jc w:val="center"/>
      </w:pPr>
      <w:r>
        <w:rPr>
          <w:rFonts w:ascii="Calibri" w:hAnsi="Calibri"/>
          <w:i/>
          <w:color w:val="0E7490"/>
          <w:sz w:val="28"/>
        </w:rPr>
        <w:t>An End-to-End System for Real-Time Sudoku Grid Extraction, Perspective Correction, Constraint-Aware OCR, and Logical Move Deduction</w:t>
      </w:r>
    </w:p>
    <w:tbl>
      <w:tblPr>
        <w:tblW w:type="auto" w:w="0"/>
        <w:jc w:val="center"/>
        <w:tblLook w:firstColumn="1" w:firstRow="1" w:lastColumn="0" w:lastRow="0" w:noHBand="0" w:noVBand="1" w:val="04A0"/>
      </w:tblPr>
      <w:tblGrid>
        <w:gridCol w:w="9360"/>
      </w:tblGrid>
      <w:tr>
        <w:tc>
          <w:tcPr>
            <w:tcW w:type="dxa" w:w="9360"/>
            <w:shd w:val="clear" w:color="auto" w:fill="1E3A8A"/>
            <w:tcMar>
              <w:top w:w="140" w:type="dxa"/>
              <w:bottom w:w="140" w:type="dxa"/>
              <w:left w:w="200" w:type="dxa"/>
              <w:right w:w="200" w:type="dxa"/>
            </w:tcMar>
          </w:tcPr>
          <w:p>
            <w:pPr>
              <w:jc w:val="center"/>
            </w:pPr>
            <w:r>
              <w:rPr>
                <w:b/>
                <w:color w:val="FFFFFF"/>
                <w:sz w:val="20"/>
              </w:rPr>
              <w:t>PROJECT REPORT SUBMITTED BY</w:t>
            </w:r>
          </w:p>
        </w:tc>
      </w:tr>
      <w:tr>
        <w:tc>
          <w:tcPr>
            <w:tcW w:type="dxa" w:w="9360"/>
            <w:shd w:val="clear" w:color="auto" w:fill="F1F5F9"/>
            <w:tcMar>
              <w:top w:w="180" w:type="dxa"/>
              <w:bottom w:w="180" w:type="dxa"/>
              <w:left w:w="200" w:type="dxa"/>
              <w:right w:w="200" w:type="dxa"/>
            </w:tcMar>
          </w:tcPr>
          <w:p>
            <w:pPr>
              <w:jc w:val="center"/>
            </w:pPr>
            <w:r>
              <w:rPr>
                <w:b/>
                <w:color w:val="1E3A8A"/>
                <w:sz w:val="32"/>
              </w:rPr>
              <w:t>Shaurya &amp; Pankaj</w:t>
            </w:r>
          </w:p>
          <w:p>
            <w:pPr>
              <w:jc w:val="center"/>
            </w:pPr>
            <w:r>
              <w:rPr>
                <w:color w:val="64748B"/>
                <w:sz w:val="20"/>
              </w:rPr>
              <w:t>Academic Year 2026 • Computer Science &amp; Artificial Intelligence</w:t>
            </w:r>
          </w:p>
        </w:tc>
      </w:tr>
    </w:tbl>
    <w:p>
      <w:r>
        <w:br w:type="page"/>
      </w:r>
    </w:p>
    <w:p>
      <w:pPr>
        <w:keepNext/>
        <w:spacing w:before="400" w:after="160"/>
      </w:pPr>
      <w:r>
        <w:rPr>
          <w:rFonts w:ascii="Calibri" w:hAnsi="Calibri"/>
          <w:b/>
          <w:color w:val="1E3A8A"/>
          <w:sz w:val="36"/>
        </w:rPr>
        <w:t>Executive Summary</w:t>
      </w:r>
    </w:p>
    <w:p>
      <w:pPr>
        <w:spacing w:after="120"/>
      </w:pPr>
      <w:r>
        <w:t>SudokuVision is an integrated computer vision, machine learning, and symbolic artificial intelligence system engineered to bridge physical paper puzzles and digital automated problem-solving. While traditional Sudoku solvers assume idealized tabular input matrices, real-world applications require extracting information directly from unstructured mobile camera captures characterized by perspective tilt, non-uniform illumination, shadows, optical distortion, and varied typography.</w:t>
      </w:r>
    </w:p>
    <w:p>
      <w:pPr>
        <w:spacing w:after="240"/>
      </w:pPr>
      <w:r>
        <w:t>To solve this multifaceted challenge, Shaurya and Pankaj developed an end-to-end pipeline comprising: (1) adaptive grayscale preprocessing and contour-based 4-corner grid localization; (2) planar homography perspective transformation yielding a canonical 450x450 orthogonal matrix; (3) cell segmentation with border margin suppression; (4) a multi-font supervised digit classifier combined with constraint-aware probabilistic conflict resolution; (5) a human-like logical reasoning engine that deduces next moves using strategies such as Naked Singles, Hidden Singles, and Box-Line reductions, accompanied by natural language explanations; and (6) augmented reality inverse projection that highlights recommended moves directly onto the user's original image perspective. The system is deployed via a high-throughput FastAPI backend and a modern React/Vite web application.</w:t>
      </w:r>
    </w:p>
    <w:tbl>
      <w:tblPr>
        <w:tblW w:type="auto" w:w="0"/>
        <w:jc w:val="center"/>
        <w:tblLook w:firstColumn="1" w:firstRow="1" w:lastColumn="0" w:lastRow="0" w:noHBand="0" w:noVBand="1" w:val="04A0"/>
      </w:tblPr>
      <w:tblGrid>
        <w:gridCol w:w="4680"/>
        <w:gridCol w:w="4680"/>
      </w:tblGrid>
      <w:tr>
        <w:tc>
          <w:tcPr>
            <w:tcW w:type="dxa" w:w="4680"/>
            <w:shd w:val="clear" w:color="auto" w:fill="1E3A8A"/>
            <w:tcMar>
              <w:top w:w="80" w:type="dxa"/>
              <w:bottom w:w="80" w:type="dxa"/>
              <w:left w:w="120" w:type="dxa"/>
              <w:right w:w="120" w:type="dxa"/>
            </w:tcMar>
          </w:tcPr>
          <w:p>
            <w:r>
              <w:rPr>
                <w:b/>
                <w:color w:val="FFFFFF"/>
              </w:rPr>
              <w:t>Metric / Dimension</w:t>
            </w:r>
          </w:p>
        </w:tc>
        <w:tc>
          <w:tcPr>
            <w:tcW w:type="dxa" w:w="4680"/>
            <w:shd w:val="clear" w:color="auto" w:fill="1E3A8A"/>
            <w:tcMar>
              <w:top w:w="80" w:type="dxa"/>
              <w:bottom w:w="80" w:type="dxa"/>
              <w:left w:w="120" w:type="dxa"/>
              <w:right w:w="120" w:type="dxa"/>
            </w:tcMar>
          </w:tcPr>
          <w:p>
            <w:r>
              <w:rPr>
                <w:b/>
                <w:color w:val="FFFFFF"/>
              </w:rPr>
              <w:t>System Capability &amp; Result</w:t>
            </w:r>
          </w:p>
        </w:tc>
      </w:tr>
      <w:tr>
        <w:tc>
          <w:tcPr>
            <w:tcW w:type="dxa" w:w="4680"/>
            <w:shd w:val="clear" w:color="auto" w:fill="F8FAFC"/>
            <w:tcMar>
              <w:top w:w="60" w:type="dxa"/>
              <w:bottom w:w="60" w:type="dxa"/>
              <w:left w:w="100" w:type="dxa"/>
              <w:right w:w="100" w:type="dxa"/>
            </w:tcMar>
          </w:tcPr>
          <w:p>
            <w:r>
              <w:rPr>
                <w:b/>
                <w:sz w:val="19"/>
              </w:rPr>
              <w:t>Input Modalities</w:t>
            </w:r>
          </w:p>
        </w:tc>
        <w:tc>
          <w:tcPr>
            <w:tcW w:type="dxa" w:w="4680"/>
            <w:shd w:val="clear" w:color="auto" w:fill="F8FAFC"/>
            <w:tcMar>
              <w:top w:w="60" w:type="dxa"/>
              <w:bottom w:w="60" w:type="dxa"/>
              <w:left w:w="100" w:type="dxa"/>
              <w:right w:w="100" w:type="dxa"/>
            </w:tcMar>
          </w:tcPr>
          <w:p>
            <w:r>
              <w:rPr>
                <w:sz w:val="19"/>
              </w:rPr>
              <w:t>Static images (PNG, JPG), drag-and-drop file upload, live browser webcam capture, and bundled presets.</w:t>
            </w:r>
          </w:p>
        </w:tc>
      </w:tr>
      <w:tr>
        <w:tc>
          <w:tcPr>
            <w:tcW w:type="dxa" w:w="4680"/>
            <w:shd w:val="clear" w:color="auto" w:fill="FFFFFF"/>
            <w:tcMar>
              <w:top w:w="60" w:type="dxa"/>
              <w:bottom w:w="60" w:type="dxa"/>
              <w:left w:w="100" w:type="dxa"/>
              <w:right w:w="100" w:type="dxa"/>
            </w:tcMar>
          </w:tcPr>
          <w:p>
            <w:r>
              <w:rPr>
                <w:b/>
                <w:sz w:val="19"/>
              </w:rPr>
              <w:t>Computer Vision Robustness</w:t>
            </w:r>
          </w:p>
        </w:tc>
        <w:tc>
          <w:tcPr>
            <w:tcW w:type="dxa" w:w="4680"/>
            <w:shd w:val="clear" w:color="auto" w:fill="FFFFFF"/>
            <w:tcMar>
              <w:top w:w="60" w:type="dxa"/>
              <w:bottom w:w="60" w:type="dxa"/>
              <w:left w:w="100" w:type="dxa"/>
              <w:right w:w="100" w:type="dxa"/>
            </w:tcMar>
          </w:tcPr>
          <w:p>
            <w:r>
              <w:rPr>
                <w:sz w:val="19"/>
              </w:rPr>
              <w:t>Full geometric invariance to skew, rotations, and paper tilts up to 45 degrees.</w:t>
            </w:r>
          </w:p>
        </w:tc>
      </w:tr>
      <w:tr>
        <w:tc>
          <w:tcPr>
            <w:tcW w:type="dxa" w:w="4680"/>
            <w:shd w:val="clear" w:color="auto" w:fill="F8FAFC"/>
            <w:tcMar>
              <w:top w:w="60" w:type="dxa"/>
              <w:bottom w:w="60" w:type="dxa"/>
              <w:left w:w="100" w:type="dxa"/>
              <w:right w:w="100" w:type="dxa"/>
            </w:tcMar>
          </w:tcPr>
          <w:p>
            <w:r>
              <w:rPr>
                <w:b/>
                <w:sz w:val="19"/>
              </w:rPr>
              <w:t>OCR Recognition Accuracy</w:t>
            </w:r>
          </w:p>
        </w:tc>
        <w:tc>
          <w:tcPr>
            <w:tcW w:type="dxa" w:w="4680"/>
            <w:shd w:val="clear" w:color="auto" w:fill="F8FAFC"/>
            <w:tcMar>
              <w:top w:w="60" w:type="dxa"/>
              <w:bottom w:w="60" w:type="dxa"/>
              <w:left w:w="100" w:type="dxa"/>
              <w:right w:w="100" w:type="dxa"/>
            </w:tcMar>
          </w:tcPr>
          <w:p>
            <w:r>
              <w:rPr>
                <w:sz w:val="19"/>
              </w:rPr>
              <w:t>100.0% verified recognition on benchmark real-world test puzzles using constraint propagation.</w:t>
            </w:r>
          </w:p>
        </w:tc>
      </w:tr>
      <w:tr>
        <w:tc>
          <w:tcPr>
            <w:tcW w:type="dxa" w:w="4680"/>
            <w:shd w:val="clear" w:color="auto" w:fill="FFFFFF"/>
            <w:tcMar>
              <w:top w:w="60" w:type="dxa"/>
              <w:bottom w:w="60" w:type="dxa"/>
              <w:left w:w="100" w:type="dxa"/>
              <w:right w:w="100" w:type="dxa"/>
            </w:tcMar>
          </w:tcPr>
          <w:p>
            <w:r>
              <w:rPr>
                <w:b/>
                <w:sz w:val="19"/>
              </w:rPr>
              <w:t>Test Verification</w:t>
            </w:r>
          </w:p>
        </w:tc>
        <w:tc>
          <w:tcPr>
            <w:tcW w:type="dxa" w:w="4680"/>
            <w:shd w:val="clear" w:color="auto" w:fill="FFFFFF"/>
            <w:tcMar>
              <w:top w:w="60" w:type="dxa"/>
              <w:bottom w:w="60" w:type="dxa"/>
              <w:left w:w="100" w:type="dxa"/>
              <w:right w:w="100" w:type="dxa"/>
            </w:tcMar>
          </w:tcPr>
          <w:p>
            <w:r>
              <w:rPr>
                <w:sz w:val="19"/>
              </w:rPr>
              <w:t>27 automated test suites (unit, integration, and API level) with 100% pass rate in Pytest.</w:t>
            </w:r>
          </w:p>
        </w:tc>
      </w:tr>
    </w:tbl>
    <w:p>
      <w:pPr>
        <w:keepNext/>
        <w:spacing w:before="400" w:after="160"/>
      </w:pPr>
      <w:r>
        <w:rPr>
          <w:rFonts w:ascii="Calibri" w:hAnsi="Calibri"/>
          <w:b/>
          <w:color w:val="1E3A8A"/>
          <w:sz w:val="36"/>
        </w:rPr>
        <w:t>1. Problem Statement &amp; Research Motivation</w:t>
      </w:r>
    </w:p>
    <w:p>
      <w:r>
        <w:t>Sudoku is a widely enjoyed NP-complete combinatorial number-placement puzzle based on a 9x9 grid subdivided into nine 3x3 blocks. While standard backtracking algorithms can solve digital 9x9 matrices in milliseconds, solving a puzzle that exists on physical paper—such as a newspaper, magazine, or competition sheet—demands a seamless synthesis of Computer Vision (CV), Optical Character Recognition (OCR), and symbolic logic.</w:t>
      </w:r>
    </w:p>
    <w:p>
      <w:r>
        <w:t>Existing open-source or commercial implementations frequently suffer from critical real-world failure points:</w:t>
      </w:r>
    </w:p>
    <w:p>
      <w:pPr>
        <w:pStyle w:val="ListBullet"/>
        <w:spacing w:before="40" w:after="40"/>
      </w:pPr>
      <w:r>
        <w:rPr>
          <w:b/>
          <w:color w:val="0F172A"/>
        </w:rPr>
        <w:t xml:space="preserve">Perspective Sensitivity: </w:t>
      </w:r>
      <w:r>
        <w:rPr>
          <w:color w:val="0F172A"/>
        </w:rPr>
        <w:t xml:space="preserve"> Many solutions assume the camera is placed precisely parallel to the page, failing when users hold a smartphone at an arbitrary angle.</w:t>
      </w:r>
    </w:p>
    <w:p>
      <w:pPr>
        <w:pStyle w:val="ListBullet"/>
        <w:spacing w:before="40" w:after="40"/>
      </w:pPr>
      <w:r>
        <w:rPr>
          <w:b/>
          <w:color w:val="0F172A"/>
        </w:rPr>
        <w:t xml:space="preserve">Shadow &amp; Illumination Variance: </w:t>
      </w:r>
      <w:r>
        <w:rPr>
          <w:color w:val="0F172A"/>
        </w:rPr>
        <w:t xml:space="preserve"> Global binarization thresholds fail under non-uniform indoor lighting, casting shadows across half the grid.</w:t>
      </w:r>
    </w:p>
    <w:p>
      <w:pPr>
        <w:pStyle w:val="ListBullet"/>
        <w:spacing w:before="40" w:after="40"/>
      </w:pPr>
      <w:r>
        <w:rPr>
          <w:b/>
          <w:color w:val="0F172A"/>
        </w:rPr>
        <w:t xml:space="preserve">Typography Mismatch: </w:t>
      </w:r>
      <w:r>
        <w:rPr>
          <w:color w:val="0F172A"/>
        </w:rPr>
        <w:t xml:space="preserve"> Printed Sudokus use diverse typographic fonts (serif, sans-serif, bold, decorative, outline). Standard MNIST-trained models fail dramatically on printed typography.</w:t>
      </w:r>
    </w:p>
    <w:p>
      <w:pPr>
        <w:pStyle w:val="ListBullet"/>
        <w:spacing w:before="40" w:after="40"/>
      </w:pPr>
      <w:r>
        <w:rPr>
          <w:b/>
          <w:color w:val="0F172A"/>
        </w:rPr>
        <w:t xml:space="preserve">Lack of Pedagogical Explanations: </w:t>
      </w:r>
      <w:r>
        <w:rPr>
          <w:color w:val="0F172A"/>
        </w:rPr>
        <w:t xml:space="preserve"> Most applications simply dump the final solved board, which ruins the player's engagement rather than explaining the next logical deduction.</w:t>
      </w:r>
    </w:p>
    <w:p>
      <w:r>
        <w:t>The objective of Shaurya and Pankaj's project is to resolve these limitations by architecting a production-ready, fully automated, self-contained application capable of accepting skewed camera photos, extracting digits with high fidelity, deducing the next human-understandable move, and projecting visual guidance back onto the source photo.</w:t>
      </w:r>
    </w:p>
    <w:p>
      <w:pPr>
        <w:keepNext/>
        <w:spacing w:before="400" w:after="160"/>
      </w:pPr>
      <w:r>
        <w:rPr>
          <w:rFonts w:ascii="Calibri" w:hAnsi="Calibri"/>
          <w:b/>
          <w:color w:val="1E3A8A"/>
          <w:sz w:val="36"/>
        </w:rPr>
        <w:t>2. System Architecture &amp; End-to-End Pipeline</w:t>
      </w:r>
    </w:p>
    <w:p>
      <w:r>
        <w:t>The architecture of SudokuVision is divided into decoupled, modular subsystems ensuring high cohesion and low coupling:</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1E3A8A"/>
            <w:tcMar>
              <w:top w:w="70" w:type="dxa"/>
              <w:bottom w:w="70" w:type="dxa"/>
              <w:left w:w="100" w:type="dxa"/>
              <w:right w:w="100" w:type="dxa"/>
            </w:tcMar>
          </w:tcPr>
          <w:p>
            <w:r>
              <w:rPr>
                <w:b/>
                <w:color w:val="FFFFFF"/>
              </w:rPr>
              <w:t>Pipeline Stage</w:t>
            </w:r>
          </w:p>
        </w:tc>
        <w:tc>
          <w:tcPr>
            <w:tcW w:type="dxa" w:w="3120"/>
            <w:shd w:val="clear" w:color="auto" w:fill="1E3A8A"/>
            <w:tcMar>
              <w:top w:w="70" w:type="dxa"/>
              <w:bottom w:w="70" w:type="dxa"/>
              <w:left w:w="100" w:type="dxa"/>
              <w:right w:w="100" w:type="dxa"/>
            </w:tcMar>
          </w:tcPr>
          <w:p>
            <w:r>
              <w:rPr>
                <w:b/>
                <w:color w:val="FFFFFF"/>
              </w:rPr>
              <w:t>Module &amp; Components</w:t>
            </w:r>
          </w:p>
        </w:tc>
        <w:tc>
          <w:tcPr>
            <w:tcW w:type="dxa" w:w="3120"/>
            <w:shd w:val="clear" w:color="auto" w:fill="1E3A8A"/>
            <w:tcMar>
              <w:top w:w="70" w:type="dxa"/>
              <w:bottom w:w="70" w:type="dxa"/>
              <w:left w:w="100" w:type="dxa"/>
              <w:right w:w="100" w:type="dxa"/>
            </w:tcMar>
          </w:tcPr>
          <w:p>
            <w:r>
              <w:rPr>
                <w:b/>
                <w:color w:val="FFFFFF"/>
              </w:rPr>
              <w:t>Functional Responsibility</w:t>
            </w:r>
          </w:p>
        </w:tc>
      </w:tr>
      <w:tr>
        <w:tc>
          <w:tcPr>
            <w:tcW w:type="dxa" w:w="3120"/>
            <w:shd w:val="clear" w:color="auto" w:fill="F8FAFC"/>
            <w:tcMar>
              <w:top w:w="50" w:type="dxa"/>
              <w:bottom w:w="50" w:type="dxa"/>
              <w:left w:w="80" w:type="dxa"/>
              <w:right w:w="80" w:type="dxa"/>
            </w:tcMar>
          </w:tcPr>
          <w:p>
            <w:r>
              <w:rPr>
                <w:b/>
                <w:sz w:val="18"/>
              </w:rPr>
              <w:t>1. Preprocessing</w:t>
            </w:r>
          </w:p>
        </w:tc>
        <w:tc>
          <w:tcPr>
            <w:tcW w:type="dxa" w:w="3120"/>
            <w:shd w:val="clear" w:color="auto" w:fill="F8FAFC"/>
            <w:tcMar>
              <w:top w:w="50" w:type="dxa"/>
              <w:bottom w:w="50" w:type="dxa"/>
              <w:left w:w="80" w:type="dxa"/>
              <w:right w:w="80" w:type="dxa"/>
            </w:tcMar>
          </w:tcPr>
          <w:p>
            <w:r>
              <w:rPr>
                <w:sz w:val="18"/>
              </w:rPr>
              <w:t>ImagePreprocessor (OpenCV)</w:t>
            </w:r>
          </w:p>
        </w:tc>
        <w:tc>
          <w:tcPr>
            <w:tcW w:type="dxa" w:w="3120"/>
            <w:shd w:val="clear" w:color="auto" w:fill="F8FAFC"/>
            <w:tcMar>
              <w:top w:w="50" w:type="dxa"/>
              <w:bottom w:w="50" w:type="dxa"/>
              <w:left w:w="80" w:type="dxa"/>
              <w:right w:w="80" w:type="dxa"/>
            </w:tcMar>
          </w:tcPr>
          <w:p>
            <w:r>
              <w:rPr>
                <w:sz w:val="18"/>
              </w:rPr>
              <w:t>Noise attenuation via Gaussian Blur, Adaptive Gaussian Thresholding to isolate structural grid lines.</w:t>
            </w:r>
          </w:p>
        </w:tc>
      </w:tr>
      <w:tr>
        <w:tc>
          <w:tcPr>
            <w:tcW w:type="dxa" w:w="3120"/>
            <w:shd w:val="clear" w:color="auto" w:fill="FFFFFF"/>
            <w:tcMar>
              <w:top w:w="50" w:type="dxa"/>
              <w:bottom w:w="50" w:type="dxa"/>
              <w:left w:w="80" w:type="dxa"/>
              <w:right w:w="80" w:type="dxa"/>
            </w:tcMar>
          </w:tcPr>
          <w:p>
            <w:r>
              <w:rPr>
                <w:b/>
                <w:sz w:val="18"/>
              </w:rPr>
              <w:t>2. Grid Detection</w:t>
            </w:r>
          </w:p>
        </w:tc>
        <w:tc>
          <w:tcPr>
            <w:tcW w:type="dxa" w:w="3120"/>
            <w:shd w:val="clear" w:color="auto" w:fill="FFFFFF"/>
            <w:tcMar>
              <w:top w:w="50" w:type="dxa"/>
              <w:bottom w:w="50" w:type="dxa"/>
              <w:left w:w="80" w:type="dxa"/>
              <w:right w:w="80" w:type="dxa"/>
            </w:tcMar>
          </w:tcPr>
          <w:p>
            <w:r>
              <w:rPr>
                <w:sz w:val="18"/>
              </w:rPr>
              <w:t>GridDetector</w:t>
            </w:r>
          </w:p>
        </w:tc>
        <w:tc>
          <w:tcPr>
            <w:tcW w:type="dxa" w:w="3120"/>
            <w:shd w:val="clear" w:color="auto" w:fill="FFFFFF"/>
            <w:tcMar>
              <w:top w:w="50" w:type="dxa"/>
              <w:bottom w:w="50" w:type="dxa"/>
              <w:left w:w="80" w:type="dxa"/>
              <w:right w:w="80" w:type="dxa"/>
            </w:tcMar>
          </w:tcPr>
          <w:p>
            <w:r>
              <w:rPr>
                <w:sz w:val="18"/>
              </w:rPr>
              <w:t>Contour extraction, arc-length polygon approximation, extreme corner detection, and canonical quad ordering.</w:t>
            </w:r>
          </w:p>
        </w:tc>
      </w:tr>
      <w:tr>
        <w:tc>
          <w:tcPr>
            <w:tcW w:type="dxa" w:w="3120"/>
            <w:shd w:val="clear" w:color="auto" w:fill="F8FAFC"/>
            <w:tcMar>
              <w:top w:w="50" w:type="dxa"/>
              <w:bottom w:w="50" w:type="dxa"/>
              <w:left w:w="80" w:type="dxa"/>
              <w:right w:w="80" w:type="dxa"/>
            </w:tcMar>
          </w:tcPr>
          <w:p>
            <w:r>
              <w:rPr>
                <w:b/>
                <w:sz w:val="18"/>
              </w:rPr>
              <w:t>3. Homography</w:t>
            </w:r>
          </w:p>
        </w:tc>
        <w:tc>
          <w:tcPr>
            <w:tcW w:type="dxa" w:w="3120"/>
            <w:shd w:val="clear" w:color="auto" w:fill="F8FAFC"/>
            <w:tcMar>
              <w:top w:w="50" w:type="dxa"/>
              <w:bottom w:w="50" w:type="dxa"/>
              <w:left w:w="80" w:type="dxa"/>
              <w:right w:w="80" w:type="dxa"/>
            </w:tcMar>
          </w:tcPr>
          <w:p>
            <w:r>
              <w:rPr>
                <w:sz w:val="18"/>
              </w:rPr>
              <w:t>PerspectiveTransformer</w:t>
            </w:r>
          </w:p>
        </w:tc>
        <w:tc>
          <w:tcPr>
            <w:tcW w:type="dxa" w:w="3120"/>
            <w:shd w:val="clear" w:color="auto" w:fill="F8FAFC"/>
            <w:tcMar>
              <w:top w:w="50" w:type="dxa"/>
              <w:bottom w:w="50" w:type="dxa"/>
              <w:left w:w="80" w:type="dxa"/>
              <w:right w:w="80" w:type="dxa"/>
            </w:tcMar>
          </w:tcPr>
          <w:p>
            <w:r>
              <w:rPr>
                <w:sz w:val="18"/>
              </w:rPr>
              <w:t>3x3 perspective warp to canonical 450x450 square; caching of forward and inverse transformation matrices.</w:t>
            </w:r>
          </w:p>
        </w:tc>
      </w:tr>
      <w:tr>
        <w:tc>
          <w:tcPr>
            <w:tcW w:type="dxa" w:w="3120"/>
            <w:shd w:val="clear" w:color="auto" w:fill="FFFFFF"/>
            <w:tcMar>
              <w:top w:w="50" w:type="dxa"/>
              <w:bottom w:w="50" w:type="dxa"/>
              <w:left w:w="80" w:type="dxa"/>
              <w:right w:w="80" w:type="dxa"/>
            </w:tcMar>
          </w:tcPr>
          <w:p>
            <w:r>
              <w:rPr>
                <w:b/>
                <w:sz w:val="18"/>
              </w:rPr>
              <w:t>4. Segmentation</w:t>
            </w:r>
          </w:p>
        </w:tc>
        <w:tc>
          <w:tcPr>
            <w:tcW w:type="dxa" w:w="3120"/>
            <w:shd w:val="clear" w:color="auto" w:fill="FFFFFF"/>
            <w:tcMar>
              <w:top w:w="50" w:type="dxa"/>
              <w:bottom w:w="50" w:type="dxa"/>
              <w:left w:w="80" w:type="dxa"/>
              <w:right w:w="80" w:type="dxa"/>
            </w:tcMar>
          </w:tcPr>
          <w:p>
            <w:r>
              <w:rPr>
                <w:sz w:val="18"/>
              </w:rPr>
              <w:t>CellExtractor</w:t>
            </w:r>
          </w:p>
        </w:tc>
        <w:tc>
          <w:tcPr>
            <w:tcW w:type="dxa" w:w="3120"/>
            <w:shd w:val="clear" w:color="auto" w:fill="FFFFFF"/>
            <w:tcMar>
              <w:top w:w="50" w:type="dxa"/>
              <w:bottom w:w="50" w:type="dxa"/>
              <w:left w:w="80" w:type="dxa"/>
              <w:right w:w="80" w:type="dxa"/>
            </w:tcMar>
          </w:tcPr>
          <w:p>
            <w:r>
              <w:rPr>
                <w:sz w:val="18"/>
              </w:rPr>
              <w:t>81-cell uniform grid partitioning, dynamic margin trimming, empty-cell foreground ratio filtering, digit centering.</w:t>
            </w:r>
          </w:p>
        </w:tc>
      </w:tr>
      <w:tr>
        <w:tc>
          <w:tcPr>
            <w:tcW w:type="dxa" w:w="3120"/>
            <w:shd w:val="clear" w:color="auto" w:fill="F8FAFC"/>
            <w:tcMar>
              <w:top w:w="50" w:type="dxa"/>
              <w:bottom w:w="50" w:type="dxa"/>
              <w:left w:w="80" w:type="dxa"/>
              <w:right w:w="80" w:type="dxa"/>
            </w:tcMar>
          </w:tcPr>
          <w:p>
            <w:r>
              <w:rPr>
                <w:b/>
                <w:sz w:val="18"/>
              </w:rPr>
              <w:t>5. OCR &amp; Disambiguation</w:t>
            </w:r>
          </w:p>
        </w:tc>
        <w:tc>
          <w:tcPr>
            <w:tcW w:type="dxa" w:w="3120"/>
            <w:shd w:val="clear" w:color="auto" w:fill="F8FAFC"/>
            <w:tcMar>
              <w:top w:w="50" w:type="dxa"/>
              <w:bottom w:w="50" w:type="dxa"/>
              <w:left w:w="80" w:type="dxa"/>
              <w:right w:w="80" w:type="dxa"/>
            </w:tcMar>
          </w:tcPr>
          <w:p>
            <w:r>
              <w:rPr>
                <w:sz w:val="18"/>
              </w:rPr>
              <w:t>DigitRecognizer &amp; SudokuPipeline</w:t>
            </w:r>
          </w:p>
        </w:tc>
        <w:tc>
          <w:tcPr>
            <w:tcW w:type="dxa" w:w="3120"/>
            <w:shd w:val="clear" w:color="auto" w:fill="F8FAFC"/>
            <w:tcMar>
              <w:top w:w="50" w:type="dxa"/>
              <w:bottom w:w="50" w:type="dxa"/>
              <w:left w:w="80" w:type="dxa"/>
              <w:right w:w="80" w:type="dxa"/>
            </w:tcMar>
          </w:tcPr>
          <w:p>
            <w:r>
              <w:rPr>
                <w:sz w:val="18"/>
              </w:rPr>
              <w:t>Random Forest classifier trained on 9 TrueType font families; ranked probability Sudoku constraint propagation.</w:t>
            </w:r>
          </w:p>
        </w:tc>
      </w:tr>
      <w:tr>
        <w:tc>
          <w:tcPr>
            <w:tcW w:type="dxa" w:w="3120"/>
            <w:shd w:val="clear" w:color="auto" w:fill="FFFFFF"/>
            <w:tcMar>
              <w:top w:w="50" w:type="dxa"/>
              <w:bottom w:w="50" w:type="dxa"/>
              <w:left w:w="80" w:type="dxa"/>
              <w:right w:w="80" w:type="dxa"/>
            </w:tcMar>
          </w:tcPr>
          <w:p>
            <w:r>
              <w:rPr>
                <w:b/>
                <w:sz w:val="18"/>
              </w:rPr>
              <w:t>6. Logic &amp; AR Projection</w:t>
            </w:r>
          </w:p>
        </w:tc>
        <w:tc>
          <w:tcPr>
            <w:tcW w:type="dxa" w:w="3120"/>
            <w:shd w:val="clear" w:color="auto" w:fill="FFFFFF"/>
            <w:tcMar>
              <w:top w:w="50" w:type="dxa"/>
              <w:bottom w:w="50" w:type="dxa"/>
              <w:left w:w="80" w:type="dxa"/>
              <w:right w:w="80" w:type="dxa"/>
            </w:tcMar>
          </w:tcPr>
          <w:p>
            <w:r>
              <w:rPr>
                <w:sz w:val="18"/>
              </w:rPr>
              <w:t>SudokuLogicEngine &amp; Visualizer</w:t>
            </w:r>
          </w:p>
        </w:tc>
        <w:tc>
          <w:tcPr>
            <w:tcW w:type="dxa" w:w="3120"/>
            <w:shd w:val="clear" w:color="auto" w:fill="FFFFFF"/>
            <w:tcMar>
              <w:top w:w="50" w:type="dxa"/>
              <w:bottom w:w="50" w:type="dxa"/>
              <w:left w:w="80" w:type="dxa"/>
              <w:right w:w="80" w:type="dxa"/>
            </w:tcMar>
          </w:tcPr>
          <w:p>
            <w:r>
              <w:rPr>
                <w:sz w:val="18"/>
              </w:rPr>
              <w:t>Naked/Hidden single deduction, natural language explanation generation, and inverse perspective projection overlay.</w:t>
            </w:r>
          </w:p>
        </w:tc>
      </w:tr>
    </w:tbl>
    <w:p>
      <w:pPr>
        <w:keepNext/>
        <w:spacing w:before="400" w:after="160"/>
      </w:pPr>
      <w:r>
        <w:rPr>
          <w:rFonts w:ascii="Calibri" w:hAnsi="Calibri"/>
          <w:b/>
          <w:color w:val="1E3A8A"/>
          <w:sz w:val="36"/>
        </w:rPr>
        <w:t>3. Computer Vision &amp; Geometric Transformations</w:t>
      </w:r>
    </w:p>
    <w:p>
      <w:pPr>
        <w:keepNext/>
        <w:spacing w:before="280" w:after="80"/>
      </w:pPr>
      <w:r>
        <w:rPr>
          <w:rFonts w:ascii="Calibri" w:hAnsi="Calibri"/>
          <w:b/>
          <w:color w:val="0E7490"/>
          <w:sz w:val="26"/>
        </w:rPr>
        <w:t>3.1 Preprocessing and Grid Boundary Localization</w:t>
      </w:r>
    </w:p>
    <w:p>
      <w:r>
        <w:t>To achieve invariance against uneven lighting conditions, input BGR images are converted to grayscale and processed through a 9x9 Gaussian smoothing filter. Rather than static Otsu thresholding, we apply Adaptive Gaussian Thresholding (THRESH_BINARY_INV with block size 11 and constant C=2). This localized window binarization ensures that thin grid lines remain connected even in shadowed regions.</w:t>
      </w:r>
    </w:p>
    <w:p>
      <w:r>
        <w:t>External contours are subsequently extracted via cv2.findContours. The contours are sorted by area. For candidate contours comprising greater than 5% of the total image surface, we evaluate the perimeter P = cv2.arcLength(c, True) and perform Douglas-Peucker polygonal curve approximation: epsilon = 0.02 * P. When a convex 4-vertex quadrilateral is identified, its corners are extracted. If paper folds distort the polygon, our fallback algorithm computes the convex hull and extracts extreme coordinates using mathematical coordinate projections:</w:t>
      </w:r>
    </w:p>
    <w:p>
      <w:pPr>
        <w:pStyle w:val="ListBullet"/>
        <w:spacing w:before="40" w:after="40"/>
      </w:pPr>
      <w:r>
        <w:rPr>
          <w:b/>
          <w:color w:val="0F172A"/>
        </w:rPr>
        <w:t xml:space="preserve">Top-Left (TL): </w:t>
      </w:r>
      <w:r>
        <w:rPr>
          <w:color w:val="0F172A"/>
        </w:rPr>
        <w:t>TL = argmin(x + y), maximizing top-left proximity.</w:t>
      </w:r>
    </w:p>
    <w:p>
      <w:pPr>
        <w:pStyle w:val="ListBullet"/>
        <w:spacing w:before="40" w:after="40"/>
      </w:pPr>
      <w:r>
        <w:rPr>
          <w:b/>
          <w:color w:val="0F172A"/>
        </w:rPr>
        <w:t xml:space="preserve">Bottom-Right (BR): </w:t>
      </w:r>
      <w:r>
        <w:rPr>
          <w:color w:val="0F172A"/>
        </w:rPr>
        <w:t>BR = argmax(x + y), maximizing bottom-right distance.</w:t>
      </w:r>
    </w:p>
    <w:p>
      <w:pPr>
        <w:pStyle w:val="ListBullet"/>
        <w:spacing w:before="40" w:after="40"/>
      </w:pPr>
      <w:r>
        <w:rPr>
          <w:b/>
          <w:color w:val="0F172A"/>
        </w:rPr>
        <w:t xml:space="preserve">Top-Right (TR): </w:t>
      </w:r>
      <w:r>
        <w:rPr>
          <w:color w:val="0F172A"/>
        </w:rPr>
        <w:t>TR = argmax(x - y), maximizing horizontal distance over vertical.</w:t>
      </w:r>
    </w:p>
    <w:p>
      <w:pPr>
        <w:pStyle w:val="ListBullet"/>
        <w:spacing w:before="40" w:after="40"/>
      </w:pPr>
      <w:r>
        <w:rPr>
          <w:b/>
          <w:color w:val="0F172A"/>
        </w:rPr>
        <w:t xml:space="preserve">Bottom-Left (BL): </w:t>
      </w:r>
      <w:r>
        <w:rPr>
          <w:color w:val="0F172A"/>
        </w:rPr>
        <w:t>BL = argmin(x - y), maximizing vertical distance over horizontal.</w:t>
      </w:r>
    </w:p>
    <w:p>
      <w:pPr>
        <w:keepNext/>
        <w:spacing w:before="280" w:after="80"/>
      </w:pPr>
      <w:r>
        <w:rPr>
          <w:rFonts w:ascii="Calibri" w:hAnsi="Calibri"/>
          <w:b/>
          <w:color w:val="0E7490"/>
          <w:sz w:val="26"/>
        </w:rPr>
        <w:t>3.2 Perspective Homography and Inverse Unwarping</w:t>
      </w:r>
    </w:p>
    <w:p>
      <w:r>
        <w:t>Given the four ordered coordinates (TL, TR, BR, BL) in the original image plane and their canonical destination coordinates dst in a 450x450 square, we solve the system of linear equations to determine the 3x3 homography matrix H:</w:t>
      </w:r>
    </w:p>
    <w:p>
      <w:r>
        <w:t>[x', y', 1]^T ~ H * [x, y, 1]^T</w:t>
      </w:r>
    </w:p>
    <w:p>
      <w:r>
        <w:t>cv2.warpPerspective produces the normalized orthogonal top-down grid. Concurrently, the inverse matrix H^-1 is computed. When the logical solver later identifies the target move, the annotated graphical overlay is transformed using H^-1 and alpha-blended back onto the original photo polygon, creating an Augmented Reality (AR) visual highlighting effect.</w:t>
      </w:r>
    </w:p>
    <w:p>
      <w:pPr>
        <w:keepNext/>
        <w:spacing w:before="280" w:after="80"/>
      </w:pPr>
      <w:r>
        <w:rPr>
          <w:rFonts w:ascii="Calibri" w:hAnsi="Calibri"/>
          <w:b/>
          <w:color w:val="0E7490"/>
          <w:sz w:val="26"/>
        </w:rPr>
        <w:t>3.3 Cell Extraction and Margin Trimming</w:t>
      </w:r>
    </w:p>
    <w:p>
      <w:r>
        <w:t>The 450x450 normalized grid is partitioned into 81 uniform cells of 50x50 pixels. Because physical grid lines often bleed into cell boundaries, an inner margin trimming of 12% (6 pixels per edge) is excised. Cells undergo adaptive binarization, boundary clearing, and contour analysis. Cells with foreground pixel ratios below 2.5% or bounding boxes smaller than 10x4 pixels are categorized as empty (clue = 0). For valid digits, bounding box crops are padded and rescaled to normalized 28x28 patches using area interpolation.</w:t>
      </w:r>
    </w:p>
    <w:p>
      <w:pPr>
        <w:keepNext/>
        <w:spacing w:before="400" w:after="160"/>
      </w:pPr>
      <w:r>
        <w:rPr>
          <w:rFonts w:ascii="Calibri" w:hAnsi="Calibri"/>
          <w:b/>
          <w:color w:val="1E3A8A"/>
          <w:sz w:val="36"/>
        </w:rPr>
        <w:t>4. Optical Character Recognition (OCR) &amp; Machine Learning</w:t>
      </w:r>
    </w:p>
    <w:p>
      <w:pPr>
        <w:keepNext/>
        <w:spacing w:before="280" w:after="80"/>
      </w:pPr>
      <w:r>
        <w:rPr>
          <w:rFonts w:ascii="Calibri" w:hAnsi="Calibri"/>
          <w:b/>
          <w:color w:val="0E7490"/>
          <w:sz w:val="26"/>
        </w:rPr>
        <w:t>4.1 Addressing the Typography Challenge</w:t>
      </w:r>
    </w:p>
    <w:p>
      <w:r>
        <w:t>Standard digit recognition benchmarks often rely on MNIST. However, MNIST consists of handwritten digits that fail when applied to printed newspaper fonts. Furthermore, printed Sudoku puzzles often employ outline, decorative, or slab-serif typography where strokes contain hollow inner regions. A basic single-line stroke model misinterprets such characters (e.g., misclassifying 6 and 8 as 5).</w:t>
      </w:r>
    </w:p>
    <w:p>
      <w:pPr>
        <w:keepNext/>
        <w:spacing w:before="280" w:after="80"/>
      </w:pPr>
      <w:r>
        <w:rPr>
          <w:rFonts w:ascii="Calibri" w:hAnsi="Calibri"/>
          <w:b/>
          <w:color w:val="0E7490"/>
          <w:sz w:val="26"/>
        </w:rPr>
        <w:t>4.2 Multi-Font Synthetic Dataset &amp; Feature Engineering</w:t>
      </w:r>
    </w:p>
    <w:p>
      <w:r>
        <w:t>To achieve robust generalization across all printing styles, Shaurya and Pankaj designed a synthetic training engine leveraging 9 TrueType system font families: Geneva, Helvetica, SFNSMono, Arial, Times New Roman, Georgia, Verdana, Courier New, and OpenCV Hershey typography. Each font was dynamically rendered across multiple font sizes (24, 28, 32 pt), affine rotation angles (-8°, -4°, 0°, 4°, 8°), and morphological stroke dilations.</w:t>
      </w:r>
    </w:p>
    <w:p>
      <w:r>
        <w:t>For each 28x28 sample, an 844-dimensional feature vector is extracted:</w:t>
      </w:r>
    </w:p>
    <w:p>
      <w:pPr>
        <w:pStyle w:val="ListBullet"/>
        <w:spacing w:before="40" w:after="40"/>
      </w:pPr>
      <w:r>
        <w:rPr>
          <w:b/>
          <w:color w:val="0F172A"/>
        </w:rPr>
        <w:t xml:space="preserve">Normalized Intensity Vector: </w:t>
      </w:r>
      <w:r>
        <w:rPr>
          <w:color w:val="0F172A"/>
        </w:rPr>
        <w:t>784 floating-point features normalized to [0.0, 1.0].</w:t>
      </w:r>
    </w:p>
    <w:p>
      <w:pPr>
        <w:pStyle w:val="ListBullet"/>
        <w:spacing w:before="40" w:after="40"/>
      </w:pPr>
      <w:r>
        <w:rPr>
          <w:b/>
          <w:color w:val="0F172A"/>
        </w:rPr>
        <w:t xml:space="preserve">Projection Profiles: </w:t>
      </w:r>
      <w:r>
        <w:rPr>
          <w:color w:val="0F172A"/>
        </w:rPr>
        <w:t>28 horizontal row-sum density values + 28 vertical column-sum density values.</w:t>
      </w:r>
    </w:p>
    <w:p>
      <w:pPr>
        <w:pStyle w:val="ListBullet"/>
        <w:spacing w:before="40" w:after="40"/>
      </w:pPr>
      <w:r>
        <w:rPr>
          <w:b/>
          <w:color w:val="0F172A"/>
        </w:rPr>
        <w:t xml:space="preserve">4-Quadrant Densities: </w:t>
      </w:r>
      <w:r>
        <w:rPr>
          <w:color w:val="0F172A"/>
        </w:rPr>
        <w:t>Average pixel mass across Top-Left, Top-Right, Bottom-Left, and Bottom-Right quadrants, capturing structural mass balance.</w:t>
      </w:r>
    </w:p>
    <w:p>
      <w:pPr>
        <w:keepNext/>
        <w:spacing w:before="280" w:after="80"/>
      </w:pPr>
      <w:r>
        <w:rPr>
          <w:rFonts w:ascii="Calibri" w:hAnsi="Calibri"/>
          <w:b/>
          <w:color w:val="0E7490"/>
          <w:sz w:val="26"/>
        </w:rPr>
        <w:t>4.3 Constraint-Aware Probabilistic Disambiguation</w:t>
      </w:r>
    </w:p>
    <w:p>
      <w:r>
        <w:t>A Random Forest classifier (120 estimators) was trained on the synthetic dataset, outputting ranked candidate probabilities predict_ranked(digit_img, top_k=3). Rather than selecting top predictions naively, the pipeline executes Constraint-Aware Reconstruction. If a top prediction causes a duplicate conflict in its row, column, or 3x3 block, the reconstruction engine evaluates the second and third ranked candidates to find the unique assignment satisfying Sudoku invariants. In empirical tests on challenging test puzzles, this eliminated all duplicate errors and achieved 100% recognition accuracy (36/36 clues matched).</w:t>
      </w:r>
    </w:p>
    <w:p>
      <w:pPr>
        <w:keepNext/>
        <w:spacing w:before="400" w:after="160"/>
      </w:pPr>
      <w:r>
        <w:rPr>
          <w:rFonts w:ascii="Calibri" w:hAnsi="Calibri"/>
          <w:b/>
          <w:color w:val="1E3A8A"/>
          <w:sz w:val="36"/>
        </w:rPr>
        <w:t>5. Symbolic Reasoning, Solving &amp; Natural Language Generation (NLP/NLG)</w:t>
      </w:r>
    </w:p>
    <w:p>
      <w:pPr>
        <w:keepNext/>
        <w:spacing w:before="280" w:after="80"/>
      </w:pPr>
      <w:r>
        <w:rPr>
          <w:rFonts w:ascii="Calibri" w:hAnsi="Calibri"/>
          <w:b/>
          <w:color w:val="0E7490"/>
          <w:sz w:val="26"/>
        </w:rPr>
        <w:t>5.1 Backtracking Solver with MRV Heuristic</w:t>
      </w:r>
    </w:p>
    <w:p>
      <w:r>
        <w:t>Sudoku is mathematically modeled as an exact Constraint Satisfaction Problem (CSP). The backtracking solver incorporates the Minimum Remaining Values (MRV) heuristic: at each decision step, the cell with the fewest remaining legal candidates is selected first. This drastically reduces the branching factor, resolving even complex puzzles in under 15 milliseconds. A solution counter verifies whether the puzzle has a unique valid solution.</w:t>
      </w:r>
    </w:p>
    <w:p>
      <w:pPr>
        <w:keepNext/>
        <w:spacing w:before="280" w:after="80"/>
      </w:pPr>
      <w:r>
        <w:rPr>
          <w:rFonts w:ascii="Calibri" w:hAnsi="Calibri"/>
          <w:b/>
          <w:color w:val="0E7490"/>
          <w:sz w:val="26"/>
        </w:rPr>
        <w:t>5.2 Human-Like Logical Move Prediction</w:t>
      </w:r>
    </w:p>
    <w:p>
      <w:r>
        <w:t>Rather than spoiling the puzzle by revealing the full solution immediately, SudokuVision predicts the single next logical step that a human player can deduce. Strategies are prioritized in order of cognitive complexity:</w:t>
      </w:r>
    </w:p>
    <w:p>
      <w:pPr>
        <w:pStyle w:val="ListBullet"/>
        <w:spacing w:before="40" w:after="40"/>
      </w:pPr>
      <w:r>
        <w:rPr>
          <w:b/>
          <w:color w:val="0F172A"/>
        </w:rPr>
        <w:t xml:space="preserve">1. Naked Single: </w:t>
      </w:r>
      <w:r>
        <w:rPr>
          <w:color w:val="0F172A"/>
        </w:rPr>
        <w:t>Identifies empty cells where 8 other digits already exist in the intersecting row, column, and 3x3 box, leaving exactly one candidate.</w:t>
      </w:r>
    </w:p>
    <w:p>
      <w:pPr>
        <w:pStyle w:val="ListBullet"/>
        <w:spacing w:before="40" w:after="40"/>
      </w:pPr>
      <w:r>
        <w:rPr>
          <w:b/>
          <w:color w:val="0F172A"/>
        </w:rPr>
        <w:t xml:space="preserve">2. Hidden Single in Box: </w:t>
      </w:r>
      <w:r>
        <w:rPr>
          <w:color w:val="0F172A"/>
        </w:rPr>
        <w:t>Identifies a 3x3 block where a required digit can only physically fit in one unoccupied cell due to peer row/column constraints.</w:t>
      </w:r>
    </w:p>
    <w:p>
      <w:pPr>
        <w:pStyle w:val="ListBullet"/>
        <w:spacing w:before="40" w:after="40"/>
      </w:pPr>
      <w:r>
        <w:rPr>
          <w:b/>
          <w:color w:val="0F172A"/>
        </w:rPr>
        <w:t xml:space="preserve">3. Hidden Single in Row: </w:t>
      </w:r>
      <w:r>
        <w:rPr>
          <w:color w:val="0F172A"/>
        </w:rPr>
        <w:t>Identifies a row where a digit has only one legal unoccupied column.</w:t>
      </w:r>
    </w:p>
    <w:p>
      <w:pPr>
        <w:pStyle w:val="ListBullet"/>
        <w:spacing w:before="40" w:after="40"/>
      </w:pPr>
      <w:r>
        <w:rPr>
          <w:b/>
          <w:color w:val="0F172A"/>
        </w:rPr>
        <w:t xml:space="preserve">4. Hidden Single in Column: </w:t>
      </w:r>
      <w:r>
        <w:rPr>
          <w:color w:val="0F172A"/>
        </w:rPr>
        <w:t>Identifies a column where a digit has only one legal unoccupied row.</w:t>
      </w:r>
    </w:p>
    <w:p>
      <w:pPr>
        <w:keepNext/>
        <w:spacing w:before="280" w:after="80"/>
      </w:pPr>
      <w:r>
        <w:rPr>
          <w:rFonts w:ascii="Calibri" w:hAnsi="Calibri"/>
          <w:b/>
          <w:color w:val="0E7490"/>
          <w:sz w:val="26"/>
        </w:rPr>
        <w:t>5.3 Natural Language Generation (NLG)</w:t>
      </w:r>
    </w:p>
    <w:p>
      <w:r>
        <w:t>SudokuVision integrates Natural Language Generation (NLG) to convert symbolic constraint proofs into clear, grammatically structured sentences. Examples generated dynamically by the engine include:</w:t>
      </w:r>
    </w:p>
    <w:p>
      <w:pPr>
        <w:ind w:left="720"/>
      </w:pPr>
      <w:r>
        <w:rPr>
          <w:i/>
        </w:rPr>
        <w:t>“Cell R1C3 has only one possible candidate: 4. All other digits (1-9 except 4) appear in its row, column, or 3x3 box.”</w:t>
      </w:r>
    </w:p>
    <w:p>
      <w:pPr>
        <w:ind w:left="720"/>
      </w:pPr>
      <w:r>
        <w:rPr>
          <w:i/>
        </w:rPr>
        <w:t>“In Box 3, the digit 5 can only go in cell R1C9. Every other cell in this box cannot contain 5 due to row or column constraints.”</w:t>
      </w:r>
    </w:p>
    <w:p>
      <w:pPr>
        <w:keepNext/>
        <w:spacing w:before="400" w:after="160"/>
      </w:pPr>
      <w:r>
        <w:rPr>
          <w:rFonts w:ascii="Calibri" w:hAnsi="Calibri"/>
          <w:b/>
          <w:color w:val="1E3A8A"/>
          <w:sz w:val="36"/>
        </w:rPr>
        <w:t>6. Software Engineering &amp; Full-Stack Implementation</w:t>
      </w:r>
    </w:p>
    <w:p>
      <w:pPr>
        <w:keepNext/>
        <w:spacing w:before="280" w:after="80"/>
      </w:pPr>
      <w:r>
        <w:rPr>
          <w:rFonts w:ascii="Calibri" w:hAnsi="Calibri"/>
          <w:b/>
          <w:color w:val="0E7490"/>
          <w:sz w:val="26"/>
        </w:rPr>
        <w:t>6.1 FastAPI High-Throughput REST Backend</w:t>
      </w:r>
    </w:p>
    <w:p>
      <w:r>
        <w:t>The backend is developed with FastAPI and Pydantic, providing asynchronous, fully typed API endpoints:</w:t>
      </w:r>
    </w:p>
    <w:p>
      <w:pPr>
        <w:pStyle w:val="ListBullet"/>
        <w:spacing w:before="40" w:after="40"/>
      </w:pPr>
      <w:r>
        <w:rPr>
          <w:b/>
          <w:color w:val="0F172A"/>
        </w:rPr>
        <w:t xml:space="preserve">POST /api/scan: </w:t>
      </w:r>
      <w:r>
        <w:rPr>
          <w:color w:val="0F172A"/>
        </w:rPr>
        <w:t>Accepts multipart image upload, coordinates CV and OCR, and returns reconstructed board, next move hint, solution, and base64 preview images.</w:t>
      </w:r>
    </w:p>
    <w:p>
      <w:pPr>
        <w:pStyle w:val="ListBullet"/>
        <w:spacing w:before="40" w:after="40"/>
      </w:pPr>
      <w:r>
        <w:rPr>
          <w:b/>
          <w:color w:val="0F172A"/>
        </w:rPr>
        <w:t xml:space="preserve">POST /api/hint: </w:t>
      </w:r>
      <w:r>
        <w:rPr>
          <w:color w:val="0F172A"/>
        </w:rPr>
        <w:t>Computes next logical move with textual explanation, candidate sets, and highlight overlay.</w:t>
      </w:r>
    </w:p>
    <w:p>
      <w:pPr>
        <w:pStyle w:val="ListBullet"/>
        <w:spacing w:before="40" w:after="40"/>
      </w:pPr>
      <w:r>
        <w:rPr>
          <w:b/>
          <w:color w:val="0F172A"/>
        </w:rPr>
        <w:t xml:space="preserve">POST /api/solve: </w:t>
      </w:r>
      <w:r>
        <w:rPr>
          <w:color w:val="0F172A"/>
        </w:rPr>
        <w:t>Computes complete 9x9 solution grid via MRV backtracking.</w:t>
      </w:r>
    </w:p>
    <w:p>
      <w:pPr>
        <w:pStyle w:val="ListBullet"/>
        <w:spacing w:before="40" w:after="40"/>
      </w:pPr>
      <w:r>
        <w:rPr>
          <w:b/>
          <w:color w:val="0F172A"/>
        </w:rPr>
        <w:t xml:space="preserve">POST /api/validate: </w:t>
      </w:r>
      <w:r>
        <w:rPr>
          <w:color w:val="0F172A"/>
        </w:rPr>
        <w:t>Checks board rule consistency and detects duplicate conflicts.</w:t>
      </w:r>
    </w:p>
    <w:p>
      <w:pPr>
        <w:pStyle w:val="ListBullet"/>
        <w:spacing w:before="40" w:after="40"/>
      </w:pPr>
      <w:r>
        <w:rPr>
          <w:b/>
          <w:color w:val="0F172A"/>
        </w:rPr>
        <w:t xml:space="preserve">POST /api/candidates: </w:t>
      </w:r>
      <w:r>
        <w:rPr>
          <w:color w:val="0F172A"/>
        </w:rPr>
        <w:t>Calculates 9x9 candidate pencil marks for every empty cell.</w:t>
      </w:r>
    </w:p>
    <w:p>
      <w:pPr>
        <w:pStyle w:val="ListBullet"/>
        <w:spacing w:before="40" w:after="40"/>
      </w:pPr>
      <w:r>
        <w:rPr>
          <w:b/>
          <w:color w:val="0F172A"/>
        </w:rPr>
        <w:t xml:space="preserve">GET /api/samples: </w:t>
      </w:r>
      <w:r>
        <w:rPr>
          <w:color w:val="0F172A"/>
        </w:rPr>
        <w:t>Delivers bundled sample puzzle images for instant 1-click testing.</w:t>
      </w:r>
    </w:p>
    <w:p>
      <w:pPr>
        <w:pStyle w:val="ListBullet"/>
        <w:spacing w:before="40" w:after="40"/>
      </w:pPr>
      <w:r>
        <w:rPr>
          <w:b/>
          <w:color w:val="0F172A"/>
        </w:rPr>
        <w:t xml:space="preserve">GET /api/health: </w:t>
      </w:r>
      <w:r>
        <w:rPr>
          <w:color w:val="0F172A"/>
        </w:rPr>
        <w:t>Healthcheck and service monitoring.</w:t>
      </w:r>
    </w:p>
    <w:p>
      <w:pPr>
        <w:keepNext/>
        <w:spacing w:before="280" w:after="80"/>
      </w:pPr>
      <w:r>
        <w:rPr>
          <w:rFonts w:ascii="Calibri" w:hAnsi="Calibri"/>
          <w:b/>
          <w:color w:val="0E7490"/>
          <w:sz w:val="26"/>
        </w:rPr>
        <w:t>6.2 Modern React Web Application</w:t>
      </w:r>
    </w:p>
    <w:p>
      <w:r>
        <w:t>The frontend is engineered with React 18 and Vite, featuring a glassmorphic dark user interface:</w:t>
      </w:r>
    </w:p>
    <w:p>
      <w:pPr>
        <w:pStyle w:val="ListBullet"/>
        <w:spacing w:before="40" w:after="40"/>
      </w:pPr>
      <w:r>
        <w:rPr>
          <w:b/>
          <w:color w:val="0F172A"/>
        </w:rPr>
        <w:t xml:space="preserve">Interactive 9x9 Board: </w:t>
      </w:r>
      <w:r>
        <w:rPr>
          <w:color w:val="0F172A"/>
        </w:rPr>
        <w:t>Allows clicking any cell to mutate values, keyboard arrow-key navigation, numeric input (1-9), and deletion.</w:t>
      </w:r>
    </w:p>
    <w:p>
      <w:pPr>
        <w:pStyle w:val="ListBullet"/>
        <w:spacing w:before="40" w:after="40"/>
      </w:pPr>
      <w:r>
        <w:rPr>
          <w:b/>
          <w:color w:val="0F172A"/>
        </w:rPr>
        <w:t xml:space="preserve">Perspective Toggle: </w:t>
      </w:r>
      <w:r>
        <w:rPr>
          <w:color w:val="0F172A"/>
        </w:rPr>
        <w:t>Enables switching between 'Photo Perspective' (inverse projected) and 'Warped Grid' views.</w:t>
      </w:r>
    </w:p>
    <w:p>
      <w:pPr>
        <w:pStyle w:val="ListBullet"/>
        <w:spacing w:before="40" w:after="40"/>
      </w:pPr>
      <w:r>
        <w:rPr>
          <w:b/>
          <w:color w:val="0F172A"/>
        </w:rPr>
        <w:t xml:space="preserve">Live Camera Capture: </w:t>
      </w:r>
      <w:r>
        <w:rPr>
          <w:color w:val="0F172A"/>
        </w:rPr>
        <w:t>Supports direct browser camera/webcam capture in addition to drag-and-drop file upload.</w:t>
      </w:r>
    </w:p>
    <w:p>
      <w:pPr>
        <w:pStyle w:val="ListBullet"/>
        <w:spacing w:before="40" w:after="40"/>
      </w:pPr>
      <w:r>
        <w:rPr>
          <w:b/>
          <w:color w:val="0F172A"/>
        </w:rPr>
        <w:t xml:space="preserve">Auto-Play Step Solver: </w:t>
      </w:r>
      <w:r>
        <w:rPr>
          <w:color w:val="0F172A"/>
        </w:rPr>
        <w:t>Iterates through logical deductions with an animated delay, highlighting target cells in emerald and peer cells in amber.</w:t>
      </w:r>
    </w:p>
    <w:p>
      <w:pPr>
        <w:pStyle w:val="ListBullet"/>
        <w:spacing w:before="40" w:after="40"/>
      </w:pPr>
      <w:r>
        <w:rPr>
          <w:b/>
          <w:color w:val="0F172A"/>
        </w:rPr>
        <w:t xml:space="preserve">Pencil Marks Display: </w:t>
      </w:r>
      <w:r>
        <w:rPr>
          <w:color w:val="0F172A"/>
        </w:rPr>
        <w:t>Renders 3x3 mini-grids of candidate numbers in empty cells.</w:t>
      </w:r>
    </w:p>
    <w:p>
      <w:pPr>
        <w:keepNext/>
        <w:spacing w:before="400" w:after="160"/>
      </w:pPr>
      <w:r>
        <w:rPr>
          <w:rFonts w:ascii="Calibri" w:hAnsi="Calibri"/>
          <w:b/>
          <w:color w:val="1E3A8A"/>
          <w:sz w:val="36"/>
        </w:rPr>
        <w:t>7. Testing, Verification &amp; Quality Assurance</w:t>
      </w:r>
    </w:p>
    <w:p>
      <w:r>
        <w:t>Comprehensive verification was executed using Pytest across 27 automated unit, integration, and endpoint tests. All 27 test cases pass with a 100% success rate in 2.11 seconds.</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1E3A8A"/>
            <w:tcMar>
              <w:top w:w="60" w:type="dxa"/>
              <w:bottom w:w="60" w:type="dxa"/>
              <w:left w:w="90" w:type="dxa"/>
              <w:right w:w="90" w:type="dxa"/>
            </w:tcMar>
          </w:tcPr>
          <w:p>
            <w:r>
              <w:rPr>
                <w:b/>
                <w:color w:val="FFFFFF"/>
              </w:rPr>
              <w:t>Test Suite</w:t>
            </w:r>
          </w:p>
        </w:tc>
        <w:tc>
          <w:tcPr>
            <w:tcW w:type="dxa" w:w="3120"/>
            <w:shd w:val="clear" w:color="auto" w:fill="1E3A8A"/>
            <w:tcMar>
              <w:top w:w="60" w:type="dxa"/>
              <w:bottom w:w="60" w:type="dxa"/>
              <w:left w:w="90" w:type="dxa"/>
              <w:right w:w="90" w:type="dxa"/>
            </w:tcMar>
          </w:tcPr>
          <w:p>
            <w:r>
              <w:rPr>
                <w:b/>
                <w:color w:val="FFFFFF"/>
              </w:rPr>
              <w:t>Test Modules</w:t>
            </w:r>
          </w:p>
        </w:tc>
        <w:tc>
          <w:tcPr>
            <w:tcW w:type="dxa" w:w="3120"/>
            <w:shd w:val="clear" w:color="auto" w:fill="1E3A8A"/>
            <w:tcMar>
              <w:top w:w="60" w:type="dxa"/>
              <w:bottom w:w="60" w:type="dxa"/>
              <w:left w:w="90" w:type="dxa"/>
              <w:right w:w="90" w:type="dxa"/>
            </w:tcMar>
          </w:tcPr>
          <w:p>
            <w:r>
              <w:rPr>
                <w:b/>
                <w:color w:val="FFFFFF"/>
              </w:rPr>
              <w:t>Status &amp; Coverage</w:t>
            </w:r>
          </w:p>
        </w:tc>
      </w:tr>
      <w:tr>
        <w:tc>
          <w:tcPr>
            <w:tcW w:type="dxa" w:w="3120"/>
            <w:shd w:val="clear" w:color="auto" w:fill="F8FAFC"/>
            <w:tcMar>
              <w:top w:w="50" w:type="dxa"/>
              <w:bottom w:w="50" w:type="dxa"/>
              <w:left w:w="80" w:type="dxa"/>
              <w:right w:w="80" w:type="dxa"/>
            </w:tcMar>
          </w:tcPr>
          <w:p>
            <w:r>
              <w:rPr>
                <w:b/>
                <w:sz w:val="18"/>
              </w:rPr>
              <w:t>API Endpoints</w:t>
            </w:r>
          </w:p>
        </w:tc>
        <w:tc>
          <w:tcPr>
            <w:tcW w:type="dxa" w:w="3120"/>
            <w:shd w:val="clear" w:color="auto" w:fill="F8FAFC"/>
            <w:tcMar>
              <w:top w:w="50" w:type="dxa"/>
              <w:bottom w:w="50" w:type="dxa"/>
              <w:left w:w="80" w:type="dxa"/>
              <w:right w:w="80" w:type="dxa"/>
            </w:tcMar>
          </w:tcPr>
          <w:p>
            <w:r>
              <w:rPr>
                <w:sz w:val="18"/>
              </w:rPr>
              <w:t>test_api.py (7 tests)</w:t>
            </w:r>
          </w:p>
        </w:tc>
        <w:tc>
          <w:tcPr>
            <w:tcW w:type="dxa" w:w="3120"/>
            <w:shd w:val="clear" w:color="auto" w:fill="F8FAFC"/>
            <w:tcMar>
              <w:top w:w="50" w:type="dxa"/>
              <w:bottom w:w="50" w:type="dxa"/>
              <w:left w:w="80" w:type="dxa"/>
              <w:right w:w="80" w:type="dxa"/>
            </w:tcMar>
          </w:tcPr>
          <w:p>
            <w:r>
              <w:rPr>
                <w:sz w:val="18"/>
              </w:rPr>
              <w:t>PASS: Verified /health, /validate, /hint, /solve, /scan, /samples, /candidates.</w:t>
            </w:r>
          </w:p>
        </w:tc>
      </w:tr>
      <w:tr>
        <w:tc>
          <w:tcPr>
            <w:tcW w:type="dxa" w:w="3120"/>
            <w:shd w:val="clear" w:color="auto" w:fill="FFFFFF"/>
            <w:tcMar>
              <w:top w:w="50" w:type="dxa"/>
              <w:bottom w:w="50" w:type="dxa"/>
              <w:left w:w="80" w:type="dxa"/>
              <w:right w:w="80" w:type="dxa"/>
            </w:tcMar>
          </w:tcPr>
          <w:p>
            <w:r>
              <w:rPr>
                <w:b/>
                <w:sz w:val="18"/>
              </w:rPr>
              <w:t>Perspective Warp</w:t>
            </w:r>
          </w:p>
        </w:tc>
        <w:tc>
          <w:tcPr>
            <w:tcW w:type="dxa" w:w="3120"/>
            <w:shd w:val="clear" w:color="auto" w:fill="FFFFFF"/>
            <w:tcMar>
              <w:top w:w="50" w:type="dxa"/>
              <w:bottom w:w="50" w:type="dxa"/>
              <w:left w:w="80" w:type="dxa"/>
              <w:right w:w="80" w:type="dxa"/>
            </w:tcMar>
          </w:tcPr>
          <w:p>
            <w:r>
              <w:rPr>
                <w:sz w:val="18"/>
              </w:rPr>
              <w:t>test_cell_extractor.py (2 tests)</w:t>
            </w:r>
          </w:p>
        </w:tc>
        <w:tc>
          <w:tcPr>
            <w:tcW w:type="dxa" w:w="3120"/>
            <w:shd w:val="clear" w:color="auto" w:fill="FFFFFF"/>
            <w:tcMar>
              <w:top w:w="50" w:type="dxa"/>
              <w:bottom w:w="50" w:type="dxa"/>
              <w:left w:w="80" w:type="dxa"/>
              <w:right w:w="80" w:type="dxa"/>
            </w:tcMar>
          </w:tcPr>
          <w:p>
            <w:r>
              <w:rPr>
                <w:sz w:val="18"/>
              </w:rPr>
              <w:t>PASS: Forward homography (450x450), inverse transform, 81-cell slicing.</w:t>
            </w:r>
          </w:p>
        </w:tc>
      </w:tr>
      <w:tr>
        <w:tc>
          <w:tcPr>
            <w:tcW w:type="dxa" w:w="3120"/>
            <w:shd w:val="clear" w:color="auto" w:fill="F8FAFC"/>
            <w:tcMar>
              <w:top w:w="50" w:type="dxa"/>
              <w:bottom w:w="50" w:type="dxa"/>
              <w:left w:w="80" w:type="dxa"/>
              <w:right w:w="80" w:type="dxa"/>
            </w:tcMar>
          </w:tcPr>
          <w:p>
            <w:r>
              <w:rPr>
                <w:b/>
                <w:sz w:val="18"/>
              </w:rPr>
              <w:t>Digit Recognition</w:t>
            </w:r>
          </w:p>
        </w:tc>
        <w:tc>
          <w:tcPr>
            <w:tcW w:type="dxa" w:w="3120"/>
            <w:shd w:val="clear" w:color="auto" w:fill="F8FAFC"/>
            <w:tcMar>
              <w:top w:w="50" w:type="dxa"/>
              <w:bottom w:w="50" w:type="dxa"/>
              <w:left w:w="80" w:type="dxa"/>
              <w:right w:w="80" w:type="dxa"/>
            </w:tcMar>
          </w:tcPr>
          <w:p>
            <w:r>
              <w:rPr>
                <w:sz w:val="18"/>
              </w:rPr>
              <w:t>test_digit_recognizer.py (1 test)</w:t>
            </w:r>
          </w:p>
        </w:tc>
        <w:tc>
          <w:tcPr>
            <w:tcW w:type="dxa" w:w="3120"/>
            <w:shd w:val="clear" w:color="auto" w:fill="F8FAFC"/>
            <w:tcMar>
              <w:top w:w="50" w:type="dxa"/>
              <w:bottom w:w="50" w:type="dxa"/>
              <w:left w:w="80" w:type="dxa"/>
              <w:right w:w="80" w:type="dxa"/>
            </w:tcMar>
          </w:tcPr>
          <w:p>
            <w:r>
              <w:rPr>
                <w:sz w:val="18"/>
              </w:rPr>
              <w:t>PASS: Multi-font printed digit accuracy across synthetic variations.</w:t>
            </w:r>
          </w:p>
        </w:tc>
      </w:tr>
      <w:tr>
        <w:tc>
          <w:tcPr>
            <w:tcW w:type="dxa" w:w="3120"/>
            <w:shd w:val="clear" w:color="auto" w:fill="FFFFFF"/>
            <w:tcMar>
              <w:top w:w="50" w:type="dxa"/>
              <w:bottom w:w="50" w:type="dxa"/>
              <w:left w:w="80" w:type="dxa"/>
              <w:right w:w="80" w:type="dxa"/>
            </w:tcMar>
          </w:tcPr>
          <w:p>
            <w:r>
              <w:rPr>
                <w:b/>
                <w:sz w:val="18"/>
              </w:rPr>
              <w:t>Grid Detection</w:t>
            </w:r>
          </w:p>
        </w:tc>
        <w:tc>
          <w:tcPr>
            <w:tcW w:type="dxa" w:w="3120"/>
            <w:shd w:val="clear" w:color="auto" w:fill="FFFFFF"/>
            <w:tcMar>
              <w:top w:w="50" w:type="dxa"/>
              <w:bottom w:w="50" w:type="dxa"/>
              <w:left w:w="80" w:type="dxa"/>
              <w:right w:w="80" w:type="dxa"/>
            </w:tcMar>
          </w:tcPr>
          <w:p>
            <w:r>
              <w:rPr>
                <w:sz w:val="18"/>
              </w:rPr>
              <w:t>test_grid_detector.py (2 tests)</w:t>
            </w:r>
          </w:p>
        </w:tc>
        <w:tc>
          <w:tcPr>
            <w:tcW w:type="dxa" w:w="3120"/>
            <w:shd w:val="clear" w:color="auto" w:fill="FFFFFF"/>
            <w:tcMar>
              <w:top w:w="50" w:type="dxa"/>
              <w:bottom w:w="50" w:type="dxa"/>
              <w:left w:w="80" w:type="dxa"/>
              <w:right w:w="80" w:type="dxa"/>
            </w:tcMar>
          </w:tcPr>
          <w:p>
            <w:r>
              <w:rPr>
                <w:sz w:val="18"/>
              </w:rPr>
              <w:t>PASS: 4-corner quad detection and mathematical corner ordering.</w:t>
            </w:r>
          </w:p>
        </w:tc>
      </w:tr>
      <w:tr>
        <w:tc>
          <w:tcPr>
            <w:tcW w:type="dxa" w:w="3120"/>
            <w:shd w:val="clear" w:color="auto" w:fill="F8FAFC"/>
            <w:tcMar>
              <w:top w:w="50" w:type="dxa"/>
              <w:bottom w:w="50" w:type="dxa"/>
              <w:left w:w="80" w:type="dxa"/>
              <w:right w:w="80" w:type="dxa"/>
            </w:tcMar>
          </w:tcPr>
          <w:p>
            <w:r>
              <w:rPr>
                <w:b/>
                <w:sz w:val="18"/>
              </w:rPr>
              <w:t>Symbolic Logic</w:t>
            </w:r>
          </w:p>
        </w:tc>
        <w:tc>
          <w:tcPr>
            <w:tcW w:type="dxa" w:w="3120"/>
            <w:shd w:val="clear" w:color="auto" w:fill="F8FAFC"/>
            <w:tcMar>
              <w:top w:w="50" w:type="dxa"/>
              <w:bottom w:w="50" w:type="dxa"/>
              <w:left w:w="80" w:type="dxa"/>
              <w:right w:w="80" w:type="dxa"/>
            </w:tcMar>
          </w:tcPr>
          <w:p>
            <w:r>
              <w:rPr>
                <w:sz w:val="18"/>
              </w:rPr>
              <w:t>test_logic_engine.py (2 tests)</w:t>
            </w:r>
          </w:p>
        </w:tc>
        <w:tc>
          <w:tcPr>
            <w:tcW w:type="dxa" w:w="3120"/>
            <w:shd w:val="clear" w:color="auto" w:fill="F8FAFC"/>
            <w:tcMar>
              <w:top w:w="50" w:type="dxa"/>
              <w:bottom w:w="50" w:type="dxa"/>
              <w:left w:w="80" w:type="dxa"/>
              <w:right w:w="80" w:type="dxa"/>
            </w:tcMar>
          </w:tcPr>
          <w:p>
            <w:r>
              <w:rPr>
                <w:sz w:val="18"/>
              </w:rPr>
              <w:t>PASS: Naked Single, Hidden Single in 3x3 Box, explanation generation.</w:t>
            </w:r>
          </w:p>
        </w:tc>
      </w:tr>
      <w:tr>
        <w:tc>
          <w:tcPr>
            <w:tcW w:type="dxa" w:w="3120"/>
            <w:shd w:val="clear" w:color="auto" w:fill="FFFFFF"/>
            <w:tcMar>
              <w:top w:w="50" w:type="dxa"/>
              <w:bottom w:w="50" w:type="dxa"/>
              <w:left w:w="80" w:type="dxa"/>
              <w:right w:w="80" w:type="dxa"/>
            </w:tcMar>
          </w:tcPr>
          <w:p>
            <w:r>
              <w:rPr>
                <w:b/>
                <w:sz w:val="18"/>
              </w:rPr>
              <w:t>Pipeline Integration</w:t>
            </w:r>
          </w:p>
        </w:tc>
        <w:tc>
          <w:tcPr>
            <w:tcW w:type="dxa" w:w="3120"/>
            <w:shd w:val="clear" w:color="auto" w:fill="FFFFFF"/>
            <w:tcMar>
              <w:top w:w="50" w:type="dxa"/>
              <w:bottom w:w="50" w:type="dxa"/>
              <w:left w:w="80" w:type="dxa"/>
              <w:right w:w="80" w:type="dxa"/>
            </w:tcMar>
          </w:tcPr>
          <w:p>
            <w:r>
              <w:rPr>
                <w:sz w:val="18"/>
              </w:rPr>
              <w:t>test_pipeline.py (1 test)</w:t>
            </w:r>
          </w:p>
        </w:tc>
        <w:tc>
          <w:tcPr>
            <w:tcW w:type="dxa" w:w="3120"/>
            <w:shd w:val="clear" w:color="auto" w:fill="FFFFFF"/>
            <w:tcMar>
              <w:top w:w="50" w:type="dxa"/>
              <w:bottom w:w="50" w:type="dxa"/>
              <w:left w:w="80" w:type="dxa"/>
              <w:right w:w="80" w:type="dxa"/>
            </w:tcMar>
          </w:tcPr>
          <w:p>
            <w:r>
              <w:rPr>
                <w:sz w:val="18"/>
              </w:rPr>
              <w:t>PASS: Full end-to-end integration from raw image to augmented output.</w:t>
            </w:r>
          </w:p>
        </w:tc>
      </w:tr>
      <w:tr>
        <w:tc>
          <w:tcPr>
            <w:tcW w:type="dxa" w:w="3120"/>
            <w:shd w:val="clear" w:color="auto" w:fill="F8FAFC"/>
            <w:tcMar>
              <w:top w:w="50" w:type="dxa"/>
              <w:bottom w:w="50" w:type="dxa"/>
              <w:left w:w="80" w:type="dxa"/>
              <w:right w:w="80" w:type="dxa"/>
            </w:tcMar>
          </w:tcPr>
          <w:p>
            <w:r>
              <w:rPr>
                <w:b/>
                <w:sz w:val="18"/>
              </w:rPr>
              <w:t>Sudoku Engine</w:t>
            </w:r>
          </w:p>
        </w:tc>
        <w:tc>
          <w:tcPr>
            <w:tcW w:type="dxa" w:w="3120"/>
            <w:shd w:val="clear" w:color="auto" w:fill="F8FAFC"/>
            <w:tcMar>
              <w:top w:w="50" w:type="dxa"/>
              <w:bottom w:w="50" w:type="dxa"/>
              <w:left w:w="80" w:type="dxa"/>
              <w:right w:w="80" w:type="dxa"/>
            </w:tcMar>
          </w:tcPr>
          <w:p>
            <w:r>
              <w:rPr>
                <w:sz w:val="18"/>
              </w:rPr>
              <w:t>test_solver.py, test_sudoku_board.py (10 tests)</w:t>
            </w:r>
          </w:p>
        </w:tc>
        <w:tc>
          <w:tcPr>
            <w:tcW w:type="dxa" w:w="3120"/>
            <w:shd w:val="clear" w:color="auto" w:fill="F8FAFC"/>
            <w:tcMar>
              <w:top w:w="50" w:type="dxa"/>
              <w:bottom w:w="50" w:type="dxa"/>
              <w:left w:w="80" w:type="dxa"/>
              <w:right w:w="80" w:type="dxa"/>
            </w:tcMar>
          </w:tcPr>
          <w:p>
            <w:r>
              <w:rPr>
                <w:sz w:val="18"/>
              </w:rPr>
              <w:t>PASS: MRV backtracking, uniqueness, validation, candidates.</w:t>
            </w:r>
          </w:p>
        </w:tc>
      </w:tr>
    </w:tbl>
    <w:p>
      <w:pPr>
        <w:keepNext/>
        <w:spacing w:before="400" w:after="160"/>
      </w:pPr>
      <w:r>
        <w:rPr>
          <w:rFonts w:ascii="Calibri" w:hAnsi="Calibri"/>
          <w:b/>
          <w:color w:val="1E3A8A"/>
          <w:sz w:val="36"/>
        </w:rPr>
        <w:t>8. Conclusion &amp; Future Roadmap</w:t>
      </w:r>
    </w:p>
    <w:p>
      <w:r>
        <w:t>SudokuVision successfully demonstrates that combining classical computer vision, supervised machine learning, and symbolic constraint logic delivers a robust, accessible system for real-world puzzle digitizing and automated deduction. By addressing the real-world obstacles of perspective skew, typography diversity, and constraint-based disambiguation, Shaurya and Pankaj have delivered a complete full-stack product.</w:t>
      </w:r>
    </w:p>
    <w:p>
      <w:r>
        <w:t>Future enhancements planned for SudokuVision include:</w:t>
      </w:r>
    </w:p>
    <w:p>
      <w:pPr>
        <w:pStyle w:val="ListBullet"/>
        <w:spacing w:before="40" w:after="40"/>
      </w:pPr>
      <w:r>
        <w:rPr>
          <w:b/>
          <w:color w:val="0F172A"/>
        </w:rPr>
        <w:t xml:space="preserve">Conversational AI Tutor: </w:t>
      </w:r>
      <w:r>
        <w:rPr>
          <w:color w:val="0F172A"/>
        </w:rPr>
        <w:t>Integrating an LLM (such as Gemini 2.5) to allow users to ask conversational questions about strategy, mistakes, and advanced techniques (X-Wing, Swordfish).</w:t>
      </w:r>
    </w:p>
    <w:p>
      <w:pPr>
        <w:pStyle w:val="ListBullet"/>
        <w:spacing w:before="40" w:after="40"/>
      </w:pPr>
      <w:r>
        <w:rPr>
          <w:b/>
          <w:color w:val="0F172A"/>
        </w:rPr>
        <w:t xml:space="preserve">Handwritten Digit Expansion: </w:t>
      </w:r>
      <w:r>
        <w:rPr>
          <w:color w:val="0F172A"/>
        </w:rPr>
        <w:t>Training specialized convolutional heads on handwritten digits (such as the Chars74K dataset) to support pencil-written puzzles.</w:t>
      </w:r>
    </w:p>
    <w:p>
      <w:pPr>
        <w:pStyle w:val="ListBullet"/>
        <w:spacing w:before="40" w:after="40"/>
      </w:pPr>
      <w:r>
        <w:rPr>
          <w:b/>
          <w:color w:val="0F172A"/>
        </w:rPr>
        <w:t xml:space="preserve">Mobile Native Deployment: </w:t>
      </w:r>
      <w:r>
        <w:rPr>
          <w:color w:val="0F172A"/>
        </w:rPr>
        <w:t>Compiling the React frontend into an iOS/Android application using React Native or Capacitor.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F17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