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68"/>
        </w:rPr>
        <w:t>TopoPatch</w:t>
      </w:r>
    </w:p>
    <w:p>
      <w:pPr>
        <w:jc w:val="center"/>
      </w:pPr>
      <w:r>
        <w:rPr>
          <w:b/>
          <w:color w:val="2F5597"/>
          <w:sz w:val="40"/>
        </w:rPr>
        <w:t>Final Frozen Technical &amp; Patent/R&amp;D Specification</w:t>
      </w:r>
    </w:p>
    <w:p>
      <w:pPr>
        <w:jc w:val="center"/>
      </w:pPr>
      <w:r>
        <w:t>Version 4.1 — Counterexample-Guided, Barrier-Constrained Selective Migration of Vector Retrieval Indexes Across Embedding-Model Upgrades</w:t>
      </w:r>
    </w:p>
    <w:p>
      <w:pPr>
        <w:spacing w:before="480"/>
        <w:jc w:val="center"/>
      </w:pPr>
      <w:r>
        <w:t>MASTER FREEZE + IMPLEMENTATION BIBLE — 11 September 2026</w:t>
      </w:r>
    </w:p>
    <w:p>
      <w:pPr>
        <w:spacing w:before="200"/>
        <w:jc w:val="center"/>
      </w:pPr>
      <w:r>
        <w:rPr>
          <w:sz w:val="21"/>
        </w:rPr>
        <w:t>Primary domain: AI Infrastructure • Vector Databases • Approximate Nearest-Neighbor Search • Information Retrieval • RAG Infrastructure</w:t>
      </w:r>
    </w:p>
    <w:p>
      <w:pPr>
        <w:spacing w:before="560"/>
        <w:jc w:val="center"/>
      </w:pPr>
      <w:r>
        <w:rPr>
          <w:b/>
          <w:sz w:val="20"/>
        </w:rPr>
        <w:t>Status: Freeze the architecture after this document. Further patent strengthening should come from prototype evidence and a professional claim-level prior-art search, not additional speculative modules.</w:t>
      </w:r>
    </w:p>
    <w:p>
      <w:pPr>
        <w:spacing w:before="900"/>
        <w:jc w:val="center"/>
      </w:pPr>
      <w:r>
        <w:rPr>
          <w:color w:val="6E6E6E"/>
          <w:sz w:val="18"/>
        </w:rPr>
        <w:t>Important: This document is a technical and patent-strategy working specification, not legal advice and not a guarantee of patent grant.</w:t>
      </w:r>
    </w:p>
    <w:p>
      <w:r>
        <w:br w:type="page"/>
      </w:r>
    </w:p>
    <w:p>
      <w:pPr>
        <w:pStyle w:val="Heading1"/>
      </w:pPr>
      <w:r>
        <w:t>Executive Freeze Decision</w:t>
      </w:r>
    </w:p>
    <w:tbl>
      <w:tblPr>
        <w:tblStyle w:val="TableGrid"/>
        <w:tblW w:type="auto" w:w="0"/>
        <w:tblLook w:firstColumn="1" w:firstRow="1" w:lastColumn="0" w:lastRow="0" w:noHBand="0" w:noVBand="1" w:val="04A0"/>
      </w:tblPr>
      <w:tblGrid>
        <w:gridCol w:w="9994"/>
      </w:tblGrid>
      <w:tr>
        <w:tc>
          <w:tcPr>
            <w:tcW w:type="dxa" w:w="9994"/>
            <w:shd w:fill="DDEBF7"/>
            <w:tcMar>
              <w:top w:w="140" w:type="dxa"/>
              <w:start w:w="160" w:type="dxa"/>
              <w:bottom w:w="140" w:type="dxa"/>
              <w:end w:w="160" w:type="dxa"/>
            </w:tcMar>
          </w:tcPr>
          <w:p>
            <w:r>
              <w:rPr>
                <w:b/>
                <w:sz w:val="21"/>
              </w:rPr>
              <w:t>FINAL DECISION</w:t>
            </w:r>
            <w:r>
              <w:br/>
              <w:t>Build TopoPatch. Freeze the main patent-first architecture around witness-guided minimum selective repair plus a hard retrieval-safety gate on the predicted mixed-version serving state. Do not make the newer “local correction / NCA” idea the patent nucleus: a July 2026 Google patent application (US20260195572A1 / EP4773042A1) now covers localized embedding patches for subspaces, adding material collision risk. Keep local correction only as an optional experimental comparison after the core system works.</w:t>
            </w:r>
          </w:p>
        </w:tc>
      </w:tr>
    </w:tbl>
    <w:p>
      <w:r>
        <w:t xml:space="preserve">The final version also closes two implementation holes that were under-specified in earlier drafts: </w:t>
      </w:r>
      <w:r>
        <w:rPr>
          <w:b/>
        </w:rPr>
        <w:t>(1) how to discover Model-B retrieval failures without first paying for a full Model-B backfill, and (2) how to serve a mixed Model-A/Model-B corpus when the two vector spaces or dimensions are incompatible.</w:t>
      </w:r>
      <w:r>
        <w:t xml:space="preserve"> These are solved with a budgeted Candidate Envelope for on-demand B embeddings and a dual-space serving architecture that keeps A and B vectors in native sub-indexes and fuses ranks rather than raw cross-space distances.</w:t>
      </w:r>
    </w:p>
    <w:p>
      <w:pPr/>
      <w:r>
        <w:t>v4.1 final solidification: Candidate Envelope is explicitly uncertainty-bounded and fail-closed; witness edges carry counterfactual migration-action effects; candidate states are materialized as ephemeral copy-on-write preview states before any durable mutation; each B embedding is source-version bound; and the safety floor is separated from progress toward Full-B quality. These are implementation/enablement clarifications, not additional novelty modules. Candidate Envelope and dual-space serving remain supporting mechanisms, and NCA/local embedding correction remains outside the patent core.</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DCE6F1"/>
            <w:tcMar>
              <w:top w:w="80" w:type="dxa"/>
              <w:start w:w="100" w:type="dxa"/>
              <w:bottom w:w="80" w:type="dxa"/>
              <w:end w:w="100" w:type="dxa"/>
            </w:tcMar>
            <w:vAlign w:val="center"/>
          </w:tcPr>
          <w:p>
            <w:r>
              <w:rPr>
                <w:b/>
                <w:sz w:val="17"/>
              </w:rPr>
              <w:t>Decision</w:t>
            </w:r>
          </w:p>
        </w:tc>
        <w:tc>
          <w:tcPr>
            <w:tcW w:type="dxa" w:w="3024"/>
            <w:shd w:fill="DCE6F1"/>
            <w:tcMar>
              <w:top w:w="80" w:type="dxa"/>
              <w:start w:w="100" w:type="dxa"/>
              <w:bottom w:w="80" w:type="dxa"/>
              <w:end w:w="100" w:type="dxa"/>
            </w:tcMar>
            <w:vAlign w:val="center"/>
          </w:tcPr>
          <w:p>
            <w:r>
              <w:rPr>
                <w:b/>
                <w:sz w:val="17"/>
              </w:rPr>
              <w:t>Frozen position</w:t>
            </w:r>
          </w:p>
        </w:tc>
        <w:tc>
          <w:tcPr>
            <w:tcW w:type="dxa" w:w="4896"/>
            <w:shd w:fill="DCE6F1"/>
            <w:tcMar>
              <w:top w:w="80" w:type="dxa"/>
              <w:start w:w="100" w:type="dxa"/>
              <w:bottom w:w="80" w:type="dxa"/>
              <w:end w:w="100" w:type="dxa"/>
            </w:tcMar>
            <w:vAlign w:val="center"/>
          </w:tcPr>
          <w:p>
            <w:r>
              <w:rPr>
                <w:b/>
                <w:sz w:val="17"/>
              </w:rPr>
              <w:t>Why</w:t>
            </w:r>
          </w:p>
        </w:tc>
      </w:tr>
      <w:tr>
        <w:tc>
          <w:tcPr>
            <w:tcW w:type="dxa" w:w="1944"/>
            <w:tcMar>
              <w:top w:w="80" w:type="dxa"/>
              <w:start w:w="100" w:type="dxa"/>
              <w:bottom w:w="80" w:type="dxa"/>
              <w:end w:w="100" w:type="dxa"/>
            </w:tcMar>
            <w:vAlign w:val="top"/>
          </w:tcPr>
          <w:p>
            <w:r>
              <w:rPr>
                <w:sz w:val="17"/>
              </w:rPr>
              <w:t>Patent nucleus</w:t>
            </w:r>
          </w:p>
        </w:tc>
        <w:tc>
          <w:tcPr>
            <w:tcW w:type="dxa" w:w="3024"/>
            <w:tcMar>
              <w:top w:w="80" w:type="dxa"/>
              <w:start w:w="100" w:type="dxa"/>
              <w:bottom w:w="80" w:type="dxa"/>
              <w:end w:w="100" w:type="dxa"/>
            </w:tcMar>
            <w:vAlign w:val="top"/>
          </w:tcPr>
          <w:p>
            <w:r>
              <w:rPr>
                <w:sz w:val="17"/>
              </w:rPr>
              <w:t>Witness → barrier-constrained minimum repair → selective re-embedding/ANN repair → safe commit/fallback</w:t>
            </w:r>
          </w:p>
        </w:tc>
        <w:tc>
          <w:tcPr>
            <w:tcW w:type="dxa" w:w="4896"/>
            <w:tcMar>
              <w:top w:w="80" w:type="dxa"/>
              <w:start w:w="100" w:type="dxa"/>
              <w:bottom w:w="80" w:type="dxa"/>
              <w:end w:w="100" w:type="dxa"/>
            </w:tcMar>
            <w:vAlign w:val="top"/>
          </w:tcPr>
          <w:p>
            <w:r>
              <w:rPr>
                <w:sz w:val="17"/>
              </w:rPr>
              <w:t>Narrowest architecture with a credible technical effect and no single exact anticipatory reference located in prior searches.</w:t>
            </w:r>
          </w:p>
        </w:tc>
      </w:tr>
      <w:tr>
        <w:tc>
          <w:tcPr>
            <w:tcW w:type="dxa" w:w="1944"/>
            <w:tcMar>
              <w:top w:w="80" w:type="dxa"/>
              <w:start w:w="100" w:type="dxa"/>
              <w:bottom w:w="80" w:type="dxa"/>
              <w:end w:w="100" w:type="dxa"/>
            </w:tcMar>
            <w:vAlign w:val="top"/>
          </w:tcPr>
          <w:p>
            <w:r>
              <w:rPr>
                <w:sz w:val="17"/>
              </w:rPr>
              <w:t>Local correction / NCA</w:t>
            </w:r>
          </w:p>
        </w:tc>
        <w:tc>
          <w:tcPr>
            <w:tcW w:type="dxa" w:w="3024"/>
            <w:tcMar>
              <w:top w:w="80" w:type="dxa"/>
              <w:start w:w="100" w:type="dxa"/>
              <w:bottom w:w="80" w:type="dxa"/>
              <w:end w:w="100" w:type="dxa"/>
            </w:tcMar>
            <w:vAlign w:val="top"/>
          </w:tcPr>
          <w:p>
            <w:r>
              <w:rPr>
                <w:sz w:val="17"/>
              </w:rPr>
              <w:t>Optional experiment only; not required by core claim</w:t>
            </w:r>
          </w:p>
        </w:tc>
        <w:tc>
          <w:tcPr>
            <w:tcW w:type="dxa" w:w="4896"/>
            <w:tcMar>
              <w:top w:w="80" w:type="dxa"/>
              <w:start w:w="100" w:type="dxa"/>
              <w:bottom w:w="80" w:type="dxa"/>
              <w:end w:w="100" w:type="dxa"/>
            </w:tcMar>
            <w:vAlign w:val="top"/>
          </w:tcPr>
          <w:p>
            <w:r>
              <w:rPr>
                <w:sz w:val="17"/>
              </w:rPr>
              <w:t>DMU, local/piecewise alignment, and Google US20260195572 materially increase §103/overlap risk.</w:t>
            </w:r>
          </w:p>
        </w:tc>
      </w:tr>
      <w:tr>
        <w:tc>
          <w:tcPr>
            <w:tcW w:type="dxa" w:w="1944"/>
            <w:tcMar>
              <w:top w:w="80" w:type="dxa"/>
              <w:start w:w="100" w:type="dxa"/>
              <w:bottom w:w="80" w:type="dxa"/>
              <w:end w:w="100" w:type="dxa"/>
            </w:tcMar>
            <w:vAlign w:val="top"/>
          </w:tcPr>
          <w:p>
            <w:r>
              <w:rPr>
                <w:sz w:val="17"/>
              </w:rPr>
              <w:t>Mixed-version serving</w:t>
            </w:r>
          </w:p>
        </w:tc>
        <w:tc>
          <w:tcPr>
            <w:tcW w:type="dxa" w:w="3024"/>
            <w:tcMar>
              <w:top w:w="80" w:type="dxa"/>
              <w:start w:w="100" w:type="dxa"/>
              <w:bottom w:w="80" w:type="dxa"/>
              <w:end w:w="100" w:type="dxa"/>
            </w:tcMar>
            <w:vAlign w:val="top"/>
          </w:tcPr>
          <w:p>
            <w:r>
              <w:rPr>
                <w:sz w:val="17"/>
              </w:rPr>
              <w:t>Required supporting mechanism</w:t>
            </w:r>
          </w:p>
        </w:tc>
        <w:tc>
          <w:tcPr>
            <w:tcW w:type="dxa" w:w="4896"/>
            <w:tcMar>
              <w:top w:w="80" w:type="dxa"/>
              <w:start w:w="100" w:type="dxa"/>
              <w:bottom w:w="80" w:type="dxa"/>
              <w:end w:w="100" w:type="dxa"/>
            </w:tcMar>
            <w:vAlign w:val="top"/>
          </w:tcPr>
          <w:p>
            <w:r>
              <w:rPr>
                <w:sz w:val="17"/>
              </w:rPr>
              <w:t>Without native A/B sub-indexes and rank fusion, incompatible vector dimensions/spaces create an implementation gap.</w:t>
            </w:r>
          </w:p>
        </w:tc>
      </w:tr>
      <w:tr>
        <w:tc>
          <w:tcPr>
            <w:tcW w:type="dxa" w:w="1944"/>
            <w:tcMar>
              <w:top w:w="80" w:type="dxa"/>
              <w:start w:w="100" w:type="dxa"/>
              <w:bottom w:w="80" w:type="dxa"/>
              <w:end w:w="100" w:type="dxa"/>
            </w:tcMar>
            <w:vAlign w:val="top"/>
          </w:tcPr>
          <w:p>
            <w:r>
              <w:rPr>
                <w:sz w:val="17"/>
              </w:rPr>
              <w:t>Candidate Envelope</w:t>
            </w:r>
          </w:p>
        </w:tc>
        <w:tc>
          <w:tcPr>
            <w:tcW w:type="dxa" w:w="3024"/>
            <w:tcMar>
              <w:top w:w="80" w:type="dxa"/>
              <w:start w:w="100" w:type="dxa"/>
              <w:bottom w:w="80" w:type="dxa"/>
              <w:end w:w="100" w:type="dxa"/>
            </w:tcMar>
            <w:vAlign w:val="top"/>
          </w:tcPr>
          <w:p>
            <w:r>
              <w:rPr>
                <w:sz w:val="17"/>
              </w:rPr>
              <w:t>Required supporting mechanism</w:t>
            </w:r>
          </w:p>
        </w:tc>
        <w:tc>
          <w:tcPr>
            <w:tcW w:type="dxa" w:w="4896"/>
            <w:tcMar>
              <w:top w:w="80" w:type="dxa"/>
              <w:start w:w="100" w:type="dxa"/>
              <w:bottom w:w="80" w:type="dxa"/>
              <w:end w:w="100" w:type="dxa"/>
            </w:tcMar>
            <w:vAlign w:val="top"/>
          </w:tcPr>
          <w:p>
            <w:r>
              <w:rPr>
                <w:sz w:val="17"/>
              </w:rPr>
              <w:t>Avoids the circular requirement to fully compute Model-B embeddings just to decide what should be migrated.</w:t>
            </w:r>
          </w:p>
        </w:tc>
      </w:tr>
      <w:tr>
        <w:tc>
          <w:tcPr>
            <w:tcW w:type="dxa" w:w="1944"/>
            <w:tcMar>
              <w:top w:w="80" w:type="dxa"/>
              <w:start w:w="100" w:type="dxa"/>
              <w:bottom w:w="80" w:type="dxa"/>
              <w:end w:w="100" w:type="dxa"/>
            </w:tcMar>
            <w:vAlign w:val="top"/>
          </w:tcPr>
          <w:p>
            <w:r>
              <w:rPr>
                <w:sz w:val="17"/>
              </w:rPr>
              <w:t>ProbeQuorum</w:t>
            </w:r>
          </w:p>
        </w:tc>
        <w:tc>
          <w:tcPr>
            <w:tcW w:type="dxa" w:w="3024"/>
            <w:tcMar>
              <w:top w:w="80" w:type="dxa"/>
              <w:start w:w="100" w:type="dxa"/>
              <w:bottom w:w="80" w:type="dxa"/>
              <w:end w:w="100" w:type="dxa"/>
            </w:tcMar>
            <w:vAlign w:val="top"/>
          </w:tcPr>
          <w:p>
            <w:r>
              <w:rPr>
                <w:sz w:val="17"/>
              </w:rPr>
              <w:t>Optional dependent security feature</w:t>
            </w:r>
          </w:p>
        </w:tc>
        <w:tc>
          <w:tcPr>
            <w:tcW w:type="dxa" w:w="4896"/>
            <w:tcMar>
              <w:top w:w="80" w:type="dxa"/>
              <w:start w:w="100" w:type="dxa"/>
              <w:bottom w:w="80" w:type="dxa"/>
              <w:end w:w="100" w:type="dxa"/>
            </w:tcMar>
            <w:vAlign w:val="top"/>
          </w:tcPr>
          <w:p>
            <w:r>
              <w:rPr>
                <w:sz w:val="17"/>
              </w:rPr>
              <w:t>Closes calibration-evidence poisoning risk but is not strong enough to replace the core claim.</w:t>
            </w:r>
          </w:p>
        </w:tc>
      </w:tr>
      <w:tr>
        <w:tc>
          <w:tcPr>
            <w:tcW w:type="dxa" w:w="1944"/>
            <w:tcMar>
              <w:top w:w="80" w:type="dxa"/>
              <w:start w:w="100" w:type="dxa"/>
              <w:bottom w:w="80" w:type="dxa"/>
              <w:end w:w="100" w:type="dxa"/>
            </w:tcMar>
            <w:vAlign w:val="top"/>
          </w:tcPr>
          <w:p>
            <w:r>
              <w:rPr>
                <w:sz w:val="17"/>
              </w:rPr>
              <w:t>Next patent improvement</w:t>
            </w:r>
          </w:p>
        </w:tc>
        <w:tc>
          <w:tcPr>
            <w:tcW w:type="dxa" w:w="3024"/>
            <w:tcMar>
              <w:top w:w="80" w:type="dxa"/>
              <w:start w:w="100" w:type="dxa"/>
              <w:bottom w:w="80" w:type="dxa"/>
              <w:end w:w="100" w:type="dxa"/>
            </w:tcMar>
            <w:vAlign w:val="top"/>
          </w:tcPr>
          <w:p>
            <w:r>
              <w:rPr>
                <w:sz w:val="17"/>
              </w:rPr>
              <w:t>Experimental unexpected-result evidence</w:t>
            </w:r>
          </w:p>
        </w:tc>
        <w:tc>
          <w:tcPr>
            <w:tcW w:type="dxa" w:w="4896"/>
            <w:tcMar>
              <w:top w:w="80" w:type="dxa"/>
              <w:start w:w="100" w:type="dxa"/>
              <w:bottom w:w="80" w:type="dxa"/>
              <w:end w:w="100" w:type="dxa"/>
            </w:tcMar>
            <w:vAlign w:val="top"/>
          </w:tcPr>
          <w:p>
            <w:r>
              <w:rPr>
                <w:sz w:val="17"/>
              </w:rPr>
              <w:t>USPTO obviousness analysis permits objective evidence such as unexpected results; architecture-only additions have reached diminishing returns.</w:t>
            </w:r>
          </w:p>
        </w:tc>
      </w:tr>
    </w:tbl>
    <w:p>
      <w:pPr>
        <w:pStyle w:val="Heading1"/>
      </w:pPr>
      <w:r>
        <w:t>Document Map</w:t>
      </w:r>
    </w:p>
    <w:tbl>
      <w:tblPr>
        <w:tblStyle w:val="TableGrid"/>
        <w:tblW w:type="auto" w:w="0"/>
        <w:jc w:val="center"/>
        <w:tblLook w:firstColumn="1" w:firstRow="1" w:lastColumn="0" w:lastRow="0" w:noHBand="0" w:noVBand="1" w:val="04A0"/>
      </w:tblPr>
      <w:tblGrid>
        <w:gridCol w:w="4997"/>
        <w:gridCol w:w="4997"/>
      </w:tblGrid>
      <w:tr>
        <w:tc>
          <w:tcPr>
            <w:tcW w:type="dxa" w:w="4968"/>
            <w:shd w:fill="DCE6F1"/>
            <w:tcMar>
              <w:top w:w="80" w:type="dxa"/>
              <w:start w:w="100" w:type="dxa"/>
              <w:bottom w:w="80" w:type="dxa"/>
              <w:end w:w="100" w:type="dxa"/>
            </w:tcMar>
            <w:vAlign w:val="center"/>
          </w:tcPr>
          <w:p>
            <w:r>
              <w:rPr>
                <w:b/>
                <w:sz w:val="15"/>
              </w:rPr>
              <w:t>Sections 1–10</w:t>
            </w:r>
          </w:p>
        </w:tc>
        <w:tc>
          <w:tcPr>
            <w:tcW w:type="dxa" w:w="4968"/>
            <w:shd w:fill="DCE6F1"/>
            <w:tcMar>
              <w:top w:w="80" w:type="dxa"/>
              <w:start w:w="100" w:type="dxa"/>
              <w:bottom w:w="80" w:type="dxa"/>
              <w:end w:w="100" w:type="dxa"/>
            </w:tcMar>
            <w:vAlign w:val="center"/>
          </w:tcPr>
          <w:p>
            <w:r>
              <w:rPr>
                <w:b/>
                <w:sz w:val="15"/>
              </w:rPr>
              <w:t>Sections 11–19</w:t>
            </w:r>
          </w:p>
        </w:tc>
      </w:tr>
      <w:tr>
        <w:tc>
          <w:tcPr>
            <w:tcW w:type="dxa" w:w="4968"/>
            <w:tcMar>
              <w:top w:w="80" w:type="dxa"/>
              <w:start w:w="100" w:type="dxa"/>
              <w:bottom w:w="80" w:type="dxa"/>
              <w:end w:w="100" w:type="dxa"/>
            </w:tcMar>
            <w:vAlign w:val="top"/>
          </w:tcPr>
          <w:p>
            <w:r>
              <w:rPr>
                <w:sz w:val="15"/>
              </w:rPr>
              <w:t>1. Project identity and easy explanation</w:t>
            </w:r>
          </w:p>
        </w:tc>
        <w:tc>
          <w:tcPr>
            <w:tcW w:type="dxa" w:w="4968"/>
            <w:tcMar>
              <w:top w:w="80" w:type="dxa"/>
              <w:start w:w="100" w:type="dxa"/>
              <w:bottom w:w="80" w:type="dxa"/>
              <w:end w:w="100" w:type="dxa"/>
            </w:tcMar>
            <w:vAlign w:val="top"/>
          </w:tcPr>
          <w:p>
            <w:r>
              <w:rPr>
                <w:sz w:val="15"/>
              </w:rPr>
              <w:t>11. Metrics, success gates, and kill criteria</w:t>
            </w:r>
          </w:p>
        </w:tc>
      </w:tr>
      <w:tr>
        <w:tc>
          <w:tcPr>
            <w:tcW w:type="dxa" w:w="4968"/>
            <w:tcMar>
              <w:top w:w="80" w:type="dxa"/>
              <w:start w:w="100" w:type="dxa"/>
              <w:bottom w:w="80" w:type="dxa"/>
              <w:end w:w="100" w:type="dxa"/>
            </w:tcMar>
            <w:vAlign w:val="top"/>
          </w:tcPr>
          <w:p>
            <w:r>
              <w:rPr>
                <w:sz w:val="15"/>
              </w:rPr>
              <w:t>2. Problem definition and industry baseline</w:t>
            </w:r>
          </w:p>
        </w:tc>
        <w:tc>
          <w:tcPr>
            <w:tcW w:type="dxa" w:w="4968"/>
            <w:tcMar>
              <w:top w:w="80" w:type="dxa"/>
              <w:start w:w="100" w:type="dxa"/>
              <w:bottom w:w="80" w:type="dxa"/>
              <w:end w:w="100" w:type="dxa"/>
            </w:tcMar>
            <w:vAlign w:val="top"/>
          </w:tcPr>
          <w:p>
            <w:r>
              <w:rPr>
                <w:sz w:val="15"/>
              </w:rPr>
              <w:t>12. Demo/dashboard flow</w:t>
            </w:r>
          </w:p>
        </w:tc>
      </w:tr>
      <w:tr>
        <w:tc>
          <w:tcPr>
            <w:tcW w:type="dxa" w:w="4968"/>
            <w:tcMar>
              <w:top w:w="80" w:type="dxa"/>
              <w:start w:w="100" w:type="dxa"/>
              <w:bottom w:w="80" w:type="dxa"/>
              <w:end w:w="100" w:type="dxa"/>
            </w:tcMar>
            <w:vAlign w:val="top"/>
          </w:tcPr>
          <w:p>
            <w:r>
              <w:rPr>
                <w:sz w:val="15"/>
              </w:rPr>
              <w:t>3. Final scope and patent boundary</w:t>
            </w:r>
          </w:p>
        </w:tc>
        <w:tc>
          <w:tcPr>
            <w:tcW w:type="dxa" w:w="4968"/>
            <w:tcMar>
              <w:top w:w="80" w:type="dxa"/>
              <w:start w:w="100" w:type="dxa"/>
              <w:bottom w:w="80" w:type="dxa"/>
              <w:end w:w="100" w:type="dxa"/>
            </w:tcMar>
            <w:vAlign w:val="top"/>
          </w:tcPr>
          <w:p>
            <w:r>
              <w:rPr>
                <w:sz w:val="15"/>
              </w:rPr>
              <w:t>13. Patent landscape and patentability position</w:t>
            </w:r>
          </w:p>
        </w:tc>
      </w:tr>
      <w:tr>
        <w:tc>
          <w:tcPr>
            <w:tcW w:type="dxa" w:w="4968"/>
            <w:tcMar>
              <w:top w:w="80" w:type="dxa"/>
              <w:start w:w="100" w:type="dxa"/>
              <w:bottom w:w="80" w:type="dxa"/>
              <w:end w:w="100" w:type="dxa"/>
            </w:tcMar>
            <w:vAlign w:val="top"/>
          </w:tcPr>
          <w:p>
            <w:r>
              <w:rPr>
                <w:sz w:val="15"/>
              </w:rPr>
              <w:t>4. Frozen system architecture and flow</w:t>
            </w:r>
          </w:p>
        </w:tc>
        <w:tc>
          <w:tcPr>
            <w:tcW w:type="dxa" w:w="4968"/>
            <w:tcMar>
              <w:top w:w="80" w:type="dxa"/>
              <w:start w:w="100" w:type="dxa"/>
              <w:bottom w:w="80" w:type="dxa"/>
              <w:end w:w="100" w:type="dxa"/>
            </w:tcMar>
            <w:vAlign w:val="top"/>
          </w:tcPr>
          <w:p>
            <w:r>
              <w:rPr>
                <w:sz w:val="15"/>
              </w:rPr>
              <w:t>14. Illustrative claim strategy</w:t>
            </w:r>
          </w:p>
        </w:tc>
      </w:tr>
      <w:tr>
        <w:tc>
          <w:tcPr>
            <w:tcW w:type="dxa" w:w="4968"/>
            <w:tcMar>
              <w:top w:w="80" w:type="dxa"/>
              <w:start w:w="100" w:type="dxa"/>
              <w:bottom w:w="80" w:type="dxa"/>
              <w:end w:w="100" w:type="dxa"/>
            </w:tcMar>
            <w:vAlign w:val="top"/>
          </w:tcPr>
          <w:p>
            <w:r>
              <w:rPr>
                <w:sz w:val="15"/>
              </w:rPr>
              <w:t>5. Detailed stage-by-stage mechanism</w:t>
            </w:r>
          </w:p>
        </w:tc>
        <w:tc>
          <w:tcPr>
            <w:tcW w:type="dxa" w:w="4968"/>
            <w:tcMar>
              <w:top w:w="80" w:type="dxa"/>
              <w:start w:w="100" w:type="dxa"/>
              <w:bottom w:w="80" w:type="dxa"/>
              <w:end w:w="100" w:type="dxa"/>
            </w:tcMar>
            <w:vAlign w:val="top"/>
          </w:tcPr>
          <w:p>
            <w:r>
              <w:rPr>
                <w:sz w:val="15"/>
              </w:rPr>
              <w:t>15. Jurisdiction and technical-effect framing</w:t>
            </w:r>
          </w:p>
        </w:tc>
      </w:tr>
      <w:tr>
        <w:tc>
          <w:tcPr>
            <w:tcW w:type="dxa" w:w="4968"/>
            <w:tcMar>
              <w:top w:w="80" w:type="dxa"/>
              <w:start w:w="100" w:type="dxa"/>
              <w:bottom w:w="80" w:type="dxa"/>
              <w:end w:w="100" w:type="dxa"/>
            </w:tcMar>
            <w:vAlign w:val="top"/>
          </w:tcPr>
          <w:p>
            <w:r>
              <w:rPr>
                <w:sz w:val="15"/>
              </w:rPr>
              <w:t>6. Mathematical model and data structures</w:t>
            </w:r>
          </w:p>
        </w:tc>
        <w:tc>
          <w:tcPr>
            <w:tcW w:type="dxa" w:w="4968"/>
            <w:tcMar>
              <w:top w:w="80" w:type="dxa"/>
              <w:start w:w="100" w:type="dxa"/>
              <w:bottom w:w="80" w:type="dxa"/>
              <w:end w:w="100" w:type="dxa"/>
            </w:tcMar>
            <w:vAlign w:val="top"/>
          </w:tcPr>
          <w:p>
            <w:r>
              <w:rPr>
                <w:sz w:val="15"/>
              </w:rPr>
              <w:t>16. Risks and mitigations</w:t>
            </w:r>
          </w:p>
        </w:tc>
      </w:tr>
      <w:tr>
        <w:tc>
          <w:tcPr>
            <w:tcW w:type="dxa" w:w="4968"/>
            <w:tcMar>
              <w:top w:w="80" w:type="dxa"/>
              <w:start w:w="100" w:type="dxa"/>
              <w:bottom w:w="80" w:type="dxa"/>
              <w:end w:w="100" w:type="dxa"/>
            </w:tcMar>
            <w:vAlign w:val="top"/>
          </w:tcPr>
          <w:p>
            <w:r>
              <w:rPr>
                <w:sz w:val="15"/>
              </w:rPr>
              <w:t>7. Reference algorithm and pseudocode</w:t>
            </w:r>
          </w:p>
        </w:tc>
        <w:tc>
          <w:tcPr>
            <w:tcW w:type="dxa" w:w="4968"/>
            <w:tcMar>
              <w:top w:w="80" w:type="dxa"/>
              <w:start w:w="100" w:type="dxa"/>
              <w:bottom w:w="80" w:type="dxa"/>
              <w:end w:w="100" w:type="dxa"/>
            </w:tcMar>
            <w:vAlign w:val="top"/>
          </w:tcPr>
          <w:p>
            <w:r>
              <w:rPr>
                <w:sz w:val="15"/>
              </w:rPr>
              <w:t>17. Implementation roadmap</w:t>
            </w:r>
          </w:p>
        </w:tc>
      </w:tr>
      <w:tr>
        <w:tc>
          <w:tcPr>
            <w:tcW w:type="dxa" w:w="4968"/>
            <w:tcMar>
              <w:top w:w="80" w:type="dxa"/>
              <w:start w:w="100" w:type="dxa"/>
              <w:bottom w:w="80" w:type="dxa"/>
              <w:end w:w="100" w:type="dxa"/>
            </w:tcMar>
            <w:vAlign w:val="top"/>
          </w:tcPr>
          <w:p>
            <w:r>
              <w:rPr>
                <w:sz w:val="15"/>
              </w:rPr>
              <w:t>8. Implementation architecture and codebase</w:t>
            </w:r>
          </w:p>
        </w:tc>
        <w:tc>
          <w:tcPr>
            <w:tcW w:type="dxa" w:w="4968"/>
            <w:tcMar>
              <w:top w:w="80" w:type="dxa"/>
              <w:start w:w="100" w:type="dxa"/>
              <w:bottom w:w="80" w:type="dxa"/>
              <w:end w:w="100" w:type="dxa"/>
            </w:tcMar>
            <w:vAlign w:val="top"/>
          </w:tcPr>
          <w:p>
            <w:r>
              <w:rPr>
                <w:sz w:val="15"/>
              </w:rPr>
              <w:t>18. Freeze checklist and what not to add</w:t>
            </w:r>
          </w:p>
        </w:tc>
      </w:tr>
      <w:tr>
        <w:tc>
          <w:tcPr>
            <w:tcW w:type="dxa" w:w="4968"/>
            <w:tcMar>
              <w:top w:w="80" w:type="dxa"/>
              <w:start w:w="100" w:type="dxa"/>
              <w:bottom w:w="80" w:type="dxa"/>
              <w:end w:w="100" w:type="dxa"/>
            </w:tcMar>
            <w:vAlign w:val="top"/>
          </w:tcPr>
          <w:p>
            <w:r>
              <w:rPr>
                <w:sz w:val="15"/>
              </w:rPr>
              <w:t>9. MVP build plan and technology stack</w:t>
            </w:r>
          </w:p>
        </w:tc>
        <w:tc>
          <w:tcPr>
            <w:tcW w:type="dxa" w:w="4968"/>
            <w:tcMar>
              <w:top w:w="80" w:type="dxa"/>
              <w:start w:w="100" w:type="dxa"/>
              <w:bottom w:w="80" w:type="dxa"/>
              <w:end w:w="100" w:type="dxa"/>
            </w:tcMar>
            <w:vAlign w:val="top"/>
          </w:tcPr>
          <w:p>
            <w:r>
              <w:rPr>
                <w:sz w:val="15"/>
              </w:rPr>
              <w:t>19. References</w:t>
            </w:r>
          </w:p>
        </w:tc>
      </w:tr>
      <w:tr>
        <w:tc>
          <w:tcPr>
            <w:tcW w:type="dxa" w:w="4968"/>
            <w:tcMar>
              <w:top w:w="80" w:type="dxa"/>
              <w:start w:w="100" w:type="dxa"/>
              <w:bottom w:w="80" w:type="dxa"/>
              <w:end w:w="100" w:type="dxa"/>
            </w:tcMar>
            <w:vAlign w:val="top"/>
          </w:tcPr>
          <w:p>
            <w:r>
              <w:rPr>
                <w:sz w:val="15"/>
              </w:rPr>
              <w:t>10. Datasets, model pairs, and experiment design</w:t>
            </w:r>
          </w:p>
        </w:tc>
        <w:tc>
          <w:tcPr>
            <w:tcW w:type="dxa" w:w="4968"/>
            <w:tcMar>
              <w:top w:w="80" w:type="dxa"/>
              <w:start w:w="100" w:type="dxa"/>
              <w:bottom w:w="80" w:type="dxa"/>
              <w:end w:w="100" w:type="dxa"/>
            </w:tcMar>
            <w:vAlign w:val="top"/>
          </w:tcPr>
          <w:p>
            <w:r>
              <w:rPr>
                <w:sz w:val="15"/>
              </w:rPr>
            </w:r>
          </w:p>
        </w:tc>
      </w:tr>
    </w:tbl>
    <w:p>
      <w:pPr>
        <w:pStyle w:val="Heading1"/>
      </w:pPr>
      <w:r>
        <w:t>1. Project Identity and Easy Explanation</w:t>
      </w:r>
    </w:p>
    <w:tbl>
      <w:tblPr>
        <w:tblStyle w:val="TableGrid"/>
        <w:tblW w:type="auto" w:w="0"/>
        <w:jc w:val="center"/>
        <w:tblLook w:firstColumn="1" w:firstRow="1" w:lastColumn="0" w:lastRow="0" w:noHBand="0" w:noVBand="1" w:val="04A0"/>
      </w:tblPr>
      <w:tblGrid>
        <w:gridCol w:w="4997"/>
        <w:gridCol w:w="4997"/>
      </w:tblGrid>
      <w:tr>
        <w:tc>
          <w:tcPr>
            <w:tcW w:type="dxa" w:w="2592"/>
            <w:shd w:fill="DCE6F1"/>
            <w:tcMar>
              <w:top w:w="80" w:type="dxa"/>
              <w:start w:w="100" w:type="dxa"/>
              <w:bottom w:w="80" w:type="dxa"/>
              <w:end w:w="100" w:type="dxa"/>
            </w:tcMar>
            <w:vAlign w:val="center"/>
          </w:tcPr>
          <w:p>
            <w:r>
              <w:rPr>
                <w:b/>
                <w:sz w:val="18"/>
              </w:rPr>
              <w:t>Item</w:t>
            </w:r>
          </w:p>
        </w:tc>
        <w:tc>
          <w:tcPr>
            <w:tcW w:type="dxa" w:w="7344"/>
            <w:shd w:fill="DCE6F1"/>
            <w:tcMar>
              <w:top w:w="80" w:type="dxa"/>
              <w:start w:w="100" w:type="dxa"/>
              <w:bottom w:w="80" w:type="dxa"/>
              <w:end w:w="100" w:type="dxa"/>
            </w:tcMar>
            <w:vAlign w:val="center"/>
          </w:tcPr>
          <w:p>
            <w:r>
              <w:rPr>
                <w:b/>
                <w:sz w:val="18"/>
              </w:rPr>
              <w:t>Final value</w:t>
            </w:r>
          </w:p>
        </w:tc>
      </w:tr>
      <w:tr>
        <w:tc>
          <w:tcPr>
            <w:tcW w:type="dxa" w:w="2592"/>
            <w:tcMar>
              <w:top w:w="80" w:type="dxa"/>
              <w:start w:w="100" w:type="dxa"/>
              <w:bottom w:w="80" w:type="dxa"/>
              <w:end w:w="100" w:type="dxa"/>
            </w:tcMar>
            <w:vAlign w:val="top"/>
          </w:tcPr>
          <w:p>
            <w:r>
              <w:rPr>
                <w:sz w:val="18"/>
              </w:rPr>
              <w:t>Project name</w:t>
            </w:r>
          </w:p>
        </w:tc>
        <w:tc>
          <w:tcPr>
            <w:tcW w:type="dxa" w:w="7344"/>
            <w:tcMar>
              <w:top w:w="80" w:type="dxa"/>
              <w:start w:w="100" w:type="dxa"/>
              <w:bottom w:w="80" w:type="dxa"/>
              <w:end w:w="100" w:type="dxa"/>
            </w:tcMar>
            <w:vAlign w:val="top"/>
          </w:tcPr>
          <w:p>
            <w:r>
              <w:rPr>
                <w:sz w:val="18"/>
              </w:rPr>
              <w:t>TopoPatch</w:t>
            </w:r>
          </w:p>
        </w:tc>
      </w:tr>
      <w:tr>
        <w:tc>
          <w:tcPr>
            <w:tcW w:type="dxa" w:w="2592"/>
            <w:tcMar>
              <w:top w:w="80" w:type="dxa"/>
              <w:start w:w="100" w:type="dxa"/>
              <w:bottom w:w="80" w:type="dxa"/>
              <w:end w:w="100" w:type="dxa"/>
            </w:tcMar>
            <w:vAlign w:val="top"/>
          </w:tcPr>
          <w:p>
            <w:r>
              <w:rPr>
                <w:sz w:val="18"/>
              </w:rPr>
              <w:t>Frozen technical version</w:t>
            </w:r>
          </w:p>
        </w:tc>
        <w:tc>
          <w:tcPr>
            <w:tcW w:type="dxa" w:w="7344"/>
            <w:tcMar>
              <w:top w:w="80" w:type="dxa"/>
              <w:start w:w="100" w:type="dxa"/>
              <w:bottom w:w="80" w:type="dxa"/>
              <w:end w:w="100" w:type="dxa"/>
            </w:tcMar>
            <w:vAlign w:val="top"/>
          </w:tcPr>
          <w:p>
            <w:r>
              <w:t>TopoPatch-CMR v4.1</w:t>
            </w:r>
          </w:p>
        </w:tc>
      </w:tr>
      <w:tr>
        <w:tc>
          <w:tcPr>
            <w:tcW w:type="dxa" w:w="2592"/>
            <w:tcMar>
              <w:top w:w="80" w:type="dxa"/>
              <w:start w:w="100" w:type="dxa"/>
              <w:bottom w:w="80" w:type="dxa"/>
              <w:end w:w="100" w:type="dxa"/>
            </w:tcMar>
            <w:vAlign w:val="top"/>
          </w:tcPr>
          <w:p>
            <w:r>
              <w:rPr>
                <w:sz w:val="18"/>
              </w:rPr>
              <w:t>Full technical title</w:t>
            </w:r>
          </w:p>
        </w:tc>
        <w:tc>
          <w:tcPr>
            <w:tcW w:type="dxa" w:w="7344"/>
            <w:tcMar>
              <w:top w:w="80" w:type="dxa"/>
              <w:start w:w="100" w:type="dxa"/>
              <w:bottom w:w="80" w:type="dxa"/>
              <w:end w:w="100" w:type="dxa"/>
            </w:tcMar>
            <w:vAlign w:val="top"/>
          </w:tcPr>
          <w:p>
            <w:r>
              <w:rPr>
                <w:sz w:val="18"/>
              </w:rPr>
              <w:t>Counterexample-Guided, Barrier-Constrained Selective Migration of Vector Retrieval Indexes Across Embedding-Model Upgrades</w:t>
            </w:r>
          </w:p>
        </w:tc>
      </w:tr>
      <w:tr>
        <w:tc>
          <w:tcPr>
            <w:tcW w:type="dxa" w:w="2592"/>
            <w:tcMar>
              <w:top w:w="80" w:type="dxa"/>
              <w:start w:w="100" w:type="dxa"/>
              <w:bottom w:w="80" w:type="dxa"/>
              <w:end w:w="100" w:type="dxa"/>
            </w:tcMar>
            <w:vAlign w:val="top"/>
          </w:tcPr>
          <w:p>
            <w:r>
              <w:rPr>
                <w:sz w:val="18"/>
              </w:rPr>
              <w:t>Domain</w:t>
            </w:r>
          </w:p>
        </w:tc>
        <w:tc>
          <w:tcPr>
            <w:tcW w:type="dxa" w:w="7344"/>
            <w:tcMar>
              <w:top w:w="80" w:type="dxa"/>
              <w:start w:w="100" w:type="dxa"/>
              <w:bottom w:w="80" w:type="dxa"/>
              <w:end w:w="100" w:type="dxa"/>
            </w:tcMar>
            <w:vAlign w:val="top"/>
          </w:tcPr>
          <w:p>
            <w:r>
              <w:rPr>
                <w:sz w:val="18"/>
              </w:rPr>
              <w:t>Artificial Intelligence / Machine Learning Systems</w:t>
            </w:r>
          </w:p>
        </w:tc>
      </w:tr>
      <w:tr>
        <w:tc>
          <w:tcPr>
            <w:tcW w:type="dxa" w:w="2592"/>
            <w:tcMar>
              <w:top w:w="80" w:type="dxa"/>
              <w:start w:w="100" w:type="dxa"/>
              <w:bottom w:w="80" w:type="dxa"/>
              <w:end w:w="100" w:type="dxa"/>
            </w:tcMar>
            <w:vAlign w:val="top"/>
          </w:tcPr>
          <w:p>
            <w:r>
              <w:rPr>
                <w:sz w:val="18"/>
              </w:rPr>
              <w:t>Specialization</w:t>
            </w:r>
          </w:p>
        </w:tc>
        <w:tc>
          <w:tcPr>
            <w:tcW w:type="dxa" w:w="7344"/>
            <w:tcMar>
              <w:top w:w="80" w:type="dxa"/>
              <w:start w:w="100" w:type="dxa"/>
              <w:bottom w:w="80" w:type="dxa"/>
              <w:end w:w="100" w:type="dxa"/>
            </w:tcMar>
            <w:vAlign w:val="top"/>
          </w:tcPr>
          <w:p>
            <w:r>
              <w:rPr>
                <w:sz w:val="18"/>
              </w:rPr>
              <w:t>AI infrastructure, vector databases, ANN search, information retrieval, RAG infrastructure</w:t>
            </w:r>
          </w:p>
        </w:tc>
      </w:tr>
      <w:tr>
        <w:tc>
          <w:tcPr>
            <w:tcW w:type="dxa" w:w="2592"/>
            <w:tcMar>
              <w:top w:w="80" w:type="dxa"/>
              <w:start w:w="100" w:type="dxa"/>
              <w:bottom w:w="80" w:type="dxa"/>
              <w:end w:w="100" w:type="dxa"/>
            </w:tcMar>
            <w:vAlign w:val="top"/>
          </w:tcPr>
          <w:p>
            <w:r>
              <w:rPr>
                <w:sz w:val="18"/>
              </w:rPr>
              <w:t>Hardware</w:t>
            </w:r>
          </w:p>
        </w:tc>
        <w:tc>
          <w:tcPr>
            <w:tcW w:type="dxa" w:w="7344"/>
            <w:tcMar>
              <w:top w:w="80" w:type="dxa"/>
              <w:start w:w="100" w:type="dxa"/>
              <w:bottom w:w="80" w:type="dxa"/>
              <w:end w:w="100" w:type="dxa"/>
            </w:tcMar>
            <w:vAlign w:val="top"/>
          </w:tcPr>
          <w:p>
            <w:r>
              <w:rPr>
                <w:sz w:val="18"/>
              </w:rPr>
              <w:t>None required for MVP</w:t>
            </w:r>
          </w:p>
        </w:tc>
      </w:tr>
      <w:tr>
        <w:tc>
          <w:tcPr>
            <w:tcW w:type="dxa" w:w="2592"/>
            <w:tcMar>
              <w:top w:w="80" w:type="dxa"/>
              <w:start w:w="100" w:type="dxa"/>
              <w:bottom w:w="80" w:type="dxa"/>
              <w:end w:w="100" w:type="dxa"/>
            </w:tcMar>
            <w:vAlign w:val="top"/>
          </w:tcPr>
          <w:p>
            <w:r>
              <w:rPr>
                <w:sz w:val="18"/>
              </w:rPr>
              <w:t>Primary technical objective</w:t>
            </w:r>
          </w:p>
        </w:tc>
        <w:tc>
          <w:tcPr>
            <w:tcW w:type="dxa" w:w="7344"/>
            <w:tcMar>
              <w:top w:w="80" w:type="dxa"/>
              <w:start w:w="100" w:type="dxa"/>
              <w:bottom w:w="80" w:type="dxa"/>
              <w:end w:w="100" w:type="dxa"/>
            </w:tcMar>
            <w:vAlign w:val="top"/>
          </w:tcPr>
          <w:p>
            <w:r>
              <w:rPr>
                <w:sz w:val="18"/>
              </w:rPr>
              <w:t>Reduce embedding recomputation and ANN reconstruction during an embedding-model upgrade while preventing unsafe mixed-version retrieval states</w:t>
            </w:r>
          </w:p>
        </w:tc>
      </w:tr>
      <w:tr>
        <w:tc>
          <w:tcPr>
            <w:tcW w:type="dxa" w:w="2592"/>
            <w:tcMar>
              <w:top w:w="80" w:type="dxa"/>
              <w:start w:w="100" w:type="dxa"/>
              <w:bottom w:w="80" w:type="dxa"/>
              <w:end w:w="100" w:type="dxa"/>
            </w:tcMar>
            <w:vAlign w:val="top"/>
          </w:tcPr>
          <w:p>
            <w:r>
              <w:rPr>
                <w:sz w:val="18"/>
              </w:rPr>
              <w:t>Patent strategy</w:t>
            </w:r>
          </w:p>
        </w:tc>
        <w:tc>
          <w:tcPr>
            <w:tcW w:type="dxa" w:w="7344"/>
            <w:tcMar>
              <w:top w:w="80" w:type="dxa"/>
              <w:start w:w="100" w:type="dxa"/>
              <w:bottom w:w="80" w:type="dxa"/>
              <w:end w:w="100" w:type="dxa"/>
            </w:tcMar>
            <w:vAlign w:val="top"/>
          </w:tcPr>
          <w:p>
            <w:r>
              <w:rPr>
                <w:sz w:val="18"/>
              </w:rPr>
              <w:t>Narrow technical computer/database operation; do not claim generic “partial migration” or generic AI logic</w:t>
            </w:r>
          </w:p>
        </w:tc>
      </w:tr>
    </w:tbl>
    <w:p>
      <w:pPr>
        <w:pStyle w:val="Heading2"/>
      </w:pPr>
      <w:r>
        <w:t>1.1 Easy-language explanation</w:t>
      </w:r>
    </w:p>
    <w:p>
      <w:r>
        <w:t>A vector database stores AI-generated numerical representations called embeddings. If the embedding model is upgraded, the old vectors may no longer work correctly with the new model. Today, a safe production approach is often to generate new embeddings for every stored item and build/populate a new vector representation before cutover. That can be expensive at large scale.</w:t>
      </w:r>
    </w:p>
    <w:p>
      <w:r>
        <w:t xml:space="preserve">TopoPatch tries to avoid doing all of that work. It asks: </w:t>
      </w:r>
      <w:r>
        <w:rPr>
          <w:b/>
        </w:rPr>
        <w:t>“Which retrieval relationships actually become unsafe after the model change, and what is the smallest amount of real embedding/index work needed to repair them?”</w:t>
      </w:r>
    </w:p>
    <w:p>
      <w:pPr>
        <w:spacing w:before="80" w:after="160"/>
        <w:ind w:left="360" w:right="360"/>
        <w:shd w:fill="F3F5F7"/>
      </w:pPr>
      <w:r>
        <w:rPr>
          <w:rFonts w:ascii="Liberation Mono" w:hAnsi="Liberation Mono"/>
          <w:sz w:val="17"/>
        </w:rPr>
        <w:t>Model A index</w:t>
        <w:br/>
        <w:t xml:space="preserve">    ↓ model upgrade</w:t>
        <w:br/>
        <w:t>Probe retrieval behavior</w:t>
        <w:br/>
        <w:t xml:space="preserve">    ↓</w:t>
        <w:br/>
        <w:t>Find failed top-k / ranking constraints</w:t>
        <w:br/>
        <w:t xml:space="preserve">    ↓</w:t>
        <w:br/>
        <w:t>Build witness graph: which indexed objects can explain/fix each failure</w:t>
        <w:br/>
        <w:t xml:space="preserve">    ↓</w:t>
        <w:br/>
        <w:t>Choose a low-cost repair action</w:t>
        <w:br/>
        <w:t xml:space="preserve">    ↓</w:t>
        <w:br/>
        <w:t>Predict the mixed-version state</w:t>
        <w:br/>
        <w:t xml:space="preserve">    ↓</w:t>
        <w:br/>
        <w:t>Safety barrier: can this state serve protected queries safely?</w:t>
        <w:br/>
        <w:t xml:space="preserve">    ├─ YES → commit only selected re-embeddings + local ANN repairs</w:t>
        <w:br/>
        <w:t xml:space="preserve">    └─ NO  → expand repair or use safe fallback</w:t>
        <w:br/>
        <w:t xml:space="preserve">    ↓</w:t>
        <w:br/>
        <w:t>Repeat until migration objective is reached</w:t>
      </w:r>
    </w:p>
    <w:p>
      <w:pPr>
        <w:pStyle w:val="Heading1"/>
      </w:pPr>
      <w:r>
        <w:t>2. Technical Problem and Industry Baseline</w:t>
      </w:r>
    </w:p>
    <w:p>
      <w:pPr>
        <w:pStyle w:val="Heading2"/>
      </w:pPr>
      <w:r>
        <w:t>2.1 The technical problem</w:t>
      </w:r>
    </w:p>
    <w:p>
      <w:r>
        <w:t>Embedding vectors are model-version dependent. A vector generated by Model A and a query generated by Model B are generally not guaranteed to have meaningful distances, and the models may even output different dimensions. The migration problem is therefore not just a metadata update; it can require expensive embedding forward passes, index writes, graph/partition reconstruction, validation, duplicate storage, dual writes, and cutover management.</w:t>
      </w:r>
    </w:p>
    <w:p>
      <w:pPr>
        <w:pStyle w:val="Heading2"/>
      </w:pPr>
      <w:r>
        <w:t>2.2 What production systems do today</w:t>
      </w:r>
    </w:p>
    <w:p>
      <w:r>
        <w:t>Qdrant’s current migration tutorial states that switching embedding models requires re-embedding all vectors. Its blue-green approach creates a second collection, re-embeds each point in the background, then switches traffic. Its newer named-vector workflow avoids duplicating payloads but still populates the new embedding for each point before deleting the old vector. Weaviate similarly presents collection/vectorizer migration around generating new vectors and switching deployment after evaluation.</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DCE6F1"/>
            <w:tcMar>
              <w:top w:w="80" w:type="dxa"/>
              <w:start w:w="100" w:type="dxa"/>
              <w:bottom w:w="80" w:type="dxa"/>
              <w:end w:w="100" w:type="dxa"/>
            </w:tcMar>
            <w:vAlign w:val="center"/>
          </w:tcPr>
          <w:p>
            <w:r>
              <w:rPr>
                <w:b/>
                <w:sz w:val="17"/>
              </w:rPr>
              <w:t>Baseline</w:t>
            </w:r>
          </w:p>
        </w:tc>
        <w:tc>
          <w:tcPr>
            <w:tcW w:type="dxa" w:w="4032"/>
            <w:shd w:fill="DCE6F1"/>
            <w:tcMar>
              <w:top w:w="80" w:type="dxa"/>
              <w:start w:w="100" w:type="dxa"/>
              <w:bottom w:w="80" w:type="dxa"/>
              <w:end w:w="100" w:type="dxa"/>
            </w:tcMar>
            <w:vAlign w:val="center"/>
          </w:tcPr>
          <w:p>
            <w:r>
              <w:rPr>
                <w:b/>
                <w:sz w:val="17"/>
              </w:rPr>
              <w:t>What it does</w:t>
            </w:r>
          </w:p>
        </w:tc>
        <w:tc>
          <w:tcPr>
            <w:tcW w:type="dxa" w:w="4032"/>
            <w:shd w:fill="DCE6F1"/>
            <w:tcMar>
              <w:top w:w="80" w:type="dxa"/>
              <w:start w:w="100" w:type="dxa"/>
              <w:bottom w:w="80" w:type="dxa"/>
              <w:end w:w="100" w:type="dxa"/>
            </w:tcMar>
            <w:vAlign w:val="center"/>
          </w:tcPr>
          <w:p>
            <w:r>
              <w:rPr>
                <w:b/>
                <w:sz w:val="17"/>
              </w:rPr>
              <w:t>Why TopoPatch does not claim it</w:t>
            </w:r>
          </w:p>
        </w:tc>
      </w:tr>
      <w:tr>
        <w:tc>
          <w:tcPr>
            <w:tcW w:type="dxa" w:w="2016"/>
            <w:tcMar>
              <w:top w:w="80" w:type="dxa"/>
              <w:start w:w="100" w:type="dxa"/>
              <w:bottom w:w="80" w:type="dxa"/>
              <w:end w:w="100" w:type="dxa"/>
            </w:tcMar>
            <w:vAlign w:val="top"/>
          </w:tcPr>
          <w:p>
            <w:r>
              <w:rPr>
                <w:sz w:val="17"/>
              </w:rPr>
              <w:t>Full re-embed / blue-green</w:t>
            </w:r>
          </w:p>
        </w:tc>
        <w:tc>
          <w:tcPr>
            <w:tcW w:type="dxa" w:w="4032"/>
            <w:tcMar>
              <w:top w:w="80" w:type="dxa"/>
              <w:start w:w="100" w:type="dxa"/>
              <w:bottom w:w="80" w:type="dxa"/>
              <w:end w:w="100" w:type="dxa"/>
            </w:tcMar>
            <w:vAlign w:val="top"/>
          </w:tcPr>
          <w:p>
            <w:r>
              <w:rPr>
                <w:sz w:val="17"/>
              </w:rPr>
              <w:t>Generate Model-B vector for every item, build/populate B representation, cut over</w:t>
            </w:r>
          </w:p>
        </w:tc>
        <w:tc>
          <w:tcPr>
            <w:tcW w:type="dxa" w:w="4032"/>
            <w:tcMar>
              <w:top w:w="80" w:type="dxa"/>
              <w:start w:w="100" w:type="dxa"/>
              <w:bottom w:w="80" w:type="dxa"/>
              <w:end w:w="100" w:type="dxa"/>
            </w:tcMar>
            <w:vAlign w:val="top"/>
          </w:tcPr>
          <w:p>
            <w:r>
              <w:rPr>
                <w:sz w:val="17"/>
              </w:rPr>
              <w:t>Known production baseline; high cost but robust.</w:t>
            </w:r>
          </w:p>
        </w:tc>
      </w:tr>
      <w:tr>
        <w:tc>
          <w:tcPr>
            <w:tcW w:type="dxa" w:w="2016"/>
            <w:tcMar>
              <w:top w:w="80" w:type="dxa"/>
              <w:start w:w="100" w:type="dxa"/>
              <w:bottom w:w="80" w:type="dxa"/>
              <w:end w:w="100" w:type="dxa"/>
            </w:tcMar>
            <w:vAlign w:val="top"/>
          </w:tcPr>
          <w:p>
            <w:r>
              <w:rPr>
                <w:sz w:val="17"/>
              </w:rPr>
              <w:t>Named-vector backfill</w:t>
            </w:r>
          </w:p>
        </w:tc>
        <w:tc>
          <w:tcPr>
            <w:tcW w:type="dxa" w:w="4032"/>
            <w:tcMar>
              <w:top w:w="80" w:type="dxa"/>
              <w:start w:w="100" w:type="dxa"/>
              <w:bottom w:w="80" w:type="dxa"/>
              <w:end w:w="100" w:type="dxa"/>
            </w:tcMar>
            <w:vAlign w:val="top"/>
          </w:tcPr>
          <w:p>
            <w:r>
              <w:rPr>
                <w:sz w:val="17"/>
              </w:rPr>
              <w:t>Keep A and B named vectors during transition; backfill B for all points</w:t>
            </w:r>
          </w:p>
        </w:tc>
        <w:tc>
          <w:tcPr>
            <w:tcW w:type="dxa" w:w="4032"/>
            <w:tcMar>
              <w:top w:w="80" w:type="dxa"/>
              <w:start w:w="100" w:type="dxa"/>
              <w:bottom w:w="80" w:type="dxa"/>
              <w:end w:w="100" w:type="dxa"/>
            </w:tcMar>
            <w:vAlign w:val="top"/>
          </w:tcPr>
          <w:p>
            <w:r>
              <w:rPr>
                <w:sz w:val="17"/>
              </w:rPr>
              <w:t>Known operational migration pattern.</w:t>
            </w:r>
          </w:p>
        </w:tc>
      </w:tr>
      <w:tr>
        <w:tc>
          <w:tcPr>
            <w:tcW w:type="dxa" w:w="2016"/>
            <w:tcMar>
              <w:top w:w="80" w:type="dxa"/>
              <w:start w:w="100" w:type="dxa"/>
              <w:bottom w:w="80" w:type="dxa"/>
              <w:end w:w="100" w:type="dxa"/>
            </w:tcMar>
            <w:vAlign w:val="top"/>
          </w:tcPr>
          <w:p>
            <w:r>
              <w:rPr>
                <w:sz w:val="17"/>
              </w:rPr>
              <w:t>Backward/forward compatibility</w:t>
            </w:r>
          </w:p>
        </w:tc>
        <w:tc>
          <w:tcPr>
            <w:tcW w:type="dxa" w:w="4032"/>
            <w:tcMar>
              <w:top w:w="80" w:type="dxa"/>
              <w:start w:w="100" w:type="dxa"/>
              <w:bottom w:w="80" w:type="dxa"/>
              <w:end w:w="100" w:type="dxa"/>
            </w:tcMar>
            <w:vAlign w:val="top"/>
          </w:tcPr>
          <w:p>
            <w:r>
              <w:rPr>
                <w:sz w:val="17"/>
              </w:rPr>
              <w:t>Train or transform embeddings so versions remain compatible</w:t>
            </w:r>
          </w:p>
        </w:tc>
        <w:tc>
          <w:tcPr>
            <w:tcW w:type="dxa" w:w="4032"/>
            <w:tcMar>
              <w:top w:w="80" w:type="dxa"/>
              <w:start w:w="100" w:type="dxa"/>
              <w:bottom w:w="80" w:type="dxa"/>
              <w:end w:w="100" w:type="dxa"/>
            </w:tcMar>
            <w:vAlign w:val="top"/>
          </w:tcPr>
          <w:p>
            <w:r>
              <w:rPr>
                <w:sz w:val="17"/>
              </w:rPr>
              <w:t>Established research area; not core novelty.</w:t>
            </w:r>
          </w:p>
        </w:tc>
      </w:tr>
      <w:tr>
        <w:tc>
          <w:tcPr>
            <w:tcW w:type="dxa" w:w="2016"/>
            <w:tcMar>
              <w:top w:w="80" w:type="dxa"/>
              <w:start w:w="100" w:type="dxa"/>
              <w:bottom w:w="80" w:type="dxa"/>
              <w:end w:w="100" w:type="dxa"/>
            </w:tcMar>
            <w:vAlign w:val="top"/>
          </w:tcPr>
          <w:p>
            <w:r>
              <w:rPr>
                <w:sz w:val="17"/>
              </w:rPr>
              <w:t>Selective reindex after source changes</w:t>
            </w:r>
          </w:p>
        </w:tc>
        <w:tc>
          <w:tcPr>
            <w:tcW w:type="dxa" w:w="4032"/>
            <w:tcMar>
              <w:top w:w="80" w:type="dxa"/>
              <w:start w:w="100" w:type="dxa"/>
              <w:bottom w:w="80" w:type="dxa"/>
              <w:end w:w="100" w:type="dxa"/>
            </w:tcMar>
            <w:vAlign w:val="top"/>
          </w:tcPr>
          <w:p>
            <w:r>
              <w:rPr>
                <w:sz w:val="17"/>
              </w:rPr>
              <w:t>Re-embed only documents/chunks whose raw content changed</w:t>
            </w:r>
          </w:p>
        </w:tc>
        <w:tc>
          <w:tcPr>
            <w:tcW w:type="dxa" w:w="4032"/>
            <w:tcMar>
              <w:top w:w="80" w:type="dxa"/>
              <w:start w:w="100" w:type="dxa"/>
              <w:bottom w:w="80" w:type="dxa"/>
              <w:end w:w="100" w:type="dxa"/>
            </w:tcMar>
            <w:vAlign w:val="top"/>
          </w:tcPr>
          <w:p>
            <w:r>
              <w:rPr>
                <w:sz w:val="17"/>
              </w:rPr>
              <w:t>Already claimed in pending vector/RAG patents.</w:t>
            </w:r>
          </w:p>
        </w:tc>
      </w:tr>
      <w:tr>
        <w:tc>
          <w:tcPr>
            <w:tcW w:type="dxa" w:w="2016"/>
            <w:tcMar>
              <w:top w:w="80" w:type="dxa"/>
              <w:start w:w="100" w:type="dxa"/>
              <w:bottom w:w="80" w:type="dxa"/>
              <w:end w:w="100" w:type="dxa"/>
            </w:tcMar>
            <w:vAlign w:val="top"/>
          </w:tcPr>
          <w:p>
            <w:r>
              <w:rPr>
                <w:sz w:val="17"/>
              </w:rPr>
              <w:t>Incremental ANN repair</w:t>
            </w:r>
          </w:p>
        </w:tc>
        <w:tc>
          <w:tcPr>
            <w:tcW w:type="dxa" w:w="4032"/>
            <w:tcMar>
              <w:top w:w="80" w:type="dxa"/>
              <w:start w:w="100" w:type="dxa"/>
              <w:bottom w:w="80" w:type="dxa"/>
              <w:end w:w="100" w:type="dxa"/>
            </w:tcMar>
            <w:vAlign w:val="top"/>
          </w:tcPr>
          <w:p>
            <w:r>
              <w:rPr>
                <w:sz w:val="17"/>
              </w:rPr>
              <w:t>Modify only affected graph/partition structure after updates</w:t>
            </w:r>
          </w:p>
        </w:tc>
        <w:tc>
          <w:tcPr>
            <w:tcW w:type="dxa" w:w="4032"/>
            <w:tcMar>
              <w:top w:w="80" w:type="dxa"/>
              <w:start w:w="100" w:type="dxa"/>
              <w:bottom w:w="80" w:type="dxa"/>
              <w:end w:w="100" w:type="dxa"/>
            </w:tcMar>
            <w:vAlign w:val="top"/>
          </w:tcPr>
          <w:p>
            <w:r>
              <w:rPr>
                <w:sz w:val="17"/>
              </w:rPr>
              <w:t>Known in SPFresh/Greator and related work.</w:t>
            </w:r>
          </w:p>
        </w:tc>
      </w:tr>
    </w:tbl>
    <w:p>
      <w:pPr>
        <w:pStyle w:val="Heading1"/>
      </w:pPr>
      <w:r>
        <w:t>3. Final Scope and Patent Boundary</w:t>
      </w:r>
    </w:p>
    <w:tbl>
      <w:tblPr>
        <w:tblStyle w:val="TableGrid"/>
        <w:tblW w:type="auto" w:w="0"/>
        <w:tblLook w:firstColumn="1" w:firstRow="1" w:lastColumn="0" w:lastRow="0" w:noHBand="0" w:noVBand="1" w:val="04A0"/>
      </w:tblPr>
      <w:tblGrid>
        <w:gridCol w:w="9994"/>
      </w:tblGrid>
      <w:tr>
        <w:tc>
          <w:tcPr>
            <w:tcW w:type="dxa" w:w="9994"/>
            <w:shd w:fill="FDE9D9"/>
            <w:tcMar>
              <w:top w:w="140" w:type="dxa"/>
              <w:start w:w="160" w:type="dxa"/>
              <w:bottom w:w="140" w:type="dxa"/>
              <w:end w:w="160" w:type="dxa"/>
            </w:tcMar>
          </w:tcPr>
          <w:p>
            <w:r>
              <w:rPr>
                <w:b/>
                <w:sz w:val="21"/>
              </w:rPr>
              <w:t>WHAT THE PROJECT IS NOT</w:t>
            </w:r>
            <w:r>
              <w:br/>
              <w:t>TopoPatch is not “AI that decides what to update,” not a generic partial reindexer, not a new top-k certificate, not a global embedding adapter, not a new ANN update algorithm, and not a local embedding-patch invention. The filing story must remain tied to a specific migration state machine and its computer/database operations.</w:t>
            </w:r>
          </w:p>
        </w:tc>
      </w:tr>
    </w:tbl>
    <w:tbl>
      <w:tblPr>
        <w:tblStyle w:val="TableGrid"/>
        <w:tblW w:type="auto" w:w="0"/>
        <w:jc w:val="center"/>
        <w:tblLook w:firstColumn="1" w:firstRow="1" w:lastColumn="0" w:lastRow="0" w:noHBand="0" w:noVBand="1" w:val="04A0"/>
      </w:tblPr>
      <w:tblGrid>
        <w:gridCol w:w="4997"/>
        <w:gridCol w:w="4997"/>
      </w:tblGrid>
      <w:tr>
        <w:tc>
          <w:tcPr>
            <w:tcW w:type="dxa" w:w="3600"/>
            <w:shd w:fill="DCE6F1"/>
            <w:tcMar>
              <w:top w:w="80" w:type="dxa"/>
              <w:start w:w="100" w:type="dxa"/>
              <w:bottom w:w="80" w:type="dxa"/>
              <w:end w:w="100" w:type="dxa"/>
            </w:tcMar>
            <w:vAlign w:val="center"/>
          </w:tcPr>
          <w:p>
            <w:r>
              <w:rPr>
                <w:b/>
                <w:sz w:val="17"/>
              </w:rPr>
              <w:t>Crowded/known mechanism</w:t>
            </w:r>
          </w:p>
        </w:tc>
        <w:tc>
          <w:tcPr>
            <w:tcW w:type="dxa" w:w="6480"/>
            <w:shd w:fill="DCE6F1"/>
            <w:tcMar>
              <w:top w:w="80" w:type="dxa"/>
              <w:start w:w="100" w:type="dxa"/>
              <w:bottom w:w="80" w:type="dxa"/>
              <w:end w:w="100" w:type="dxa"/>
            </w:tcMar>
            <w:vAlign w:val="center"/>
          </w:tcPr>
          <w:p>
            <w:r>
              <w:rPr>
                <w:b/>
                <w:sz w:val="17"/>
              </w:rPr>
              <w:t>Final treatment</w:t>
            </w:r>
          </w:p>
        </w:tc>
      </w:tr>
      <w:tr>
        <w:tc>
          <w:tcPr>
            <w:tcW w:type="dxa" w:w="3600"/>
            <w:tcMar>
              <w:top w:w="80" w:type="dxa"/>
              <w:start w:w="100" w:type="dxa"/>
              <w:bottom w:w="80" w:type="dxa"/>
              <w:end w:w="100" w:type="dxa"/>
            </w:tcMar>
            <w:vAlign w:val="top"/>
          </w:tcPr>
          <w:p>
            <w:r>
              <w:rPr>
                <w:sz w:val="17"/>
              </w:rPr>
              <w:t>Model A → B vector reindexing</w:t>
            </w:r>
          </w:p>
        </w:tc>
        <w:tc>
          <w:tcPr>
            <w:tcW w:type="dxa" w:w="6480"/>
            <w:tcMar>
              <w:top w:w="80" w:type="dxa"/>
              <w:start w:w="100" w:type="dxa"/>
              <w:bottom w:w="80" w:type="dxa"/>
              <w:end w:w="100" w:type="dxa"/>
            </w:tcMar>
            <w:vAlign w:val="top"/>
          </w:tcPr>
          <w:p>
            <w:r>
              <w:rPr>
                <w:sz w:val="17"/>
              </w:rPr>
              <w:t>Baseline only.</w:t>
            </w:r>
          </w:p>
        </w:tc>
      </w:tr>
      <w:tr>
        <w:tc>
          <w:tcPr>
            <w:tcW w:type="dxa" w:w="3600"/>
            <w:tcMar>
              <w:top w:w="80" w:type="dxa"/>
              <w:start w:w="100" w:type="dxa"/>
              <w:bottom w:w="80" w:type="dxa"/>
              <w:end w:w="100" w:type="dxa"/>
            </w:tcMar>
            <w:vAlign w:val="top"/>
          </w:tcPr>
          <w:p>
            <w:r>
              <w:rPr>
                <w:sz w:val="17"/>
              </w:rPr>
              <w:t>Selective vector reindexing</w:t>
            </w:r>
          </w:p>
        </w:tc>
        <w:tc>
          <w:tcPr>
            <w:tcW w:type="dxa" w:w="6480"/>
            <w:tcMar>
              <w:top w:w="80" w:type="dxa"/>
              <w:start w:w="100" w:type="dxa"/>
              <w:bottom w:w="80" w:type="dxa"/>
              <w:end w:w="100" w:type="dxa"/>
            </w:tcMar>
            <w:vAlign w:val="top"/>
          </w:tcPr>
          <w:p>
            <w:r>
              <w:rPr>
                <w:sz w:val="17"/>
              </w:rPr>
              <w:t>Not claimed broadly.</w:t>
            </w:r>
          </w:p>
        </w:tc>
      </w:tr>
      <w:tr>
        <w:tc>
          <w:tcPr>
            <w:tcW w:type="dxa" w:w="3600"/>
            <w:tcMar>
              <w:top w:w="80" w:type="dxa"/>
              <w:start w:w="100" w:type="dxa"/>
              <w:bottom w:w="80" w:type="dxa"/>
              <w:end w:w="100" w:type="dxa"/>
            </w:tcMar>
            <w:vAlign w:val="top"/>
          </w:tcPr>
          <w:p>
            <w:r>
              <w:rPr>
                <w:sz w:val="17"/>
              </w:rPr>
              <w:t>Local ANN/HNSW update</w:t>
            </w:r>
          </w:p>
        </w:tc>
        <w:tc>
          <w:tcPr>
            <w:tcW w:type="dxa" w:w="6480"/>
            <w:tcMar>
              <w:top w:w="80" w:type="dxa"/>
              <w:start w:w="100" w:type="dxa"/>
              <w:bottom w:w="80" w:type="dxa"/>
              <w:end w:w="100" w:type="dxa"/>
            </w:tcMar>
            <w:vAlign w:val="top"/>
          </w:tcPr>
          <w:p>
            <w:r>
              <w:rPr>
                <w:sz w:val="17"/>
              </w:rPr>
              <w:t>Supporting operation only.</w:t>
            </w:r>
          </w:p>
        </w:tc>
      </w:tr>
      <w:tr>
        <w:tc>
          <w:tcPr>
            <w:tcW w:type="dxa" w:w="3600"/>
            <w:tcMar>
              <w:top w:w="80" w:type="dxa"/>
              <w:start w:w="100" w:type="dxa"/>
              <w:bottom w:w="80" w:type="dxa"/>
              <w:end w:w="100" w:type="dxa"/>
            </w:tcMar>
            <w:vAlign w:val="top"/>
          </w:tcPr>
          <w:p>
            <w:r>
              <w:rPr>
                <w:sz w:val="17"/>
              </w:rPr>
              <w:t>Backward/forward-compatible embeddings</w:t>
            </w:r>
          </w:p>
        </w:tc>
        <w:tc>
          <w:tcPr>
            <w:tcW w:type="dxa" w:w="6480"/>
            <w:tcMar>
              <w:top w:w="80" w:type="dxa"/>
              <w:start w:w="100" w:type="dxa"/>
              <w:bottom w:w="80" w:type="dxa"/>
              <w:end w:w="100" w:type="dxa"/>
            </w:tcMar>
            <w:vAlign w:val="top"/>
          </w:tcPr>
          <w:p>
            <w:r>
              <w:rPr>
                <w:sz w:val="17"/>
              </w:rPr>
              <w:t>Optional compatibility baseline only.</w:t>
            </w:r>
          </w:p>
        </w:tc>
      </w:tr>
      <w:tr>
        <w:tc>
          <w:tcPr>
            <w:tcW w:type="dxa" w:w="3600"/>
            <w:tcMar>
              <w:top w:w="80" w:type="dxa"/>
              <w:start w:w="100" w:type="dxa"/>
              <w:bottom w:w="80" w:type="dxa"/>
              <w:end w:w="100" w:type="dxa"/>
            </w:tcMar>
            <w:vAlign w:val="top"/>
          </w:tcPr>
          <w:p>
            <w:r>
              <w:rPr>
                <w:sz w:val="17"/>
              </w:rPr>
              <w:t>Generic top-k robustness/certification</w:t>
            </w:r>
          </w:p>
        </w:tc>
        <w:tc>
          <w:tcPr>
            <w:tcW w:type="dxa" w:w="6480"/>
            <w:tcMar>
              <w:top w:w="80" w:type="dxa"/>
              <w:start w:w="100" w:type="dxa"/>
              <w:bottom w:w="80" w:type="dxa"/>
              <w:end w:w="100" w:type="dxa"/>
            </w:tcMar>
            <w:vAlign w:val="top"/>
          </w:tcPr>
          <w:p>
            <w:r>
              <w:rPr>
                <w:sz w:val="17"/>
              </w:rPr>
              <w:t>Mathematics is supporting evidence, not novelty.</w:t>
            </w:r>
          </w:p>
        </w:tc>
      </w:tr>
      <w:tr>
        <w:tc>
          <w:tcPr>
            <w:tcW w:type="dxa" w:w="3600"/>
            <w:tcMar>
              <w:top w:w="80" w:type="dxa"/>
              <w:start w:w="100" w:type="dxa"/>
              <w:bottom w:w="80" w:type="dxa"/>
              <w:end w:w="100" w:type="dxa"/>
            </w:tcMar>
            <w:vAlign w:val="top"/>
          </w:tcPr>
          <w:p>
            <w:r>
              <w:rPr>
                <w:sz w:val="17"/>
              </w:rPr>
              <w:t>Control barrier functions/runtime assurance</w:t>
            </w:r>
          </w:p>
        </w:tc>
        <w:tc>
          <w:tcPr>
            <w:tcW w:type="dxa" w:w="6480"/>
            <w:tcMar>
              <w:top w:w="80" w:type="dxa"/>
              <w:start w:w="100" w:type="dxa"/>
              <w:bottom w:w="80" w:type="dxa"/>
              <w:end w:w="100" w:type="dxa"/>
            </w:tcMar>
            <w:vAlign w:val="top"/>
          </w:tcPr>
          <w:p>
            <w:r>
              <w:rPr>
                <w:sz w:val="17"/>
              </w:rPr>
              <w:t>Known source concept; the proposed integration is only the migration-state use.</w:t>
            </w:r>
          </w:p>
        </w:tc>
      </w:tr>
      <w:tr>
        <w:tc>
          <w:tcPr>
            <w:tcW w:type="dxa" w:w="3600"/>
            <w:tcMar>
              <w:top w:w="80" w:type="dxa"/>
              <w:start w:w="100" w:type="dxa"/>
              <w:bottom w:w="80" w:type="dxa"/>
              <w:end w:w="100" w:type="dxa"/>
            </w:tcMar>
            <w:vAlign w:val="top"/>
          </w:tcPr>
          <w:p>
            <w:r>
              <w:rPr>
                <w:sz w:val="17"/>
              </w:rPr>
              <w:t>Rank fusion / multi-vector search</w:t>
            </w:r>
          </w:p>
        </w:tc>
        <w:tc>
          <w:tcPr>
            <w:tcW w:type="dxa" w:w="6480"/>
            <w:tcMar>
              <w:top w:w="80" w:type="dxa"/>
              <w:start w:w="100" w:type="dxa"/>
              <w:bottom w:w="80" w:type="dxa"/>
              <w:end w:w="100" w:type="dxa"/>
            </w:tcMar>
            <w:vAlign w:val="top"/>
          </w:tcPr>
          <w:p>
            <w:r>
              <w:rPr>
                <w:sz w:val="17"/>
              </w:rPr>
              <w:t>Supporting feasibility mechanism.</w:t>
            </w:r>
          </w:p>
        </w:tc>
      </w:tr>
      <w:tr>
        <w:tc>
          <w:tcPr>
            <w:tcW w:type="dxa" w:w="3600"/>
            <w:tcMar>
              <w:top w:w="80" w:type="dxa"/>
              <w:start w:w="100" w:type="dxa"/>
              <w:bottom w:w="80" w:type="dxa"/>
              <w:end w:w="100" w:type="dxa"/>
            </w:tcMar>
            <w:vAlign w:val="top"/>
          </w:tcPr>
          <w:p>
            <w:r>
              <w:rPr>
                <w:sz w:val="17"/>
              </w:rPr>
              <w:t>Localized embedding patches / local transforms</w:t>
            </w:r>
          </w:p>
        </w:tc>
        <w:tc>
          <w:tcPr>
            <w:tcW w:type="dxa" w:w="6480"/>
            <w:tcMar>
              <w:top w:w="80" w:type="dxa"/>
              <w:start w:w="100" w:type="dxa"/>
              <w:bottom w:w="80" w:type="dxa"/>
              <w:end w:w="100" w:type="dxa"/>
            </w:tcMar>
            <w:vAlign w:val="top"/>
          </w:tcPr>
          <w:p>
            <w:r>
              <w:rPr>
                <w:sz w:val="17"/>
              </w:rPr>
              <w:t>Optional research extension only; not patent core due DMU/local-alignment art and Google US20260195572.</w:t>
            </w:r>
          </w:p>
        </w:tc>
      </w:tr>
      <w:tr>
        <w:tc>
          <w:tcPr>
            <w:tcW w:type="dxa" w:w="3600"/>
            <w:tcMar>
              <w:top w:w="80" w:type="dxa"/>
              <w:start w:w="100" w:type="dxa"/>
              <w:bottom w:w="80" w:type="dxa"/>
              <w:end w:w="100" w:type="dxa"/>
            </w:tcMar>
            <w:vAlign w:val="top"/>
          </w:tcPr>
          <w:p>
            <w:r>
              <w:rPr>
                <w:sz w:val="17"/>
              </w:rPr>
              <w:t>Probe poisoning resistance</w:t>
            </w:r>
          </w:p>
        </w:tc>
        <w:tc>
          <w:tcPr>
            <w:tcW w:type="dxa" w:w="6480"/>
            <w:tcMar>
              <w:top w:w="80" w:type="dxa"/>
              <w:start w:w="100" w:type="dxa"/>
              <w:bottom w:w="80" w:type="dxa"/>
              <w:end w:w="100" w:type="dxa"/>
            </w:tcMar>
            <w:vAlign w:val="top"/>
          </w:tcPr>
          <w:p>
            <w:r>
              <w:rPr>
                <w:sz w:val="17"/>
              </w:rPr>
              <w:t>Optional dependent security feature; robust calibration is known in adjacent ML.</w:t>
            </w:r>
          </w:p>
        </w:tc>
      </w:tr>
    </w:tbl>
    <w:p>
      <w:pPr>
        <w:pStyle w:val="Heading2"/>
      </w:pPr>
      <w:r>
        <w:t>3.1 Final one-sentence invention</w:t>
      </w:r>
    </w:p>
    <w:p>
      <w:r>
        <w:t>After an embedding-model upgrade, TopoPatch detects protected-scope retrieval violations, converts those violations into counterfactual migration-action witnesses, proposes a low technical-cost selective embedding/index transition, materializes the proposed transition as an ephemeral mixed-version preview state, and permits that transition to become durable only when a retrieval-safety condition is satisfied under explicit evidence uncertainty; otherwise it expands the repair scope, acquires more evidence, or routes the affected query slice through a known-safe retrieval path.</w:t>
      </w:r>
    </w:p>
    <w:p>
      <w:pPr>
        <w:pStyle w:val="Heading1"/>
      </w:pPr>
      <w:r>
        <w:t>4. Frozen System Architecture and End-to-End Flow</w:t>
      </w:r>
    </w:p>
    <w:p>
      <w:pPr>
        <w:jc w:val="center"/>
      </w:pPr>
      <w:r>
        <w:drawing>
          <wp:inline xmlns:a="http://schemas.openxmlformats.org/drawingml/2006/main" xmlns:pic="http://schemas.openxmlformats.org/drawingml/2006/picture">
            <wp:extent cx="6309360" cy="410864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4108645"/>
                    </a:xfrm>
                    <a:prstGeom prst="rect"/>
                  </pic:spPr>
                </pic:pic>
              </a:graphicData>
            </a:graphic>
          </wp:inline>
        </w:drawing>
      </w:r>
    </w:p>
    <w:p>
      <w:pPr>
        <w:jc w:val="center"/>
      </w:pPr>
      <w:r>
        <w:t>Figure 1. Frozen TopoPatch v4.1 architecture. The load-bearing patent concept remains the migration-state control loop; Candidate Envelope, dual-space serving, and ProbeQuorum close implementation/security gaps without being presented as standalone novelty.</w:t>
      </w:r>
    </w:p>
    <w:p>
      <w:pPr>
        <w:pStyle w:val="ListNumber"/>
      </w:pPr>
      <w:r>
        <w:t>An operator registers the current embedding model A, replacement model B, corpus snapshot, similarity metrics, model dimensions, and protected retrieval query set.</w:t>
      </w:r>
    </w:p>
    <w:p>
      <w:pPr>
        <w:pStyle w:val="ListNumber"/>
      </w:pPr>
      <w:r>
        <w:t>The probe engine obtains enough Model-B evidence to identify cross-model ranking failures without requiring a production full backfill; it uses a budgeted candidate envelope and expands only when uncertainty remains.</w:t>
      </w:r>
    </w:p>
    <w:p>
      <w:pPr>
        <w:pStyle w:val="ListNumber"/>
      </w:pPr>
      <w:r>
        <w:t>Each retrieval failure becomes a witness hyperedge linking the violated retrieval constraint to indexed objects and ANN relationships capable of contributing to the failure.</w:t>
      </w:r>
    </w:p>
    <w:p>
      <w:pPr>
        <w:pStyle w:val="ListNumber"/>
      </w:pPr>
      <w:r>
        <w:t>The repair optimizer proposes a low-cost selective migration action using technical costs such as B-embedding forward passes, bytes written, ANN update scope, and migration latency.</w:t>
      </w:r>
    </w:p>
    <w:p>
      <w:pPr>
        <w:pStyle w:val="ListNumber"/>
      </w:pPr>
      <w:r>
        <w:t>The preview manager materializes a non-durable, copy-on-write mixed-version retrieval state representing the exact candidate A/B membership, version routing, and tentative ANN/index delta that would result from the action; the live durable index is not mutated yet.</w:t>
      </w:r>
    </w:p>
    <w:p>
      <w:pPr>
        <w:pStyle w:val="ListNumber"/>
      </w:pPr>
      <w:r>
        <w:t>The forward-invariant retrieval safety barrier evaluates that predicted state. Unsafe actions are not committed.</w:t>
      </w:r>
    </w:p>
    <w:p>
      <w:pPr>
        <w:pStyle w:val="ListNumber"/>
      </w:pPr>
      <w:r>
        <w:t>If safe, selected objects are moved from the A representation to the B representation and only required ANN structure is updated.</w:t>
      </w:r>
    </w:p>
    <w:p>
      <w:pPr>
        <w:pStyle w:val="ListNumber"/>
      </w:pPr>
      <w:r>
        <w:t>During migration, A and B embeddings are queried in their own native spaces; the query is encoded by both models and the ranked results are fused without comparing raw cross-space distances.</w:t>
      </w:r>
    </w:p>
    <w:p>
      <w:pPr>
        <w:pStyle w:val="ListNumber"/>
      </w:pPr>
      <w:r>
        <w:t>If safety cannot be established, repair is expanded or the affected query slice is routed to a known-safe legacy/shadow path.</w:t>
      </w:r>
    </w:p>
    <w:p>
      <w:pPr>
        <w:pStyle w:val="ListNumber"/>
      </w:pPr>
      <w:r>
        <w:t>New failures become counterexamples and the process repeats until the target migration policy is reached.</w:t>
      </w:r>
    </w:p>
    <w:p>
      <w:pPr>
        <w:pStyle w:val="Heading1"/>
      </w:pPr>
      <w:r>
        <w:t>5. Detailed Stage-by-Stage Technical Mechanism</w:t>
      </w:r>
    </w:p>
    <w:p>
      <w:pPr>
        <w:pStyle w:val="Heading2"/>
      </w:pPr>
      <w:r>
        <w:t>Stage A — Cross-Model Retrieval Probing</w:t>
      </w:r>
    </w:p>
    <w:p>
      <w:r>
        <w:rPr>
          <w:b/>
        </w:rPr>
        <w:t>Input: Model pair (A,B), legacy index, protected/calibration queries, baseline top-k behavior. Output: machine-readable RetrievalViolation objects.</w:t>
      </w:r>
    </w:p>
    <w:p>
      <w:r>
        <w:t>For each protected query, compare approved reference behavior with candidate Model-B/mixed-version behavior. Detect violations of top-k membership, protected-document rank, pairwise order, rank margin, or task-specific retrieval constraints. Do not assume all B corpus vectors are already available; use Supporting Mechanism S1 (Candidate Envelope) to selectively obtain exact B embeddings for likely competitor objects and expand the envelope when the top-k result is uncertain.</w:t>
      </w:r>
    </w:p>
    <w:p>
      <w:pPr>
        <w:pStyle w:val="Heading2"/>
      </w:pPr>
      <w:r>
        <w:t>Stage B — Migration Witness Construction</w:t>
      </w:r>
    </w:p>
    <w:p>
      <w:r>
        <w:rPr>
          <w:b/>
        </w:rPr>
        <w:t>Input: RetrievalViolation objects and candidate objects. Output: WitnessHypergraph.</w:t>
      </w:r>
    </w:p>
    <w:p>
      <w:r>
        <w:t>For each violation, identify candidate migration actions and estimate their counterfactual effect on the violated ordering, membership, or protected rank margin. A witness hyperedge therefore stores not only implicated object identifiers but also action-effect evidence such as delta-rank, delta-margin, evaluation mode, and confidence. A violation can involve several candidate actions and one object can participate in several violations, so a hypergraph is natural. The attribution procedure itself is not presented as novelty; the operational role of the action-effect witness is to constrain which state transitions the repair optimizer is allowed to consider.</w:t>
      </w:r>
    </w:p>
    <w:p>
      <w:pPr>
        <w:pStyle w:val="Heading2"/>
      </w:pPr>
      <w:r>
        <w:t>Stage C — Barrier-Constrained Minimum Repair Selection</w:t>
      </w:r>
    </w:p>
    <w:p>
      <w:r>
        <w:rPr>
          <w:b/>
        </w:rPr>
        <w:t>Input: active witness hypergraph, technical cost model, current MigrationState, safety specification. Output: candidate MigrationAction.</w:t>
      </w:r>
    </w:p>
    <w:p>
      <w:r>
        <w:t>Solve a low-cost repair-selection problem over objects/ANN scopes implicated by active witnesses. The optimizer is not free to pick the cheapest set blindly: the predicted next migration state must satisfy the retrieval-safety condition or identify which query slice must remain on fallback. The optimization algorithm can be greedy weighted set cover for MVP and ILP/branch-and-bound for small exact experiments.</w:t>
      </w:r>
    </w:p>
    <w:p>
      <w:pPr>
        <w:pStyle w:val="Heading2"/>
      </w:pPr>
      <w:r>
        <w:t>Stage D — Selective Embedding Migration</w:t>
      </w:r>
    </w:p>
    <w:p>
      <w:r>
        <w:rPr>
          <w:b/>
        </w:rPr>
        <w:t>Input: accepted MigrationAction. Output: updated version map and native B vectors for selected objects.</w:t>
      </w:r>
    </w:p>
    <w:p>
      <w:r>
        <w:t>Generate Model-B embeddings only for selected objects using the source object version captured by the accepted MigrationAction. Each generated B embedding is bound to object_id, source_content_hash, source_version, migration_epoch, and model_B_version. Immediately before commit, re-check the source version/hash; stale work is discarded and re-queued rather than allowed to overwrite newer content. Remove/disable legacy A-search membership as required, write valid B vectors to the B sub-index, and update version metadata. Non-selected objects remain represented by Model A. The project does not require Model A and Model B to have equal vector dimensions.</w:t>
      </w:r>
    </w:p>
    <w:p>
      <w:pPr>
        <w:pStyle w:val="Heading2"/>
      </w:pPr>
      <w:r>
        <w:t>Stage E — ANN Dependency-Cone Repair</w:t>
      </w:r>
    </w:p>
    <w:p>
      <w:r>
        <w:rPr>
          <w:b/>
        </w:rPr>
        <w:t>Input: changed object set and ANN topology. Output: repaired local graph/partition state.</w:t>
      </w:r>
    </w:p>
    <w:p>
      <w:r>
        <w:t>For graph-based ANN variants, identify nodes/partitions whose neighbor or traversal relationships can be affected by moved/inserted/deleted objects. Repair only that bounded dependency cone. For the first MVP, an exact or flat index may be used to validate retrieval logic; the graph-repair module is added in the production-like experiment so touched nodes/edges can be measured.</w:t>
      </w:r>
    </w:p>
    <w:p>
      <w:pPr>
        <w:pStyle w:val="Heading2"/>
      </w:pPr>
      <w:r>
        <w:t>Stage F — Forward-Invariant Retrieval Safety Barrier</w:t>
      </w:r>
    </w:p>
    <w:p>
      <w:r>
        <w:rPr>
          <w:b/>
        </w:rPr>
        <w:t>Input: current state x_t, candidate action u_t, protected query constraints, uncertainty/error bounds. Output: BarrierEvidence + admissible/rejected decision.</w:t>
      </w:r>
    </w:p>
    <w:p>
      <w:r>
        <w:t>Let x_{t+1}=F(x_t,u_t). Define a retrieval-safe set over protected query behavior, not as blind agreement with Model A but as a set of explicit protected constraints such as required relevant-item membership, maximum protected rank, minimum slice Recall@k, exclusion of prohibited items, or task-specific retrieval floors. One implementation uses a lower-bound rank margin h_q(x)=m_q(x)-β_q and H(x)=min_q h_q(x), where m_q already incorporates model mismatch, candidate-evidence uncertainty, fusion uncertainty, and ANN approximation error. The system commits only if the ephemeral preview state is inside the safe set. A separate progress objective measures how close the state is to Full-B retrieval quality so that safety does not merely freeze Model-A behavior. Exact recomputation, conservative bounds, or statistical lower-confidence bounds are implementation choices; the scalar formula is not claimed as new.</w:t>
      </w:r>
    </w:p>
    <w:p>
      <w:pPr>
        <w:pStyle w:val="Heading2"/>
      </w:pPr>
      <w:r>
        <w:t>Stage G — Iteration, Runtime Assurance, and Cutover</w:t>
      </w:r>
    </w:p>
    <w:p>
      <w:r>
        <w:rPr>
          <w:b/>
        </w:rPr>
        <w:t>Input: committed state or rejected action. Output: next iteration, fallback activation, or final cutover.</w:t>
      </w:r>
    </w:p>
    <w:p>
      <w:r>
        <w:t>If the preview action passes, perform an atomic or transactionally guarded commit, then re-run affected and held-out probes. Normal migration is monotonic by migration epoch: an object that has validly moved from A to B is not oscillated back to A by ordinary optimization; reversal is an explicit rollback operation. If safety fails, enlarge repair scope, acquire additional candidate evidence, or route the affected query slice to the safe path. Persist counterexamples, barrier evidence, preview digests, source versions, and commit/rollback records. When the configured migration objective is reached and safety remains satisfied, cut over to the target B path and retire legacy state according to policy.</w:t>
      </w:r>
    </w:p>
    <w:p>
      <w:pPr>
        <w:pStyle w:val="Heading2"/>
      </w:pPr>
      <w:r>
        <w:t>5.8 Supporting Mechanism S1 — Candidate Envelope (Feasibility-Critical)</w:t>
      </w:r>
    </w:p>
    <w:p>
      <w:r>
        <w:t>A selective migration algorithm has a bootstrap problem: exact knowledge of every Model-B nearest neighbor would normally require a complete Model-B corpus backfill, which would destroy the economic premise of selective migration. TopoPatch therefore treats candidate acquisition as an uncertainty-bounded evidence process rather than as an oracle. Candidate Envelope may use legacy top-L retrieval, legacy ANN-neighborhood expansion, lexical retrieval, cluster representatives, cached target vectors, and audit samples. It is fail-closed: if residual exclusion uncertainty cannot be bounded tightly enough to support a protected ranking decision, the system expands the envelope, uses a shadow/full-B evidence path for that scope, or refuses to authorize the migration action. The implementation must never claim that an unseen object cannot be a Model-B competitor unless a real bound or exhaustive reference justifies that statement.</w:t>
      </w:r>
    </w:p>
    <w:p>
      <w:pPr>
        <w:spacing w:before="80" w:after="160"/>
        <w:ind w:left="360" w:right="360"/>
        <w:shd w:fill="F3F5F7"/>
      </w:pPr>
      <w:r>
        <w:rPr>
          <w:rFonts w:ascii="Liberation Mono" w:hAnsi="Liberation Mono"/>
          <w:sz w:val="17"/>
        </w:rPr>
        <w:t>For each protected query q:</w:t>
        <w:br/>
        <w:t xml:space="preserve">  1. Retrieve top-L_A candidates from LegacyIndex_A.</w:t>
        <w:br/>
        <w:t xml:space="preserve">  2. Add candidate expansions from legacy ANN neighbors / lexical retrieval / cluster representatives.</w:t>
        <w:br/>
        <w:t xml:space="preserve">  3. Compute exact Model-B embeddings only for objects in the candidate envelope.</w:t>
        <w:br/>
        <w:t xml:space="preserve">  4. Evaluate candidate Model-B ordering for q.</w:t>
        <w:br/>
        <w:t xml:space="preserve">  5. If exclusion uncertainty can still change protected top-k membership, enlarge the envelope and repeat.</w:t>
        <w:br/>
        <w:t xml:space="preserve">  6. Record only charged Model-B embedding calls as migration/probing work.</w:t>
      </w:r>
    </w:p>
    <w:p>
      <w:r>
        <w:t>For research evaluation, a complete Model-B index may be computed once offline as ground truth. Those embeddings must not be counted as TopoPatch algorithm work; they exist only to measure whether the selective candidate envelope missed true Model-B neighbors.</w:t>
      </w:r>
    </w:p>
    <w:p>
      <w:pPr>
        <w:pStyle w:val="Heading2"/>
      </w:pPr>
      <w:r>
        <w:t>5.9 Supporting Mechanism S2 — Dual-Space Serving During Migration</w:t>
      </w:r>
    </w:p>
    <w:p>
      <w:r>
        <w:t>Earlier drafts used the phrase “mixed-version index” but did not fully specify how Model-A and Model-B vectors can coexist when their spaces are incompatible. The frozen design does not compare raw A-space and B-space distances.</w:t>
      </w:r>
    </w:p>
    <w:p>
      <w:pPr>
        <w:jc w:val="center"/>
      </w:pPr>
      <w:r>
        <w:drawing>
          <wp:inline xmlns:a="http://schemas.openxmlformats.org/drawingml/2006/main" xmlns:pic="http://schemas.openxmlformats.org/drawingml/2006/picture">
            <wp:extent cx="6126480" cy="3313531"/>
            <wp:docPr id="2" name="Picture 2"/>
            <wp:cNvGraphicFramePr>
              <a:graphicFrameLocks noChangeAspect="1"/>
            </wp:cNvGraphicFramePr>
            <a:graphic>
              <a:graphicData uri="http://schemas.openxmlformats.org/drawingml/2006/picture">
                <pic:pic>
                  <pic:nvPicPr>
                    <pic:cNvPr id="0" name="dual_space.png"/>
                    <pic:cNvPicPr/>
                  </pic:nvPicPr>
                  <pic:blipFill>
                    <a:blip r:embed="rId12"/>
                    <a:stretch>
                      <a:fillRect/>
                    </a:stretch>
                  </pic:blipFill>
                  <pic:spPr>
                    <a:xfrm>
                      <a:off x="0" y="0"/>
                      <a:ext cx="6126480" cy="3313531"/>
                    </a:xfrm>
                    <a:prstGeom prst="rect"/>
                  </pic:spPr>
                </pic:pic>
              </a:graphicData>
            </a:graphic>
          </wp:inline>
        </w:drawing>
      </w:r>
    </w:p>
    <w:p>
      <w:pPr>
        <w:pStyle w:val="ListBullet"/>
      </w:pPr>
      <w:r>
        <w:t>LegacyIndex_A contains only objects still represented by Model A.</w:t>
      </w:r>
    </w:p>
    <w:p>
      <w:pPr>
        <w:pStyle w:val="ListBullet"/>
      </w:pPr>
      <w:r>
        <w:t>NativeIndex_B contains only objects already migrated to Model B.</w:t>
      </w:r>
    </w:p>
    <w:p>
      <w:pPr>
        <w:pStyle w:val="ListBullet"/>
      </w:pPr>
      <w:r>
        <w:t>Each incoming query is encoded with Model A and Model B while the migration is active.</w:t>
      </w:r>
    </w:p>
    <w:p>
      <w:pPr>
        <w:pStyle w:val="ListBullet"/>
      </w:pPr>
      <w:r>
        <w:t>Each sub-index is searched using its native vector and native distance metric.</w:t>
      </w:r>
    </w:p>
    <w:p>
      <w:pPr>
        <w:pStyle w:val="ListBullet"/>
      </w:pPr>
      <w:r>
        <w:t>Results are combined using reciprocal-rank/rank-normalized fusion and deduplicated by object ID; raw cosine/L2 scores from different spaces are not directly compared.</w:t>
      </w:r>
    </w:p>
    <w:p>
      <w:pPr>
        <w:pStyle w:val="ListBullet"/>
      </w:pPr>
      <w:r>
        <w:t>This design works even when Model A and Model B output different dimensions. Qdrant named vectors support different sizes/types as an implementation option, while separate FAISS indexes are simpler for the local MVP.</w:t>
      </w:r>
    </w:p>
    <w:p>
      <w:r>
        <w:t>This dual-space routing is conventional supporting infrastructure and should not be sold as the main inventive step. Its role is to make the selective migration state technically credible and implementable.</w:t>
      </w:r>
    </w:p>
    <w:p>
      <w:pPr>
        <w:pStyle w:val="Heading2"/>
      </w:pPr>
      <w:r>
        <w:t>5.10 Supporting Mechanism S3 — ProbeQuorum (Optional Security Dependent Feature)</w:t>
      </w:r>
    </w:p>
    <w:p>
      <w:r>
        <w:t>The barrier is only as trustworthy as the calibration/protected query evidence it receives. ProbeQuorum separates probes by provenance and checks whether the safe/unsafe decision remains stable when up to a configured number of evidence partitions are omitted. If the decision is fragile, the evidence is quarantined/replaced before commit. Robust calibration under poisoning is known in adjacent ML, so ProbeQuorum is best treated as a dependent/security embodiment rather than the patent nucleus.</w:t>
      </w:r>
    </w:p>
    <w:p>
      <w:pPr>
        <w:pStyle w:val="Heading2"/>
      </w:pPr>
      <w:r>
        <w:t>5.11 Optional Research Branch — NCA Local Correction (NOT Core)</w:t>
      </w:r>
    </w:p>
    <w:tbl>
      <w:tblPr>
        <w:tblStyle w:val="TableGrid"/>
        <w:tblW w:type="auto" w:w="0"/>
        <w:tblLook w:firstColumn="1" w:firstRow="1" w:lastColumn="0" w:lastRow="0" w:noHBand="0" w:noVBand="1" w:val="04A0"/>
      </w:tblPr>
      <w:tblGrid>
        <w:gridCol w:w="9994"/>
      </w:tblGrid>
      <w:tr>
        <w:tc>
          <w:tcPr>
            <w:tcW w:type="dxa" w:w="9994"/>
            <w:shd w:fill="FCE4D6"/>
            <w:tcMar>
              <w:top w:w="140" w:type="dxa"/>
              <w:start w:w="160" w:type="dxa"/>
              <w:bottom w:w="140" w:type="dxa"/>
              <w:end w:w="160" w:type="dxa"/>
            </w:tcMar>
          </w:tcPr>
          <w:p>
            <w:r>
              <w:rPr>
                <w:b/>
                <w:sz w:val="21"/>
              </w:rPr>
              <w:t>Patent scope warning</w:t>
            </w:r>
            <w:r>
              <w:br/>
              <w:t>Do not freeze the filing around KEEP / LOCAL-CORRECT / RE-EMBED. A recent Google patent application, US20260195572A1 (priority Jan. 7, 2025; publication July 9, 2026), covers localized embedding patches for targeted subspaces using specialist embedding models and emulation back into a base latent space. Combined with DMU and piecewise/local embedding-alignment literature, this makes localized correction a materially riskier patent core than earlier searches suggested.</w:t>
            </w:r>
          </w:p>
        </w:tc>
      </w:tr>
    </w:tbl>
    <w:p>
      <w:r>
        <w:t>You may still implement NCA as an experiment after the core TopoPatch pipeline works. If it produces a large, reproducible, unexpected systems improvement, it can be reassessed. It is not required for the frozen implementation.</w:t>
      </w:r>
    </w:p>
    <w:p>
      <w:pPr>
        <w:pStyle w:val="Heading1"/>
      </w:pPr>
      <w:r>
        <w:t>6. Mathematical Model and Core Data Structures</w:t>
      </w:r>
    </w:p>
    <w:p>
      <w:pPr>
        <w:pStyle w:val="Heading2"/>
      </w:pPr>
      <w:r>
        <w:t>6.1 Retrieval constraints</w:t>
      </w:r>
    </w:p>
    <w:p>
      <w:r>
        <w:t>Let E_A be the approved old embedding model, E_B the candidate replacement, Q the protected/calibration query set, k the retrieval cutoff, and R_A(q) the approved baseline ranking. Example protected constraints include:</w:t>
      </w:r>
    </w:p>
    <w:p>
      <w:pPr>
        <w:pStyle w:val="ListBullet"/>
      </w:pPr>
      <w:r>
        <w:t>Required object d must remain in top-k.</w:t>
      </w:r>
    </w:p>
    <w:p>
      <w:pPr>
        <w:pStyle w:val="ListBullet"/>
      </w:pPr>
      <w:r>
        <w:t>Protected set P_q must retain at least r members in top-k.</w:t>
      </w:r>
    </w:p>
    <w:p>
      <w:pPr>
        <w:pStyle w:val="ListBullet"/>
      </w:pPr>
      <w:r>
        <w:t>Document d_i must rank ahead of d_j.</w:t>
      </w:r>
    </w:p>
    <w:p>
      <w:pPr>
        <w:pStyle w:val="ListBullet"/>
      </w:pPr>
      <w:r>
        <w:t>Protected kth result must retain a minimum separation margin from the strongest outside competitor.</w:t>
      </w:r>
    </w:p>
    <w:p>
      <w:pPr>
        <w:pStyle w:val="ListBullet"/>
      </w:pPr>
      <w:r>
        <w:t>A task-specific source class must remain within a maximum rank.</w:t>
      </w:r>
    </w:p>
    <w:p>
      <w:pPr>
        <w:pStyle w:val="Heading2"/>
      </w:pPr>
      <w:r>
        <w:t>6.2 Witness hypergraph</w:t>
      </w:r>
    </w:p>
    <w:p>
      <w:r>
        <w:t>Let each violation v_j be a hyperedge connecting candidate objects O_j that can alter or repair the violation. A repair variable x_i indicates whether object i is selected for B re-embedding. A basic technical-cost objective is:</w:t>
      </w:r>
    </w:p>
    <w:p>
      <w:pPr>
        <w:jc w:val="center"/>
      </w:pPr>
      <w:r>
        <w:rPr>
          <w:b/>
        </w:rPr>
        <w:t>minimize  Σ_i c_i x_i</w:t>
      </w:r>
    </w:p>
    <w:p>
      <w:r>
        <w:t>subject to active retrieval-witness constraints being repaired and the predicted post-repair state satisfying the safety barrier (or the affected query slice remaining on fallback). Cost c_i can include embedding inference operations, bytes written, estimated ANN nodes/edges touched, and migration latency.</w:t>
      </w:r>
    </w:p>
    <w:p>
      <w:pPr>
        <w:pStyle w:val="Heading2"/>
      </w:pPr>
      <w:r>
        <w:t>6.3 Migration state</w:t>
      </w:r>
    </w:p>
    <w:p>
      <w:pPr>
        <w:spacing w:before="80" w:after="160"/>
        <w:ind w:left="360" w:right="360"/>
        <w:shd w:fill="F3F5F7"/>
      </w:pPr>
      <w:r>
        <w:rPr>
          <w:rFonts w:ascii="Liberation Mono" w:hAnsi="Liberation Mono"/>
          <w:sz w:val="17"/>
        </w:rPr>
        <w:t>MigrationState x_t = {</w:t>
        <w:br/>
        <w:t xml:space="preserve">  modelA_ids, modelB_ids,</w:t>
        <w:br/>
        <w:t xml:space="preserve">  version_map,</w:t>
        <w:br/>
        <w:t xml:space="preserve">  legacy_index_digest, native_index_digest,</w:t>
        <w:br/>
        <w:t xml:space="preserve">  ANN state / partition state,</w:t>
        <w:br/>
        <w:t xml:space="preserve">  routing_state, fallback_state,</w:t>
        <w:br/>
        <w:t xml:space="preserve">  protected_constraint_statistics</w:t>
        <w:br/>
        <w:t>}</w:t>
        <w:br/>
        <w:br/>
        <w:t>MigrationAction u_t = {</w:t>
        <w:br/>
        <w:t xml:space="preserve">  selected_object_ids,</w:t>
        <w:br/>
        <w:t xml:space="preserve">  B_embedding_jobs,</w:t>
        <w:br/>
        <w:t xml:space="preserve">  A_index_removals, B_index_insertions,</w:t>
        <w:br/>
        <w:t xml:space="preserve">  ann_repair_scope,</w:t>
        <w:br/>
        <w:t xml:space="preserve">  estimated_compute / bytes / latency,</w:t>
        <w:br/>
        <w:t xml:space="preserve">  fallback_change (optional)</w:t>
        <w:br/>
        <w:t>}</w:t>
      </w:r>
    </w:p>
    <w:p>
      <w:pPr>
        <w:pStyle w:val="Heading2"/>
      </w:pPr>
      <w:r>
        <w:t>6.4 Safety condition</w:t>
      </w:r>
    </w:p>
    <w:p>
      <w:r>
        <w:t>One deterministic embodiment uses a conservative protected rank margin. For protected query q, m_q(x) is a lower bound on the gap between the least-secure protected result and the strongest outside competitor after accounting for model mismatch, candidate-envelope uncertainty, fusion uncertainty, and ANN approximation error. With required margin β_q:</w:t>
      </w:r>
    </w:p>
    <w:p>
      <w:pPr>
        <w:jc w:val="center"/>
      </w:pPr>
      <w:r>
        <w:rPr>
          <w:b/>
        </w:rPr>
        <w:t>h_q(x) = m_q(x) − β_q        and        H(x) = min_q h_q(x)</w:t>
      </w:r>
    </w:p>
    <w:p>
      <w:r>
        <w:t>The candidate state is admissible when H(x) ≥ 0 for the protected scope. Other embodiments may use statistical lower confidence bounds or exact recomputation. The claim strategy should focus on the state-transition consequence, not ownership of the ranking certificate mathematics.</w:t>
      </w:r>
    </w:p>
    <w:p>
      <w:pPr>
        <w:pStyle w:val="Heading2"/>
      </w:pPr>
      <w:r>
        <w:t>6.5 Data structures</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DCE6F1"/>
            <w:tcMar>
              <w:top w:w="80" w:type="dxa"/>
              <w:start w:w="100" w:type="dxa"/>
              <w:bottom w:w="80" w:type="dxa"/>
              <w:end w:w="100" w:type="dxa"/>
            </w:tcMar>
            <w:vAlign w:val="center"/>
          </w:tcPr>
          <w:p>
            <w:r>
              <w:rPr>
                <w:b/>
                <w:sz w:val="15"/>
              </w:rPr>
              <w:t>Structure</w:t>
            </w:r>
          </w:p>
        </w:tc>
        <w:tc>
          <w:tcPr>
            <w:tcW w:type="dxa" w:w="3888"/>
            <w:shd w:fill="DCE6F1"/>
            <w:tcMar>
              <w:top w:w="80" w:type="dxa"/>
              <w:start w:w="100" w:type="dxa"/>
              <w:bottom w:w="80" w:type="dxa"/>
              <w:end w:w="100" w:type="dxa"/>
            </w:tcMar>
            <w:vAlign w:val="center"/>
          </w:tcPr>
          <w:p>
            <w:r>
              <w:rPr>
                <w:b/>
                <w:sz w:val="15"/>
              </w:rPr>
              <w:t>Key fields</w:t>
            </w:r>
          </w:p>
        </w:tc>
        <w:tc>
          <w:tcPr>
            <w:tcW w:type="dxa" w:w="4320"/>
            <w:shd w:fill="DCE6F1"/>
            <w:tcMar>
              <w:top w:w="80" w:type="dxa"/>
              <w:start w:w="100" w:type="dxa"/>
              <w:bottom w:w="80" w:type="dxa"/>
              <w:end w:w="100" w:type="dxa"/>
            </w:tcMar>
            <w:vAlign w:val="center"/>
          </w:tcPr>
          <w:p>
            <w:r>
              <w:rPr>
                <w:b/>
                <w:sz w:val="15"/>
              </w:rPr>
              <w:t>Purpose</w:t>
            </w:r>
          </w:p>
        </w:tc>
      </w:tr>
      <w:tr>
        <w:tc>
          <w:tcPr>
            <w:tcW w:type="dxa" w:w="2088"/>
            <w:tcMar>
              <w:top w:w="80" w:type="dxa"/>
              <w:start w:w="100" w:type="dxa"/>
              <w:bottom w:w="80" w:type="dxa"/>
              <w:end w:w="100" w:type="dxa"/>
            </w:tcMar>
            <w:vAlign w:val="top"/>
          </w:tcPr>
          <w:p>
            <w:r>
              <w:rPr>
                <w:sz w:val="15"/>
              </w:rPr>
              <w:t>ModelPairRegistry</w:t>
            </w:r>
          </w:p>
        </w:tc>
        <w:tc>
          <w:tcPr>
            <w:tcW w:type="dxa" w:w="3888"/>
            <w:tcMar>
              <w:top w:w="80" w:type="dxa"/>
              <w:start w:w="100" w:type="dxa"/>
              <w:bottom w:w="80" w:type="dxa"/>
              <w:end w:w="100" w:type="dxa"/>
            </w:tcMar>
            <w:vAlign w:val="top"/>
          </w:tcPr>
          <w:p>
            <w:r>
              <w:rPr>
                <w:sz w:val="15"/>
              </w:rPr>
              <w:t>model_A_id, model_B_id, dimensions, metrics, tokenizer/version, creation time</w:t>
            </w:r>
          </w:p>
        </w:tc>
        <w:tc>
          <w:tcPr>
            <w:tcW w:type="dxa" w:w="4320"/>
            <w:tcMar>
              <w:top w:w="80" w:type="dxa"/>
              <w:start w:w="100" w:type="dxa"/>
              <w:bottom w:w="80" w:type="dxa"/>
              <w:end w:w="100" w:type="dxa"/>
            </w:tcMar>
            <w:vAlign w:val="top"/>
          </w:tcPr>
          <w:p>
            <w:r>
              <w:rPr>
                <w:sz w:val="15"/>
              </w:rPr>
              <w:t>Defines the migration pair and prevents accidental cross-space comparison.</w:t>
            </w:r>
          </w:p>
        </w:tc>
      </w:tr>
      <w:tr>
        <w:tc>
          <w:tcPr>
            <w:tcW w:type="dxa" w:w="2088"/>
            <w:tcMar>
              <w:top w:w="80" w:type="dxa"/>
              <w:start w:w="100" w:type="dxa"/>
              <w:bottom w:w="80" w:type="dxa"/>
              <w:end w:w="100" w:type="dxa"/>
            </w:tcMar>
            <w:vAlign w:val="top"/>
          </w:tcPr>
          <w:p>
            <w:r>
              <w:rPr>
                <w:sz w:val="15"/>
              </w:rPr>
              <w:t>RetrievalViolation</w:t>
            </w:r>
          </w:p>
        </w:tc>
        <w:tc>
          <w:tcPr>
            <w:tcW w:type="dxa" w:w="3888"/>
            <w:tcMar>
              <w:top w:w="80" w:type="dxa"/>
              <w:start w:w="100" w:type="dxa"/>
              <w:bottom w:w="80" w:type="dxa"/>
              <w:end w:w="100" w:type="dxa"/>
            </w:tcMar>
            <w:vAlign w:val="top"/>
          </w:tcPr>
          <w:p>
            <w:r>
              <w:rPr>
                <w:sz w:val="15"/>
              </w:rPr>
              <w:t>query_id, invariant_type, reference_result, candidate_result, violated_items, severity</w:t>
            </w:r>
          </w:p>
        </w:tc>
        <w:tc>
          <w:tcPr>
            <w:tcW w:type="dxa" w:w="4320"/>
            <w:tcMar>
              <w:top w:w="80" w:type="dxa"/>
              <w:start w:w="100" w:type="dxa"/>
              <w:bottom w:w="80" w:type="dxa"/>
              <w:end w:w="100" w:type="dxa"/>
            </w:tcMar>
            <w:vAlign w:val="top"/>
          </w:tcPr>
          <w:p>
            <w:r>
              <w:rPr>
                <w:sz w:val="15"/>
              </w:rPr>
              <w:t>Machine-readable cross-model failure.</w:t>
            </w:r>
          </w:p>
        </w:tc>
      </w:tr>
      <w:tr>
        <w:tc>
          <w:tcPr>
            <w:tcW w:type="dxa" w:w="2088"/>
            <w:tcMar>
              <w:top w:w="80" w:type="dxa"/>
              <w:start w:w="100" w:type="dxa"/>
              <w:bottom w:w="80" w:type="dxa"/>
              <w:end w:w="100" w:type="dxa"/>
            </w:tcMar>
            <w:vAlign w:val="top"/>
          </w:tcPr>
          <w:p>
            <w:r>
              <w:rPr>
                <w:sz w:val="15"/>
              </w:rPr>
              <w:t>WitnessHyperedge</w:t>
            </w:r>
          </w:p>
        </w:tc>
        <w:tc>
          <w:tcPr>
            <w:tcW w:type="dxa" w:w="3888"/>
            <w:tcMar>
              <w:top w:w="80" w:type="dxa"/>
              <w:start w:w="100" w:type="dxa"/>
              <w:bottom w:w="80" w:type="dxa"/>
              <w:end w:w="100" w:type="dxa"/>
            </w:tcMar>
            <w:vAlign w:val="top"/>
          </w:tcPr>
          <w:p>
            <w:r>
              <w:rPr>
                <w:sz w:val="15"/>
              </w:rPr>
              <w:t>violation_id, candidate_object_ids, contribution_scores, candidate_envelope_id</w:t>
            </w:r>
          </w:p>
        </w:tc>
        <w:tc>
          <w:tcPr>
            <w:tcW w:type="dxa" w:w="4320"/>
            <w:tcMar>
              <w:top w:w="80" w:type="dxa"/>
              <w:start w:w="100" w:type="dxa"/>
              <w:bottom w:w="80" w:type="dxa"/>
              <w:end w:w="100" w:type="dxa"/>
            </w:tcMar>
            <w:vAlign w:val="top"/>
          </w:tcPr>
          <w:p>
            <w:r>
              <w:rPr>
                <w:sz w:val="15"/>
              </w:rPr>
              <w:t>Links failures to possible repair objects.</w:t>
            </w:r>
          </w:p>
        </w:tc>
      </w:tr>
      <w:tr>
        <w:tc>
          <w:tcPr>
            <w:tcW w:type="dxa" w:w="2088"/>
            <w:tcMar>
              <w:top w:w="80" w:type="dxa"/>
              <w:start w:w="100" w:type="dxa"/>
              <w:bottom w:w="80" w:type="dxa"/>
              <w:end w:w="100" w:type="dxa"/>
            </w:tcMar>
            <w:vAlign w:val="top"/>
          </w:tcPr>
          <w:p>
            <w:r>
              <w:rPr>
                <w:sz w:val="15"/>
              </w:rPr>
              <w:t>CandidateEnvelope</w:t>
            </w:r>
          </w:p>
        </w:tc>
        <w:tc>
          <w:tcPr>
            <w:tcW w:type="dxa" w:w="3888"/>
            <w:tcMar>
              <w:top w:w="80" w:type="dxa"/>
              <w:start w:w="100" w:type="dxa"/>
              <w:bottom w:w="80" w:type="dxa"/>
              <w:end w:w="100" w:type="dxa"/>
            </w:tcMar>
            <w:vAlign w:val="top"/>
          </w:tcPr>
          <w:p>
            <w:r>
              <w:rPr>
                <w:sz w:val="15"/>
              </w:rPr>
              <w:t>query_id, candidate_ids, sources, B_embedded_ids, expansion_round, residual_uncertainty</w:t>
            </w:r>
          </w:p>
        </w:tc>
        <w:tc>
          <w:tcPr>
            <w:tcW w:type="dxa" w:w="4320"/>
            <w:tcMar>
              <w:top w:w="80" w:type="dxa"/>
              <w:start w:w="100" w:type="dxa"/>
              <w:bottom w:w="80" w:type="dxa"/>
              <w:end w:w="100" w:type="dxa"/>
            </w:tcMar>
            <w:vAlign w:val="top"/>
          </w:tcPr>
          <w:p>
            <w:r>
              <w:rPr>
                <w:sz w:val="15"/>
              </w:rPr>
              <w:t>Tracks which objects have actually been evaluated under Model B.</w:t>
            </w:r>
          </w:p>
        </w:tc>
      </w:tr>
      <w:tr>
        <w:tc>
          <w:tcPr>
            <w:tcW w:type="dxa" w:w="2088"/>
            <w:tcMar>
              <w:top w:w="80" w:type="dxa"/>
              <w:start w:w="100" w:type="dxa"/>
              <w:bottom w:w="80" w:type="dxa"/>
              <w:end w:w="100" w:type="dxa"/>
            </w:tcMar>
            <w:vAlign w:val="top"/>
          </w:tcPr>
          <w:p>
            <w:r>
              <w:rPr>
                <w:sz w:val="15"/>
              </w:rPr>
              <w:t>MigrationAction</w:t>
            </w:r>
          </w:p>
        </w:tc>
        <w:tc>
          <w:tcPr>
            <w:tcW w:type="dxa" w:w="3888"/>
            <w:tcMar>
              <w:top w:w="80" w:type="dxa"/>
              <w:start w:w="100" w:type="dxa"/>
              <w:bottom w:w="80" w:type="dxa"/>
              <w:end w:w="100" w:type="dxa"/>
            </w:tcMar>
            <w:vAlign w:val="top"/>
          </w:tcPr>
          <w:p>
            <w:r>
              <w:rPr>
                <w:sz w:val="15"/>
              </w:rPr>
              <w:t>object_ids, embed_jobs, A_removals, B_insertions, ann_scope, bytes, predicted_latency</w:t>
            </w:r>
          </w:p>
        </w:tc>
        <w:tc>
          <w:tcPr>
            <w:tcW w:type="dxa" w:w="4320"/>
            <w:tcMar>
              <w:top w:w="80" w:type="dxa"/>
              <w:start w:w="100" w:type="dxa"/>
              <w:bottom w:w="80" w:type="dxa"/>
              <w:end w:w="100" w:type="dxa"/>
            </w:tcMar>
            <w:vAlign w:val="top"/>
          </w:tcPr>
          <w:p>
            <w:r>
              <w:rPr>
                <w:sz w:val="15"/>
              </w:rPr>
              <w:t>Concrete candidate state transition.</w:t>
            </w:r>
          </w:p>
        </w:tc>
      </w:tr>
      <w:tr>
        <w:tc>
          <w:tcPr>
            <w:tcW w:type="dxa" w:w="2088"/>
            <w:tcMar>
              <w:top w:w="80" w:type="dxa"/>
              <w:start w:w="100" w:type="dxa"/>
              <w:bottom w:w="80" w:type="dxa"/>
              <w:end w:w="100" w:type="dxa"/>
            </w:tcMar>
            <w:vAlign w:val="top"/>
          </w:tcPr>
          <w:p>
            <w:r>
              <w:rPr>
                <w:sz w:val="15"/>
              </w:rPr>
              <w:t>MigrationState</w:t>
            </w:r>
          </w:p>
        </w:tc>
        <w:tc>
          <w:tcPr>
            <w:tcW w:type="dxa" w:w="3888"/>
            <w:tcMar>
              <w:top w:w="80" w:type="dxa"/>
              <w:start w:w="100" w:type="dxa"/>
              <w:bottom w:w="80" w:type="dxa"/>
              <w:end w:w="100" w:type="dxa"/>
            </w:tcMar>
            <w:vAlign w:val="top"/>
          </w:tcPr>
          <w:p>
            <w:r>
              <w:rPr>
                <w:sz w:val="15"/>
              </w:rPr>
              <w:t>A_ids, B_ids, version_map, index digests, routing_state, fallback_state</w:t>
            </w:r>
          </w:p>
        </w:tc>
        <w:tc>
          <w:tcPr>
            <w:tcW w:type="dxa" w:w="4320"/>
            <w:tcMar>
              <w:top w:w="80" w:type="dxa"/>
              <w:start w:w="100" w:type="dxa"/>
              <w:bottom w:w="80" w:type="dxa"/>
              <w:end w:w="100" w:type="dxa"/>
            </w:tcMar>
            <w:vAlign w:val="top"/>
          </w:tcPr>
          <w:p>
            <w:r>
              <w:rPr>
                <w:sz w:val="15"/>
              </w:rPr>
              <w:t>Explicit state used by safety barrier.</w:t>
            </w:r>
          </w:p>
        </w:tc>
      </w:tr>
      <w:tr>
        <w:tc>
          <w:tcPr>
            <w:tcW w:type="dxa" w:w="2088"/>
            <w:tcMar>
              <w:top w:w="80" w:type="dxa"/>
              <w:start w:w="100" w:type="dxa"/>
              <w:bottom w:w="80" w:type="dxa"/>
              <w:end w:w="100" w:type="dxa"/>
            </w:tcMar>
            <w:vAlign w:val="top"/>
          </w:tcPr>
          <w:p>
            <w:r>
              <w:rPr>
                <w:sz w:val="15"/>
              </w:rPr>
              <w:t>BarrierEvidence</w:t>
            </w:r>
          </w:p>
        </w:tc>
        <w:tc>
          <w:tcPr>
            <w:tcW w:type="dxa" w:w="3888"/>
            <w:tcMar>
              <w:top w:w="80" w:type="dxa"/>
              <w:start w:w="100" w:type="dxa"/>
              <w:bottom w:w="80" w:type="dxa"/>
              <w:end w:w="100" w:type="dxa"/>
            </w:tcMar>
            <w:vAlign w:val="top"/>
          </w:tcPr>
          <w:p>
            <w:r>
              <w:rPr>
                <w:sz w:val="15"/>
              </w:rPr>
              <w:t>query_slice, lower_margin, model/error bounds, candidate_envelope_bound, threshold, pass_fail</w:t>
            </w:r>
          </w:p>
        </w:tc>
        <w:tc>
          <w:tcPr>
            <w:tcW w:type="dxa" w:w="4320"/>
            <w:tcMar>
              <w:top w:w="80" w:type="dxa"/>
              <w:start w:w="100" w:type="dxa"/>
              <w:bottom w:w="80" w:type="dxa"/>
              <w:end w:w="100" w:type="dxa"/>
            </w:tcMar>
            <w:vAlign w:val="top"/>
          </w:tcPr>
          <w:p>
            <w:r>
              <w:rPr>
                <w:sz w:val="15"/>
              </w:rPr>
              <w:t>Evidence for accepting/rejecting the next state.</w:t>
            </w:r>
          </w:p>
        </w:tc>
      </w:tr>
      <w:tr>
        <w:tc>
          <w:tcPr>
            <w:tcW w:type="dxa" w:w="2088"/>
            <w:tcMar>
              <w:top w:w="80" w:type="dxa"/>
              <w:start w:w="100" w:type="dxa"/>
              <w:bottom w:w="80" w:type="dxa"/>
              <w:end w:w="100" w:type="dxa"/>
            </w:tcMar>
            <w:vAlign w:val="top"/>
          </w:tcPr>
          <w:p>
            <w:r>
              <w:rPr>
                <w:sz w:val="15"/>
              </w:rPr>
              <w:t>ProbeIntegrityManifest</w:t>
            </w:r>
          </w:p>
        </w:tc>
        <w:tc>
          <w:tcPr>
            <w:tcW w:type="dxa" w:w="3888"/>
            <w:tcMar>
              <w:top w:w="80" w:type="dxa"/>
              <w:start w:w="100" w:type="dxa"/>
              <w:bottom w:w="80" w:type="dxa"/>
              <w:end w:w="100" w:type="dxa"/>
            </w:tcMar>
            <w:vAlign w:val="top"/>
          </w:tcPr>
          <w:p>
            <w:r>
              <w:rPr>
                <w:sz w:val="15"/>
              </w:rPr>
              <w:t>probe_id, provenance, partition, influence, omission decision, quarantine status</w:t>
            </w:r>
          </w:p>
        </w:tc>
        <w:tc>
          <w:tcPr>
            <w:tcW w:type="dxa" w:w="4320"/>
            <w:tcMar>
              <w:top w:w="80" w:type="dxa"/>
              <w:start w:w="100" w:type="dxa"/>
              <w:bottom w:w="80" w:type="dxa"/>
              <w:end w:w="100" w:type="dxa"/>
            </w:tcMar>
            <w:vAlign w:val="top"/>
          </w:tcPr>
          <w:p>
            <w:r>
              <w:rPr>
                <w:sz w:val="15"/>
              </w:rPr>
              <w:t>Optional ProbeQuorum evidence integrity.</w:t>
            </w:r>
          </w:p>
        </w:tc>
      </w:tr>
      <w:tr>
        <w:tc>
          <w:tcPr>
            <w:tcW w:type="dxa" w:w="2088"/>
            <w:tcMar>
              <w:top w:w="80" w:type="dxa"/>
              <w:start w:w="100" w:type="dxa"/>
              <w:bottom w:w="80" w:type="dxa"/>
              <w:end w:w="100" w:type="dxa"/>
            </w:tcMar>
            <w:vAlign w:val="top"/>
          </w:tcPr>
          <w:p>
            <w:r>
              <w:rPr>
                <w:sz w:val="15"/>
              </w:rPr>
              <w:t>CounterexampleCache</w:t>
            </w:r>
          </w:p>
        </w:tc>
        <w:tc>
          <w:tcPr>
            <w:tcW w:type="dxa" w:w="3888"/>
            <w:tcMar>
              <w:top w:w="80" w:type="dxa"/>
              <w:start w:w="100" w:type="dxa"/>
              <w:bottom w:w="80" w:type="dxa"/>
              <w:end w:w="100" w:type="dxa"/>
            </w:tcMar>
            <w:vAlign w:val="top"/>
          </w:tcPr>
          <w:p>
            <w:r>
              <w:rPr>
                <w:sz w:val="15"/>
              </w:rPr>
              <w:t>upgrade_pair, failed_probe_ids, witness_ids, failure_reason</w:t>
            </w:r>
          </w:p>
        </w:tc>
        <w:tc>
          <w:tcPr>
            <w:tcW w:type="dxa" w:w="4320"/>
            <w:tcMar>
              <w:top w:w="80" w:type="dxa"/>
              <w:start w:w="100" w:type="dxa"/>
              <w:bottom w:w="80" w:type="dxa"/>
              <w:end w:w="100" w:type="dxa"/>
            </w:tcMar>
            <w:vAlign w:val="top"/>
          </w:tcPr>
          <w:p>
            <w:r>
              <w:rPr>
                <w:sz w:val="15"/>
              </w:rPr>
              <w:t>Regression evidence for later iterations/upgrades.</w:t>
            </w:r>
          </w:p>
        </w:tc>
      </w:tr>
    </w:tbl>
    <w:p>
      <w:pPr>
        <w:pStyle w:val="Heading1"/>
      </w:pPr>
      <w:r>
        <w:t>7. Reference Algorithm and Pseudocode</w:t>
      </w:r>
    </w:p>
    <w:p>
      <w:pPr>
        <w:jc w:val="center"/>
      </w:pPr>
      <w:r>
        <w:drawing>
          <wp:inline xmlns:a="http://schemas.openxmlformats.org/drawingml/2006/main" xmlns:pic="http://schemas.openxmlformats.org/drawingml/2006/picture">
            <wp:extent cx="6172200" cy="3622168"/>
            <wp:docPr id="3" name="Picture 3"/>
            <wp:cNvGraphicFramePr>
              <a:graphicFrameLocks noChangeAspect="1"/>
            </wp:cNvGraphicFramePr>
            <a:graphic>
              <a:graphicData uri="http://schemas.openxmlformats.org/drawingml/2006/picture">
                <pic:pic>
                  <pic:nvPicPr>
                    <pic:cNvPr id="0" name="repair_loop.png"/>
                    <pic:cNvPicPr/>
                  </pic:nvPicPr>
                  <pic:blipFill>
                    <a:blip r:embed="rId13"/>
                    <a:stretch>
                      <a:fillRect/>
                    </a:stretch>
                  </pic:blipFill>
                  <pic:spPr>
                    <a:xfrm>
                      <a:off x="0" y="0"/>
                      <a:ext cx="6172200" cy="3622168"/>
                    </a:xfrm>
                    <a:prstGeom prst="rect"/>
                  </pic:spPr>
                </pic:pic>
              </a:graphicData>
            </a:graphic>
          </wp:inline>
        </w:drawing>
      </w:r>
    </w:p>
    <w:p>
      <w:pPr>
        <w:spacing w:before="80" w:after="160"/>
        <w:ind w:left="360" w:right="360"/>
        <w:shd w:fill="F3F5F7"/>
      </w:pPr>
      <w:r>
        <w:rPr>
          <w:rFonts w:ascii="Liberation Mono" w:hAnsi="Liberation Mono"/>
          <w:sz w:val="17"/>
        </w:rPr>
        <w:t>INPUT:</w:t>
        <w:br/>
        <w:t xml:space="preserve">  old model E_A</w:t>
        <w:br/>
        <w:t xml:space="preserve">  new model E_B</w:t>
        <w:br/>
        <w:t xml:space="preserve">  legacy native index I_A</w:t>
        <w:br/>
        <w:t xml:space="preserve">  protected queries Q</w:t>
        <w:br/>
        <w:t xml:space="preserve">  retrieval specification R</w:t>
        <w:br/>
        <w:t xml:space="preserve">  technical migration objective C</w:t>
        <w:br/>
        <w:t xml:space="preserve">  safe fallback path F_safe</w:t>
        <w:br/>
        <w:br/>
        <w:t>0. Register model pair, dimensions, metrics, corpus snapshot and approved reference retrieval behavior.</w:t>
        <w:br/>
        <w:t>1. Build budgeted Candidate Envelopes for Q; compute Model-B embeddings only for selected candidates.</w:t>
        <w:br/>
        <w:t>2. Detect cross-model violations V.</w:t>
        <w:br/>
        <w:t>3. while migration objective is not reached:</w:t>
        <w:br/>
        <w:t xml:space="preserve">     a. Build/update WitnessHypergraph H from V.</w:t>
        <w:br/>
        <w:t xml:space="preserve">     b. Estimate technical costs for witness-implicated objects and ANN scopes.</w:t>
        <w:br/>
        <w:t xml:space="preserve">     c. Propose low-cost candidate MigrationAction u_t.</w:t>
        <w:br/>
        <w:t xml:space="preserve">     d. Simulate next dual-space MigrationState x' = F(x_t, u_t).</w:t>
        <w:br/>
        <w:t xml:space="preserve">     e. Evaluate retrieval safety barrier on x'.</w:t>
        <w:br/>
        <w:t xml:space="preserve">     f. Optional: evaluate ProbeQuorum evidence admissibility.</w:t>
        <w:br/>
        <w:t xml:space="preserve">     g. if safety is not established:</w:t>
        <w:br/>
        <w:t xml:space="preserve">            expand repair set OR expand candidate evidence OR activate F_safe for affected slice;</w:t>
        <w:br/>
        <w:t xml:space="preserve">            continue.</w:t>
        <w:br/>
        <w:t xml:space="preserve">     h. Generate B embeddings only for selected objects.</w:t>
        <w:br/>
        <w:t xml:space="preserve">     i. Remove/disable selected objects in LegacyIndex_A and insert into NativeIndex_B.</w:t>
        <w:br/>
        <w:t xml:space="preserve">     j. Repair only the affected ANN dependency cone where applicable.</w:t>
        <w:br/>
        <w:t xml:space="preserve">     k. Commit x' and serve queries by dual native-space search + rank fusion.</w:t>
        <w:br/>
        <w:t xml:space="preserve">     l. Re-run affected + held-out probes.</w:t>
        <w:br/>
        <w:t xml:space="preserve">     m. Add new failures to CounterexampleCache and V.</w:t>
        <w:br/>
        <w:t>4. When target state is reached and safety remains satisfied, cut over to Model B and retire A state according to policy.</w:t>
        <w:br/>
        <w:t>5. Persist all witness, cost, barrier, envelope, routing and fallback evidence for reproducibility.</w:t>
      </w:r>
    </w:p>
    <w:p>
      <w:pPr>
        <w:pStyle w:val="Heading1"/>
      </w:pPr>
      <w:r>
        <w:t>8. Software Architecture and Repository Design</w:t>
      </w:r>
    </w:p>
    <w:p>
      <w:pPr>
        <w:spacing w:before="80" w:after="160"/>
        <w:ind w:left="360" w:right="360"/>
        <w:shd w:fill="F3F5F7"/>
      </w:pPr>
      <w:r>
        <w:t>topopatch/</w:t>
        <w:br/>
        <w:t>├── configs/</w:t>
        <w:br/>
        <w:t>│   ├── model_pairs.yaml</w:t>
        <w:br/>
        <w:t>│   ├── retrieval_constraints.yaml</w:t>
        <w:br/>
        <w:t>│   └── experiment_profiles.yaml</w:t>
        <w:br/>
        <w:t>├── core/</w:t>
        <w:br/>
        <w:t>│   ├── model_registry.py</w:t>
        <w:br/>
        <w:t>│   ├── candidate_envelope.py</w:t>
        <w:br/>
        <w:t>│   ├── probe_engine.py</w:t>
        <w:br/>
        <w:t>│   ├── violation_detector.py</w:t>
        <w:br/>
        <w:t>│   ├── witness_graph.py</w:t>
        <w:br/>
        <w:t>│   ├── repair_optimizer.py</w:t>
        <w:br/>
        <w:t>│   ├── preview_manager.py</w:t>
        <w:br/>
        <w:t>│   ├── safety_barrier.py</w:t>
        <w:br/>
        <w:t>│   ├── selective_migrator.py</w:t>
        <w:br/>
        <w:t>│   ├── dual_space_router.py</w:t>
        <w:br/>
        <w:t>│   ├── ann_repair.py</w:t>
        <w:br/>
        <w:t>│   ├── probe_quorum.py          # optional</w:t>
        <w:br/>
        <w:t>│   └── counterexample_cache.py</w:t>
        <w:br/>
        <w:t>├── storage/</w:t>
        <w:br/>
        <w:t>│   ├── metadata_store.py</w:t>
        <w:br/>
        <w:t>│   ├── faiss_backend.py</w:t>
        <w:br/>
        <w:t>│   └── qdrant_backend.py</w:t>
        <w:br/>
        <w:t>├── api/</w:t>
        <w:br/>
        <w:t>│   └── main.py                  # FastAPI</w:t>
        <w:br/>
        <w:t>├── dashboard/                   # Next.js / React</w:t>
        <w:br/>
        <w:t>├── experiments/</w:t>
        <w:br/>
        <w:t>│   ├── full_migration.py</w:t>
        <w:br/>
        <w:t>│   ├── binary_selective.py</w:t>
        <w:br/>
        <w:t>│   ├── compatibility_baselines.py</w:t>
        <w:br/>
        <w:t>│   ├── barrier_ablation.py</w:t>
        <w:br/>
        <w:t>│   └── candidate_envelope_eval.py</w:t>
        <w:br/>
        <w:t>├── tests/</w:t>
        <w:br/>
        <w:t>└── artifacts/</w:t>
        <w:br/>
        <w:t xml:space="preserve">    ├── manifests/</w:t>
        <w:br/>
        <w:t xml:space="preserve">    ├── witness_graphs/</w:t>
        <w:br/>
        <w:t xml:space="preserve">    └── result_tables/</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DCE6F1"/>
            <w:tcMar>
              <w:top w:w="80" w:type="dxa"/>
              <w:start w:w="100" w:type="dxa"/>
              <w:bottom w:w="80" w:type="dxa"/>
              <w:end w:w="100" w:type="dxa"/>
            </w:tcMar>
            <w:vAlign w:val="center"/>
          </w:tcPr>
          <w:p>
            <w:r>
              <w:rPr>
                <w:b/>
                <w:sz w:val="17"/>
              </w:rPr>
              <w:t>Module</w:t>
            </w:r>
          </w:p>
        </w:tc>
        <w:tc>
          <w:tcPr>
            <w:tcW w:type="dxa" w:w="5184"/>
            <w:shd w:fill="DCE6F1"/>
            <w:tcMar>
              <w:top w:w="80" w:type="dxa"/>
              <w:start w:w="100" w:type="dxa"/>
              <w:bottom w:w="80" w:type="dxa"/>
              <w:end w:w="100" w:type="dxa"/>
            </w:tcMar>
            <w:vAlign w:val="center"/>
          </w:tcPr>
          <w:p>
            <w:r>
              <w:rPr>
                <w:b/>
                <w:sz w:val="17"/>
              </w:rPr>
              <w:t>Responsibility</w:t>
            </w:r>
          </w:p>
        </w:tc>
        <w:tc>
          <w:tcPr>
            <w:tcW w:type="dxa" w:w="1440"/>
            <w:shd w:fill="DCE6F1"/>
            <w:tcMar>
              <w:top w:w="80" w:type="dxa"/>
              <w:start w:w="100" w:type="dxa"/>
              <w:bottom w:w="80" w:type="dxa"/>
              <w:end w:w="100" w:type="dxa"/>
            </w:tcMar>
            <w:vAlign w:val="center"/>
          </w:tcPr>
          <w:p>
            <w:r>
              <w:rPr>
                <w:b/>
                <w:sz w:val="17"/>
              </w:rPr>
              <w:t>MVP priority</w:t>
            </w:r>
          </w:p>
        </w:tc>
      </w:tr>
      <w:tr>
        <w:tc>
          <w:tcPr>
            <w:tcW w:type="dxa" w:w="2448"/>
            <w:tcMar>
              <w:top w:w="80" w:type="dxa"/>
              <w:start w:w="100" w:type="dxa"/>
              <w:bottom w:w="80" w:type="dxa"/>
              <w:end w:w="100" w:type="dxa"/>
            </w:tcMar>
            <w:vAlign w:val="top"/>
          </w:tcPr>
          <w:p>
            <w:r>
              <w:rPr>
                <w:sz w:val="17"/>
              </w:rPr>
              <w:t>ModelPairRegistry</w:t>
            </w:r>
          </w:p>
        </w:tc>
        <w:tc>
          <w:tcPr>
            <w:tcW w:type="dxa" w:w="5184"/>
            <w:tcMar>
              <w:top w:w="80" w:type="dxa"/>
              <w:start w:w="100" w:type="dxa"/>
              <w:bottom w:w="80" w:type="dxa"/>
              <w:end w:w="100" w:type="dxa"/>
            </w:tcMar>
            <w:vAlign w:val="top"/>
          </w:tcPr>
          <w:p>
            <w:r>
              <w:rPr>
                <w:sz w:val="17"/>
              </w:rPr>
              <w:t>Model/dimension/metric/version metadata</w:t>
            </w:r>
          </w:p>
        </w:tc>
        <w:tc>
          <w:tcPr>
            <w:tcW w:type="dxa" w:w="1440"/>
            <w:tcMar>
              <w:top w:w="80" w:type="dxa"/>
              <w:start w:w="100" w:type="dxa"/>
              <w:bottom w:w="80" w:type="dxa"/>
              <w:end w:w="100" w:type="dxa"/>
            </w:tcMar>
            <w:vAlign w:val="top"/>
          </w:tcPr>
          <w:p>
            <w:r>
              <w:rPr>
                <w:sz w:val="17"/>
              </w:rPr>
              <w:t>P0</w:t>
            </w:r>
          </w:p>
        </w:tc>
      </w:tr>
      <w:tr>
        <w:tc>
          <w:tcPr>
            <w:tcW w:type="dxa" w:w="2448"/>
            <w:tcMar>
              <w:top w:w="80" w:type="dxa"/>
              <w:start w:w="100" w:type="dxa"/>
              <w:bottom w:w="80" w:type="dxa"/>
              <w:end w:w="100" w:type="dxa"/>
            </w:tcMar>
            <w:vAlign w:val="top"/>
          </w:tcPr>
          <w:p>
            <w:r>
              <w:rPr>
                <w:sz w:val="17"/>
              </w:rPr>
              <w:t>CandidateEnvelope</w:t>
            </w:r>
          </w:p>
        </w:tc>
        <w:tc>
          <w:tcPr>
            <w:tcW w:type="dxa" w:w="5184"/>
            <w:tcMar>
              <w:top w:w="80" w:type="dxa"/>
              <w:start w:w="100" w:type="dxa"/>
              <w:bottom w:w="80" w:type="dxa"/>
              <w:end w:w="100" w:type="dxa"/>
            </w:tcMar>
            <w:vAlign w:val="top"/>
          </w:tcPr>
          <w:p>
            <w:r>
              <w:rPr>
                <w:sz w:val="17"/>
              </w:rPr>
              <w:t>Budgeted Model-B evidence acquisition</w:t>
            </w:r>
          </w:p>
        </w:tc>
        <w:tc>
          <w:tcPr>
            <w:tcW w:type="dxa" w:w="1440"/>
            <w:tcMar>
              <w:top w:w="80" w:type="dxa"/>
              <w:start w:w="100" w:type="dxa"/>
              <w:bottom w:w="80" w:type="dxa"/>
              <w:end w:w="100" w:type="dxa"/>
            </w:tcMar>
            <w:vAlign w:val="top"/>
          </w:tcPr>
          <w:p>
            <w:r>
              <w:rPr>
                <w:sz w:val="17"/>
              </w:rPr>
              <w:t>P0</w:t>
            </w:r>
          </w:p>
        </w:tc>
      </w:tr>
      <w:tr>
        <w:tc>
          <w:tcPr>
            <w:tcW w:type="dxa" w:w="2448"/>
            <w:tcMar>
              <w:top w:w="80" w:type="dxa"/>
              <w:start w:w="100" w:type="dxa"/>
              <w:bottom w:w="80" w:type="dxa"/>
              <w:end w:w="100" w:type="dxa"/>
            </w:tcMar>
            <w:vAlign w:val="top"/>
          </w:tcPr>
          <w:p>
            <w:r>
              <w:rPr>
                <w:sz w:val="17"/>
              </w:rPr>
              <w:t>ProbeEngine + ViolationDetector</w:t>
            </w:r>
          </w:p>
        </w:tc>
        <w:tc>
          <w:tcPr>
            <w:tcW w:type="dxa" w:w="5184"/>
            <w:tcMar>
              <w:top w:w="80" w:type="dxa"/>
              <w:start w:w="100" w:type="dxa"/>
              <w:bottom w:w="80" w:type="dxa"/>
              <w:end w:w="100" w:type="dxa"/>
            </w:tcMar>
            <w:vAlign w:val="top"/>
          </w:tcPr>
          <w:p>
            <w:r>
              <w:rPr>
                <w:sz w:val="17"/>
              </w:rPr>
              <w:t>Reference/candidate top-k comparison</w:t>
            </w:r>
          </w:p>
        </w:tc>
        <w:tc>
          <w:tcPr>
            <w:tcW w:type="dxa" w:w="1440"/>
            <w:tcMar>
              <w:top w:w="80" w:type="dxa"/>
              <w:start w:w="100" w:type="dxa"/>
              <w:bottom w:w="80" w:type="dxa"/>
              <w:end w:w="100" w:type="dxa"/>
            </w:tcMar>
            <w:vAlign w:val="top"/>
          </w:tcPr>
          <w:p>
            <w:r>
              <w:rPr>
                <w:sz w:val="17"/>
              </w:rPr>
              <w:t>P0</w:t>
            </w:r>
          </w:p>
        </w:tc>
      </w:tr>
      <w:tr>
        <w:tc>
          <w:tcPr>
            <w:tcW w:type="dxa" w:w="2448"/>
            <w:tcMar>
              <w:top w:w="80" w:type="dxa"/>
              <w:start w:w="100" w:type="dxa"/>
              <w:bottom w:w="80" w:type="dxa"/>
              <w:end w:w="100" w:type="dxa"/>
            </w:tcMar>
            <w:vAlign w:val="top"/>
          </w:tcPr>
          <w:p>
            <w:r>
              <w:rPr>
                <w:sz w:val="17"/>
              </w:rPr>
              <w:t>WitnessGraph</w:t>
            </w:r>
          </w:p>
        </w:tc>
        <w:tc>
          <w:tcPr>
            <w:tcW w:type="dxa" w:w="5184"/>
            <w:tcMar>
              <w:top w:w="80" w:type="dxa"/>
              <w:start w:w="100" w:type="dxa"/>
              <w:bottom w:w="80" w:type="dxa"/>
              <w:end w:w="100" w:type="dxa"/>
            </w:tcMar>
            <w:vAlign w:val="top"/>
          </w:tcPr>
          <w:p>
            <w:r>
              <w:rPr>
                <w:sz w:val="17"/>
              </w:rPr>
              <w:t>Failure-to-object mapping</w:t>
            </w:r>
          </w:p>
        </w:tc>
        <w:tc>
          <w:tcPr>
            <w:tcW w:type="dxa" w:w="1440"/>
            <w:tcMar>
              <w:top w:w="80" w:type="dxa"/>
              <w:start w:w="100" w:type="dxa"/>
              <w:bottom w:w="80" w:type="dxa"/>
              <w:end w:w="100" w:type="dxa"/>
            </w:tcMar>
            <w:vAlign w:val="top"/>
          </w:tcPr>
          <w:p>
            <w:r>
              <w:rPr>
                <w:sz w:val="17"/>
              </w:rPr>
              <w:t>P0</w:t>
            </w:r>
          </w:p>
        </w:tc>
      </w:tr>
      <w:tr>
        <w:tc>
          <w:tcPr>
            <w:tcW w:type="dxa" w:w="2448"/>
            <w:tcMar>
              <w:top w:w="80" w:type="dxa"/>
              <w:start w:w="100" w:type="dxa"/>
              <w:bottom w:w="80" w:type="dxa"/>
              <w:end w:w="100" w:type="dxa"/>
            </w:tcMar>
            <w:vAlign w:val="top"/>
          </w:tcPr>
          <w:p>
            <w:r>
              <w:rPr>
                <w:sz w:val="17"/>
              </w:rPr>
              <w:t>RepairOptimizer</w:t>
            </w:r>
          </w:p>
        </w:tc>
        <w:tc>
          <w:tcPr>
            <w:tcW w:type="dxa" w:w="5184"/>
            <w:tcMar>
              <w:top w:w="80" w:type="dxa"/>
              <w:start w:w="100" w:type="dxa"/>
              <w:bottom w:w="80" w:type="dxa"/>
              <w:end w:w="100" w:type="dxa"/>
            </w:tcMar>
            <w:vAlign w:val="top"/>
          </w:tcPr>
          <w:p>
            <w:r>
              <w:rPr>
                <w:sz w:val="17"/>
              </w:rPr>
              <w:t>Weighted minimum repair selection</w:t>
            </w:r>
          </w:p>
        </w:tc>
        <w:tc>
          <w:tcPr>
            <w:tcW w:type="dxa" w:w="1440"/>
            <w:tcMar>
              <w:top w:w="80" w:type="dxa"/>
              <w:start w:w="100" w:type="dxa"/>
              <w:bottom w:w="80" w:type="dxa"/>
              <w:end w:w="100" w:type="dxa"/>
            </w:tcMar>
            <w:vAlign w:val="top"/>
          </w:tcPr>
          <w:p>
            <w:r>
              <w:rPr>
                <w:sz w:val="17"/>
              </w:rPr>
              <w:t>P0</w:t>
            </w:r>
          </w:p>
        </w:tc>
      </w:tr>
      <w:tr>
        <w:tc>
          <w:tcPr>
            <w:tcW w:type="dxa" w:w="2448"/>
            <w:tcMar>
              <w:top w:w="80" w:type="dxa"/>
              <w:start w:w="100" w:type="dxa"/>
              <w:bottom w:w="80" w:type="dxa"/>
              <w:end w:w="100" w:type="dxa"/>
            </w:tcMar>
            <w:vAlign w:val="top"/>
          </w:tcPr>
          <w:p>
            <w:r>
              <w:rPr>
                <w:sz w:val="17"/>
              </w:rPr>
              <w:t>StateSimulator + SafetyBarrier</w:t>
            </w:r>
          </w:p>
        </w:tc>
        <w:tc>
          <w:tcPr>
            <w:tcW w:type="dxa" w:w="5184"/>
            <w:tcMar>
              <w:top w:w="80" w:type="dxa"/>
              <w:start w:w="100" w:type="dxa"/>
              <w:bottom w:w="80" w:type="dxa"/>
              <w:end w:w="100" w:type="dxa"/>
            </w:tcMar>
            <w:vAlign w:val="top"/>
          </w:tcPr>
          <w:p>
            <w:r>
              <w:rPr>
                <w:sz w:val="17"/>
              </w:rPr>
              <w:t>Predict and gate candidate state</w:t>
            </w:r>
          </w:p>
        </w:tc>
        <w:tc>
          <w:tcPr>
            <w:tcW w:type="dxa" w:w="1440"/>
            <w:tcMar>
              <w:top w:w="80" w:type="dxa"/>
              <w:start w:w="100" w:type="dxa"/>
              <w:bottom w:w="80" w:type="dxa"/>
              <w:end w:w="100" w:type="dxa"/>
            </w:tcMar>
            <w:vAlign w:val="top"/>
          </w:tcPr>
          <w:p>
            <w:r>
              <w:rPr>
                <w:sz w:val="17"/>
              </w:rPr>
              <w:t>P0</w:t>
            </w:r>
          </w:p>
        </w:tc>
      </w:tr>
      <w:tr>
        <w:tc>
          <w:tcPr>
            <w:tcW w:type="dxa" w:w="2448"/>
            <w:tcMar>
              <w:top w:w="80" w:type="dxa"/>
              <w:start w:w="100" w:type="dxa"/>
              <w:bottom w:w="80" w:type="dxa"/>
              <w:end w:w="100" w:type="dxa"/>
            </w:tcMar>
            <w:vAlign w:val="top"/>
          </w:tcPr>
          <w:p>
            <w:r>
              <w:rPr>
                <w:sz w:val="17"/>
              </w:rPr>
              <w:t>SelectiveMigrator</w:t>
            </w:r>
          </w:p>
        </w:tc>
        <w:tc>
          <w:tcPr>
            <w:tcW w:type="dxa" w:w="5184"/>
            <w:tcMar>
              <w:top w:w="80" w:type="dxa"/>
              <w:start w:w="100" w:type="dxa"/>
              <w:bottom w:w="80" w:type="dxa"/>
              <w:end w:w="100" w:type="dxa"/>
            </w:tcMar>
            <w:vAlign w:val="top"/>
          </w:tcPr>
          <w:p>
            <w:r>
              <w:rPr>
                <w:sz w:val="17"/>
              </w:rPr>
              <w:t>A→B object movement</w:t>
            </w:r>
          </w:p>
        </w:tc>
        <w:tc>
          <w:tcPr>
            <w:tcW w:type="dxa" w:w="1440"/>
            <w:tcMar>
              <w:top w:w="80" w:type="dxa"/>
              <w:start w:w="100" w:type="dxa"/>
              <w:bottom w:w="80" w:type="dxa"/>
              <w:end w:w="100" w:type="dxa"/>
            </w:tcMar>
            <w:vAlign w:val="top"/>
          </w:tcPr>
          <w:p>
            <w:r>
              <w:rPr>
                <w:sz w:val="17"/>
              </w:rPr>
              <w:t>P0</w:t>
            </w:r>
          </w:p>
        </w:tc>
      </w:tr>
      <w:tr>
        <w:tc>
          <w:tcPr>
            <w:tcW w:type="dxa" w:w="2448"/>
            <w:tcMar>
              <w:top w:w="80" w:type="dxa"/>
              <w:start w:w="100" w:type="dxa"/>
              <w:bottom w:w="80" w:type="dxa"/>
              <w:end w:w="100" w:type="dxa"/>
            </w:tcMar>
            <w:vAlign w:val="top"/>
          </w:tcPr>
          <w:p>
            <w:r>
              <w:rPr>
                <w:sz w:val="17"/>
              </w:rPr>
              <w:t>DualSpaceRouter</w:t>
            </w:r>
          </w:p>
        </w:tc>
        <w:tc>
          <w:tcPr>
            <w:tcW w:type="dxa" w:w="5184"/>
            <w:tcMar>
              <w:top w:w="80" w:type="dxa"/>
              <w:start w:w="100" w:type="dxa"/>
              <w:bottom w:w="80" w:type="dxa"/>
              <w:end w:w="100" w:type="dxa"/>
            </w:tcMar>
            <w:vAlign w:val="top"/>
          </w:tcPr>
          <w:p>
            <w:r>
              <w:rPr>
                <w:sz w:val="17"/>
              </w:rPr>
              <w:t>Native A/B search + fusion during migration</w:t>
            </w:r>
          </w:p>
        </w:tc>
        <w:tc>
          <w:tcPr>
            <w:tcW w:type="dxa" w:w="1440"/>
            <w:tcMar>
              <w:top w:w="80" w:type="dxa"/>
              <w:start w:w="100" w:type="dxa"/>
              <w:bottom w:w="80" w:type="dxa"/>
              <w:end w:w="100" w:type="dxa"/>
            </w:tcMar>
            <w:vAlign w:val="top"/>
          </w:tcPr>
          <w:p>
            <w:r>
              <w:rPr>
                <w:sz w:val="17"/>
              </w:rPr>
              <w:t>P0</w:t>
            </w:r>
          </w:p>
        </w:tc>
      </w:tr>
      <w:tr>
        <w:tc>
          <w:tcPr>
            <w:tcW w:type="dxa" w:w="2448"/>
            <w:tcMar>
              <w:top w:w="80" w:type="dxa"/>
              <w:start w:w="100" w:type="dxa"/>
              <w:bottom w:w="80" w:type="dxa"/>
              <w:end w:w="100" w:type="dxa"/>
            </w:tcMar>
            <w:vAlign w:val="top"/>
          </w:tcPr>
          <w:p>
            <w:r>
              <w:rPr>
                <w:sz w:val="17"/>
              </w:rPr>
              <w:t>ANNRepairEngine</w:t>
            </w:r>
          </w:p>
        </w:tc>
        <w:tc>
          <w:tcPr>
            <w:tcW w:type="dxa" w:w="5184"/>
            <w:tcMar>
              <w:top w:w="80" w:type="dxa"/>
              <w:start w:w="100" w:type="dxa"/>
              <w:bottom w:w="80" w:type="dxa"/>
              <w:end w:w="100" w:type="dxa"/>
            </w:tcMar>
            <w:vAlign w:val="top"/>
          </w:tcPr>
          <w:p>
            <w:r>
              <w:rPr>
                <w:sz w:val="17"/>
              </w:rPr>
              <w:t>Graph/partition-local repair and touched-edge measurement</w:t>
            </w:r>
          </w:p>
        </w:tc>
        <w:tc>
          <w:tcPr>
            <w:tcW w:type="dxa" w:w="1440"/>
            <w:tcMar>
              <w:top w:w="80" w:type="dxa"/>
              <w:start w:w="100" w:type="dxa"/>
              <w:bottom w:w="80" w:type="dxa"/>
              <w:end w:w="100" w:type="dxa"/>
            </w:tcMar>
            <w:vAlign w:val="top"/>
          </w:tcPr>
          <w:p>
            <w:r>
              <w:rPr>
                <w:sz w:val="17"/>
              </w:rPr>
              <w:t>P1</w:t>
            </w:r>
          </w:p>
        </w:tc>
      </w:tr>
      <w:tr>
        <w:tc>
          <w:tcPr>
            <w:tcW w:type="dxa" w:w="2448"/>
            <w:tcMar>
              <w:top w:w="80" w:type="dxa"/>
              <w:start w:w="100" w:type="dxa"/>
              <w:bottom w:w="80" w:type="dxa"/>
              <w:end w:w="100" w:type="dxa"/>
            </w:tcMar>
            <w:vAlign w:val="top"/>
          </w:tcPr>
          <w:p>
            <w:r>
              <w:rPr>
                <w:sz w:val="17"/>
              </w:rPr>
              <w:t>ProbeQuorum</w:t>
            </w:r>
          </w:p>
        </w:tc>
        <w:tc>
          <w:tcPr>
            <w:tcW w:type="dxa" w:w="5184"/>
            <w:tcMar>
              <w:top w:w="80" w:type="dxa"/>
              <w:start w:w="100" w:type="dxa"/>
              <w:bottom w:w="80" w:type="dxa"/>
              <w:end w:w="100" w:type="dxa"/>
            </w:tcMar>
            <w:vAlign w:val="top"/>
          </w:tcPr>
          <w:p>
            <w:r>
              <w:rPr>
                <w:sz w:val="17"/>
              </w:rPr>
              <w:t>Poisoning-resistant evidence admission</w:t>
            </w:r>
          </w:p>
        </w:tc>
        <w:tc>
          <w:tcPr>
            <w:tcW w:type="dxa" w:w="1440"/>
            <w:tcMar>
              <w:top w:w="80" w:type="dxa"/>
              <w:start w:w="100" w:type="dxa"/>
              <w:bottom w:w="80" w:type="dxa"/>
              <w:end w:w="100" w:type="dxa"/>
            </w:tcMar>
            <w:vAlign w:val="top"/>
          </w:tcPr>
          <w:p>
            <w:r>
              <w:rPr>
                <w:sz w:val="17"/>
              </w:rPr>
              <w:t>P2</w:t>
            </w:r>
          </w:p>
        </w:tc>
      </w:tr>
      <w:tr>
        <w:tc>
          <w:tcPr>
            <w:tcW w:type="dxa" w:w="2448"/>
            <w:tcMar>
              <w:top w:w="80" w:type="dxa"/>
              <w:start w:w="100" w:type="dxa"/>
              <w:bottom w:w="80" w:type="dxa"/>
              <w:end w:w="100" w:type="dxa"/>
            </w:tcMar>
            <w:vAlign w:val="top"/>
          </w:tcPr>
          <w:p>
            <w:r>
              <w:rPr>
                <w:sz w:val="17"/>
              </w:rPr>
              <w:t>Dashboard</w:t>
            </w:r>
          </w:p>
        </w:tc>
        <w:tc>
          <w:tcPr>
            <w:tcW w:type="dxa" w:w="5184"/>
            <w:tcMar>
              <w:top w:w="80" w:type="dxa"/>
              <w:start w:w="100" w:type="dxa"/>
              <w:bottom w:w="80" w:type="dxa"/>
              <w:end w:w="100" w:type="dxa"/>
            </w:tcMar>
            <w:vAlign w:val="top"/>
          </w:tcPr>
          <w:p>
            <w:r>
              <w:rPr>
                <w:sz w:val="17"/>
              </w:rPr>
              <w:t>Visualization/demo</w:t>
            </w:r>
          </w:p>
        </w:tc>
        <w:tc>
          <w:tcPr>
            <w:tcW w:type="dxa" w:w="1440"/>
            <w:tcMar>
              <w:top w:w="80" w:type="dxa"/>
              <w:start w:w="100" w:type="dxa"/>
              <w:bottom w:w="80" w:type="dxa"/>
              <w:end w:w="100" w:type="dxa"/>
            </w:tcMar>
            <w:vAlign w:val="top"/>
          </w:tcPr>
          <w:p>
            <w:r>
              <w:rPr>
                <w:sz w:val="17"/>
              </w:rPr>
              <w:t>P2</w:t>
            </w:r>
          </w:p>
        </w:tc>
      </w:tr>
    </w:tbl>
    <w:p>
      <w:pPr>
        <w:pStyle w:val="Heading1"/>
      </w:pPr>
      <w:r>
        <w:t>9. MVP Build Plan and Technology Stack</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DCE6F1"/>
            <w:tcMar>
              <w:top w:w="80" w:type="dxa"/>
              <w:start w:w="100" w:type="dxa"/>
              <w:bottom w:w="80" w:type="dxa"/>
              <w:end w:w="100" w:type="dxa"/>
            </w:tcMar>
            <w:vAlign w:val="center"/>
          </w:tcPr>
          <w:p>
            <w:r>
              <w:rPr>
                <w:b/>
                <w:sz w:val="16"/>
              </w:rPr>
              <w:t>Layer</w:t>
            </w:r>
          </w:p>
        </w:tc>
        <w:tc>
          <w:tcPr>
            <w:tcW w:type="dxa" w:w="3168"/>
            <w:shd w:fill="DCE6F1"/>
            <w:tcMar>
              <w:top w:w="80" w:type="dxa"/>
              <w:start w:w="100" w:type="dxa"/>
              <w:bottom w:w="80" w:type="dxa"/>
              <w:end w:w="100" w:type="dxa"/>
            </w:tcMar>
            <w:vAlign w:val="center"/>
          </w:tcPr>
          <w:p>
            <w:r>
              <w:rPr>
                <w:b/>
                <w:sz w:val="16"/>
              </w:rPr>
              <w:t>Recommended choice</w:t>
            </w:r>
          </w:p>
        </w:tc>
        <w:tc>
          <w:tcPr>
            <w:tcW w:type="dxa" w:w="5184"/>
            <w:shd w:fill="DCE6F1"/>
            <w:tcMar>
              <w:top w:w="80" w:type="dxa"/>
              <w:start w:w="100" w:type="dxa"/>
              <w:bottom w:w="80" w:type="dxa"/>
              <w:end w:w="100" w:type="dxa"/>
            </w:tcMar>
            <w:vAlign w:val="center"/>
          </w:tcPr>
          <w:p>
            <w:r>
              <w:rPr>
                <w:b/>
                <w:sz w:val="16"/>
              </w:rPr>
              <w:t>Reason</w:t>
            </w:r>
          </w:p>
        </w:tc>
      </w:tr>
      <w:tr>
        <w:tc>
          <w:tcPr>
            <w:tcW w:type="dxa" w:w="2088"/>
            <w:tcMar>
              <w:top w:w="80" w:type="dxa"/>
              <w:start w:w="100" w:type="dxa"/>
              <w:bottom w:w="80" w:type="dxa"/>
              <w:end w:w="100" w:type="dxa"/>
            </w:tcMar>
            <w:vAlign w:val="top"/>
          </w:tcPr>
          <w:p>
            <w:r>
              <w:rPr>
                <w:sz w:val="16"/>
              </w:rPr>
              <w:t>Language</w:t>
            </w:r>
          </w:p>
        </w:tc>
        <w:tc>
          <w:tcPr>
            <w:tcW w:type="dxa" w:w="3168"/>
            <w:tcMar>
              <w:top w:w="80" w:type="dxa"/>
              <w:start w:w="100" w:type="dxa"/>
              <w:bottom w:w="80" w:type="dxa"/>
              <w:end w:w="100" w:type="dxa"/>
            </w:tcMar>
            <w:vAlign w:val="top"/>
          </w:tcPr>
          <w:p>
            <w:r>
              <w:rPr>
                <w:sz w:val="16"/>
              </w:rPr>
              <w:t>Python 3.11+</w:t>
            </w:r>
          </w:p>
        </w:tc>
        <w:tc>
          <w:tcPr>
            <w:tcW w:type="dxa" w:w="5184"/>
            <w:tcMar>
              <w:top w:w="80" w:type="dxa"/>
              <w:start w:w="100" w:type="dxa"/>
              <w:bottom w:w="80" w:type="dxa"/>
              <w:end w:w="100" w:type="dxa"/>
            </w:tcMar>
            <w:vAlign w:val="top"/>
          </w:tcPr>
          <w:p>
            <w:r>
              <w:rPr>
                <w:sz w:val="16"/>
              </w:rPr>
              <w:t>Fast experimentation and ML/vector ecosystem.</w:t>
            </w:r>
          </w:p>
        </w:tc>
      </w:tr>
      <w:tr>
        <w:tc>
          <w:tcPr>
            <w:tcW w:type="dxa" w:w="2088"/>
            <w:tcMar>
              <w:top w:w="80" w:type="dxa"/>
              <w:start w:w="100" w:type="dxa"/>
              <w:bottom w:w="80" w:type="dxa"/>
              <w:end w:w="100" w:type="dxa"/>
            </w:tcMar>
            <w:vAlign w:val="top"/>
          </w:tcPr>
          <w:p>
            <w:r>
              <w:rPr>
                <w:sz w:val="16"/>
              </w:rPr>
              <w:t>Embedding models</w:t>
            </w:r>
          </w:p>
        </w:tc>
        <w:tc>
          <w:tcPr>
            <w:tcW w:type="dxa" w:w="3168"/>
            <w:tcMar>
              <w:top w:w="80" w:type="dxa"/>
              <w:start w:w="100" w:type="dxa"/>
              <w:bottom w:w="80" w:type="dxa"/>
              <w:end w:w="100" w:type="dxa"/>
            </w:tcMar>
            <w:vAlign w:val="top"/>
          </w:tcPr>
          <w:p>
            <w:r>
              <w:rPr>
                <w:sz w:val="16"/>
              </w:rPr>
              <w:t>sentence-transformers / Hugging Face</w:t>
            </w:r>
          </w:p>
        </w:tc>
        <w:tc>
          <w:tcPr>
            <w:tcW w:type="dxa" w:w="5184"/>
            <w:tcMar>
              <w:top w:w="80" w:type="dxa"/>
              <w:start w:w="100" w:type="dxa"/>
              <w:bottom w:w="80" w:type="dxa"/>
              <w:end w:w="100" w:type="dxa"/>
            </w:tcMar>
            <w:vAlign w:val="top"/>
          </w:tcPr>
          <w:p>
            <w:r>
              <w:rPr>
                <w:sz w:val="16"/>
              </w:rPr>
              <w:t>Easy local model-pair experiments.</w:t>
            </w:r>
          </w:p>
        </w:tc>
      </w:tr>
      <w:tr>
        <w:tc>
          <w:tcPr>
            <w:tcW w:type="dxa" w:w="2088"/>
            <w:tcMar>
              <w:top w:w="80" w:type="dxa"/>
              <w:start w:w="100" w:type="dxa"/>
              <w:bottom w:w="80" w:type="dxa"/>
              <w:end w:w="100" w:type="dxa"/>
            </w:tcMar>
            <w:vAlign w:val="top"/>
          </w:tcPr>
          <w:p>
            <w:r>
              <w:rPr>
                <w:sz w:val="16"/>
              </w:rPr>
              <w:t>Exact/ground-truth search</w:t>
            </w:r>
          </w:p>
        </w:tc>
        <w:tc>
          <w:tcPr>
            <w:tcW w:type="dxa" w:w="3168"/>
            <w:tcMar>
              <w:top w:w="80" w:type="dxa"/>
              <w:start w:w="100" w:type="dxa"/>
              <w:bottom w:w="80" w:type="dxa"/>
              <w:end w:w="100" w:type="dxa"/>
            </w:tcMar>
            <w:vAlign w:val="top"/>
          </w:tcPr>
          <w:p>
            <w:r>
              <w:rPr>
                <w:sz w:val="16"/>
              </w:rPr>
              <w:t>FAISS IndexFlatIP / IndexFlatL2</w:t>
            </w:r>
          </w:p>
        </w:tc>
        <w:tc>
          <w:tcPr>
            <w:tcW w:type="dxa" w:w="5184"/>
            <w:tcMar>
              <w:top w:w="80" w:type="dxa"/>
              <w:start w:w="100" w:type="dxa"/>
              <w:bottom w:w="80" w:type="dxa"/>
              <w:end w:w="100" w:type="dxa"/>
            </w:tcMar>
            <w:vAlign w:val="top"/>
          </w:tcPr>
          <w:p>
            <w:r>
              <w:rPr>
                <w:sz w:val="16"/>
              </w:rPr>
              <w:t>Simple, deterministic baseline.</w:t>
            </w:r>
          </w:p>
        </w:tc>
      </w:tr>
      <w:tr>
        <w:tc>
          <w:tcPr>
            <w:tcW w:type="dxa" w:w="2088"/>
            <w:tcMar>
              <w:top w:w="80" w:type="dxa"/>
              <w:start w:w="100" w:type="dxa"/>
              <w:bottom w:w="80" w:type="dxa"/>
              <w:end w:w="100" w:type="dxa"/>
            </w:tcMar>
            <w:vAlign w:val="top"/>
          </w:tcPr>
          <w:p>
            <w:r>
              <w:rPr>
                <w:sz w:val="16"/>
              </w:rPr>
              <w:t>Approximate search</w:t>
            </w:r>
          </w:p>
        </w:tc>
        <w:tc>
          <w:tcPr>
            <w:tcW w:type="dxa" w:w="3168"/>
            <w:tcMar>
              <w:top w:w="80" w:type="dxa"/>
              <w:start w:w="100" w:type="dxa"/>
              <w:bottom w:w="80" w:type="dxa"/>
              <w:end w:w="100" w:type="dxa"/>
            </w:tcMar>
            <w:vAlign w:val="top"/>
          </w:tcPr>
          <w:p>
            <w:r>
              <w:rPr>
                <w:sz w:val="16"/>
              </w:rPr>
              <w:t>FAISS HNSW or Qdrant HNSW</w:t>
            </w:r>
          </w:p>
        </w:tc>
        <w:tc>
          <w:tcPr>
            <w:tcW w:type="dxa" w:w="5184"/>
            <w:tcMar>
              <w:top w:w="80" w:type="dxa"/>
              <w:start w:w="100" w:type="dxa"/>
              <w:bottom w:w="80" w:type="dxa"/>
              <w:end w:w="100" w:type="dxa"/>
            </w:tcMar>
            <w:vAlign w:val="top"/>
          </w:tcPr>
          <w:p>
            <w:r>
              <w:rPr>
                <w:sz w:val="16"/>
              </w:rPr>
              <w:t>Production-like ANN stage.</w:t>
            </w:r>
          </w:p>
        </w:tc>
      </w:tr>
      <w:tr>
        <w:tc>
          <w:tcPr>
            <w:tcW w:type="dxa" w:w="2088"/>
            <w:tcMar>
              <w:top w:w="80" w:type="dxa"/>
              <w:start w:w="100" w:type="dxa"/>
              <w:bottom w:w="80" w:type="dxa"/>
              <w:end w:w="100" w:type="dxa"/>
            </w:tcMar>
            <w:vAlign w:val="top"/>
          </w:tcPr>
          <w:p>
            <w:r>
              <w:rPr>
                <w:sz w:val="16"/>
              </w:rPr>
              <w:t>Graph experiments</w:t>
            </w:r>
          </w:p>
        </w:tc>
        <w:tc>
          <w:tcPr>
            <w:tcW w:type="dxa" w:w="3168"/>
            <w:tcMar>
              <w:top w:w="80" w:type="dxa"/>
              <w:start w:w="100" w:type="dxa"/>
              <w:bottom w:w="80" w:type="dxa"/>
              <w:end w:w="100" w:type="dxa"/>
            </w:tcMar>
            <w:vAlign w:val="top"/>
          </w:tcPr>
          <w:p>
            <w:r>
              <w:rPr>
                <w:sz w:val="16"/>
              </w:rPr>
              <w:t>NetworkX or custom adjacency + optional HNSW instrumentation</w:t>
            </w:r>
          </w:p>
        </w:tc>
        <w:tc>
          <w:tcPr>
            <w:tcW w:type="dxa" w:w="5184"/>
            <w:tcMar>
              <w:top w:w="80" w:type="dxa"/>
              <w:start w:w="100" w:type="dxa"/>
              <w:bottom w:w="80" w:type="dxa"/>
              <w:end w:w="100" w:type="dxa"/>
            </w:tcMar>
            <w:vAlign w:val="top"/>
          </w:tcPr>
          <w:p>
            <w:r>
              <w:rPr>
                <w:sz w:val="16"/>
              </w:rPr>
              <w:t>Lets you count nodes/edges touched.</w:t>
            </w:r>
          </w:p>
        </w:tc>
      </w:tr>
      <w:tr>
        <w:tc>
          <w:tcPr>
            <w:tcW w:type="dxa" w:w="2088"/>
            <w:tcMar>
              <w:top w:w="80" w:type="dxa"/>
              <w:start w:w="100" w:type="dxa"/>
              <w:bottom w:w="80" w:type="dxa"/>
              <w:end w:w="100" w:type="dxa"/>
            </w:tcMar>
            <w:vAlign w:val="top"/>
          </w:tcPr>
          <w:p>
            <w:r>
              <w:rPr>
                <w:sz w:val="16"/>
              </w:rPr>
              <w:t>Optimization</w:t>
            </w:r>
          </w:p>
        </w:tc>
        <w:tc>
          <w:tcPr>
            <w:tcW w:type="dxa" w:w="3168"/>
            <w:tcMar>
              <w:top w:w="80" w:type="dxa"/>
              <w:start w:w="100" w:type="dxa"/>
              <w:bottom w:w="80" w:type="dxa"/>
              <w:end w:w="100" w:type="dxa"/>
            </w:tcMar>
            <w:vAlign w:val="top"/>
          </w:tcPr>
          <w:p>
            <w:r>
              <w:rPr>
                <w:sz w:val="16"/>
              </w:rPr>
              <w:t>OR-Tools / PuLP / SciPy</w:t>
            </w:r>
          </w:p>
        </w:tc>
        <w:tc>
          <w:tcPr>
            <w:tcW w:type="dxa" w:w="5184"/>
            <w:tcMar>
              <w:top w:w="80" w:type="dxa"/>
              <w:start w:w="100" w:type="dxa"/>
              <w:bottom w:w="80" w:type="dxa"/>
              <w:end w:w="100" w:type="dxa"/>
            </w:tcMar>
            <w:vAlign w:val="top"/>
          </w:tcPr>
          <w:p>
            <w:r>
              <w:rPr>
                <w:sz w:val="16"/>
              </w:rPr>
              <w:t>Greedy set cover + ILP comparisons.</w:t>
            </w:r>
          </w:p>
        </w:tc>
      </w:tr>
      <w:tr>
        <w:tc>
          <w:tcPr>
            <w:tcW w:type="dxa" w:w="2088"/>
            <w:tcMar>
              <w:top w:w="80" w:type="dxa"/>
              <w:start w:w="100" w:type="dxa"/>
              <w:bottom w:w="80" w:type="dxa"/>
              <w:end w:w="100" w:type="dxa"/>
            </w:tcMar>
            <w:vAlign w:val="top"/>
          </w:tcPr>
          <w:p>
            <w:r>
              <w:rPr>
                <w:sz w:val="16"/>
              </w:rPr>
              <w:t>Backend API</w:t>
            </w:r>
          </w:p>
        </w:tc>
        <w:tc>
          <w:tcPr>
            <w:tcW w:type="dxa" w:w="3168"/>
            <w:tcMar>
              <w:top w:w="80" w:type="dxa"/>
              <w:start w:w="100" w:type="dxa"/>
              <w:bottom w:w="80" w:type="dxa"/>
              <w:end w:w="100" w:type="dxa"/>
            </w:tcMar>
            <w:vAlign w:val="top"/>
          </w:tcPr>
          <w:p>
            <w:r>
              <w:rPr>
                <w:sz w:val="16"/>
              </w:rPr>
              <w:t>FastAPI</w:t>
            </w:r>
          </w:p>
        </w:tc>
        <w:tc>
          <w:tcPr>
            <w:tcW w:type="dxa" w:w="5184"/>
            <w:tcMar>
              <w:top w:w="80" w:type="dxa"/>
              <w:start w:w="100" w:type="dxa"/>
              <w:bottom w:w="80" w:type="dxa"/>
              <w:end w:w="100" w:type="dxa"/>
            </w:tcMar>
            <w:vAlign w:val="top"/>
          </w:tcPr>
          <w:p>
            <w:r>
              <w:rPr>
                <w:sz w:val="16"/>
              </w:rPr>
              <w:t>Clean experiment/dashboard boundary.</w:t>
            </w:r>
          </w:p>
        </w:tc>
      </w:tr>
      <w:tr>
        <w:tc>
          <w:tcPr>
            <w:tcW w:type="dxa" w:w="2088"/>
            <w:tcMar>
              <w:top w:w="80" w:type="dxa"/>
              <w:start w:w="100" w:type="dxa"/>
              <w:bottom w:w="80" w:type="dxa"/>
              <w:end w:w="100" w:type="dxa"/>
            </w:tcMar>
            <w:vAlign w:val="top"/>
          </w:tcPr>
          <w:p>
            <w:r>
              <w:rPr>
                <w:sz w:val="16"/>
              </w:rPr>
              <w:t>Metadata</w:t>
            </w:r>
          </w:p>
        </w:tc>
        <w:tc>
          <w:tcPr>
            <w:tcW w:type="dxa" w:w="3168"/>
            <w:tcMar>
              <w:top w:w="80" w:type="dxa"/>
              <w:start w:w="100" w:type="dxa"/>
              <w:bottom w:w="80" w:type="dxa"/>
              <w:end w:w="100" w:type="dxa"/>
            </w:tcMar>
            <w:vAlign w:val="top"/>
          </w:tcPr>
          <w:p>
            <w:r>
              <w:rPr>
                <w:sz w:val="16"/>
              </w:rPr>
              <w:t>SQLite initially; PostgreSQL later</w:t>
            </w:r>
          </w:p>
        </w:tc>
        <w:tc>
          <w:tcPr>
            <w:tcW w:type="dxa" w:w="5184"/>
            <w:tcMar>
              <w:top w:w="80" w:type="dxa"/>
              <w:start w:w="100" w:type="dxa"/>
              <w:bottom w:w="80" w:type="dxa"/>
              <w:end w:w="100" w:type="dxa"/>
            </w:tcMar>
            <w:vAlign w:val="top"/>
          </w:tcPr>
          <w:p>
            <w:r>
              <w:rPr>
                <w:sz w:val="16"/>
              </w:rPr>
              <w:t>Enough for manifests/states.</w:t>
            </w:r>
          </w:p>
        </w:tc>
      </w:tr>
      <w:tr>
        <w:tc>
          <w:tcPr>
            <w:tcW w:type="dxa" w:w="2088"/>
            <w:tcMar>
              <w:top w:w="80" w:type="dxa"/>
              <w:start w:w="100" w:type="dxa"/>
              <w:bottom w:w="80" w:type="dxa"/>
              <w:end w:w="100" w:type="dxa"/>
            </w:tcMar>
            <w:vAlign w:val="top"/>
          </w:tcPr>
          <w:p>
            <w:r>
              <w:rPr>
                <w:sz w:val="16"/>
              </w:rPr>
              <w:t>Dashboard</w:t>
            </w:r>
          </w:p>
        </w:tc>
        <w:tc>
          <w:tcPr>
            <w:tcW w:type="dxa" w:w="3168"/>
            <w:tcMar>
              <w:top w:w="80" w:type="dxa"/>
              <w:start w:w="100" w:type="dxa"/>
              <w:bottom w:w="80" w:type="dxa"/>
              <w:end w:w="100" w:type="dxa"/>
            </w:tcMar>
            <w:vAlign w:val="top"/>
          </w:tcPr>
          <w:p>
            <w:r>
              <w:rPr>
                <w:sz w:val="16"/>
              </w:rPr>
              <w:t>Next.js / React + charts</w:t>
            </w:r>
          </w:p>
        </w:tc>
        <w:tc>
          <w:tcPr>
            <w:tcW w:type="dxa" w:w="5184"/>
            <w:tcMar>
              <w:top w:w="80" w:type="dxa"/>
              <w:start w:w="100" w:type="dxa"/>
              <w:bottom w:w="80" w:type="dxa"/>
              <w:end w:w="100" w:type="dxa"/>
            </w:tcMar>
            <w:vAlign w:val="top"/>
          </w:tcPr>
          <w:p>
            <w:r>
              <w:rPr>
                <w:sz w:val="16"/>
              </w:rPr>
              <w:t>Live migration/witness/barrier visualization.</w:t>
            </w:r>
          </w:p>
        </w:tc>
      </w:tr>
      <w:tr>
        <w:tc>
          <w:tcPr>
            <w:tcW w:type="dxa" w:w="2088"/>
            <w:tcMar>
              <w:top w:w="80" w:type="dxa"/>
              <w:start w:w="100" w:type="dxa"/>
              <w:bottom w:w="80" w:type="dxa"/>
              <w:end w:w="100" w:type="dxa"/>
            </w:tcMar>
            <w:vAlign w:val="top"/>
          </w:tcPr>
          <w:p>
            <w:r>
              <w:rPr>
                <w:sz w:val="16"/>
              </w:rPr>
              <w:t>Experiment tracking</w:t>
            </w:r>
          </w:p>
        </w:tc>
        <w:tc>
          <w:tcPr>
            <w:tcW w:type="dxa" w:w="3168"/>
            <w:tcMar>
              <w:top w:w="80" w:type="dxa"/>
              <w:start w:w="100" w:type="dxa"/>
              <w:bottom w:w="80" w:type="dxa"/>
              <w:end w:w="100" w:type="dxa"/>
            </w:tcMar>
            <w:vAlign w:val="top"/>
          </w:tcPr>
          <w:p>
            <w:r>
              <w:rPr>
                <w:sz w:val="16"/>
              </w:rPr>
              <w:t>JSON/Parquet + optional MLflow/W&amp;B</w:t>
            </w:r>
          </w:p>
        </w:tc>
        <w:tc>
          <w:tcPr>
            <w:tcW w:type="dxa" w:w="5184"/>
            <w:tcMar>
              <w:top w:w="80" w:type="dxa"/>
              <w:start w:w="100" w:type="dxa"/>
              <w:bottom w:w="80" w:type="dxa"/>
              <w:end w:w="100" w:type="dxa"/>
            </w:tcMar>
            <w:vAlign w:val="top"/>
          </w:tcPr>
          <w:p>
            <w:r>
              <w:rPr>
                <w:sz w:val="16"/>
              </w:rPr>
              <w:t>Reproducible patent/research evidence.</w:t>
            </w:r>
          </w:p>
        </w:tc>
      </w:tr>
    </w:tbl>
    <w:p>
      <w:r>
        <w:rPr>
          <w:b/>
        </w:rPr>
        <w:t xml:space="preserve">Minimum hardware: </w:t>
      </w:r>
      <w:r>
        <w:t>a normal development laptop can run the first 10k–100k document prototype with compact sentence-transformer models. GPU accelerates re-embedding but is not required to prove the architecture. For larger runs, use a cloud GPU only after the logic is validated.</w:t>
      </w:r>
    </w:p>
    <w:p>
      <w:pPr>
        <w:pStyle w:val="Heading1"/>
      </w:pPr>
      <w:r>
        <w:t>10. Dataset, Model Pair, and Experiment Design</w:t>
      </w:r>
    </w:p>
    <w:p>
      <w:pPr>
        <w:pStyle w:val="Heading2"/>
      </w:pPr>
      <w:r>
        <w:t>10.1 Dataset choice</w:t>
      </w:r>
    </w:p>
    <w:p>
      <w:pPr>
        <w:pStyle w:val="ListBullet"/>
      </w:pPr>
      <w:r>
        <w:t>Start with a text retrieval benchmark from BEIR/MTEB-style datasets because they provide queries, corpora, and relevance labels.</w:t>
      </w:r>
    </w:p>
    <w:p>
      <w:pPr>
        <w:pStyle w:val="ListBullet"/>
      </w:pPr>
      <w:r>
        <w:t>Use one small dataset for debugging (10k–30k documents) and at least one larger corpus for system-cost measurements (50k–200k+ documents).</w:t>
      </w:r>
    </w:p>
    <w:p>
      <w:pPr>
        <w:pStyle w:val="ListBullet"/>
      </w:pPr>
      <w:r>
        <w:t>Preserve raw text so selected objects can be re-embedded on demand.</w:t>
      </w:r>
    </w:p>
    <w:p>
      <w:pPr>
        <w:pStyle w:val="ListBullet"/>
      </w:pPr>
      <w:r>
        <w:t>Create protected query slices: normal queries, difficult/low-margin queries, and hand-selected critical queries.</w:t>
      </w:r>
    </w:p>
    <w:p>
      <w:pPr>
        <w:pStyle w:val="Heading2"/>
      </w:pPr>
      <w:r>
        <w:t>10.2 Model-pair selection</w:t>
      </w:r>
    </w:p>
    <w:p>
      <w:r>
        <w:t>Use at least two upgrade pairs:</w:t>
      </w:r>
    </w:p>
    <w:p>
      <w:pPr>
        <w:pStyle w:val="ListBullet"/>
      </w:pPr>
      <w:r>
        <w:t>Pair 1 — same vector dimension but noticeably different retrieval behavior. This isolates migration logic without dimension complications.</w:t>
      </w:r>
    </w:p>
    <w:p>
      <w:pPr>
        <w:pStyle w:val="ListBullet"/>
      </w:pPr>
      <w:r>
        <w:t>Pair 2 — different vector dimensions. This validates the dual-space architecture and proves that the implementation never relies on raw cross-space distance comparison.</w:t>
      </w:r>
    </w:p>
    <w:p>
      <w:r>
        <w:t>Do not choose two nearly identical model checkpoints just to make TopoPatch look good; the benchmark should contain real migration stress.</w:t>
      </w:r>
    </w:p>
    <w:p>
      <w:pPr>
        <w:pStyle w:val="Heading2"/>
      </w:pPr>
      <w:r>
        <w:t>10.3 Baselines</w:t>
      </w:r>
    </w:p>
    <w:tbl>
      <w:tblPr>
        <w:tblStyle w:val="TableGrid"/>
        <w:tblW w:type="auto" w:w="0"/>
        <w:jc w:val="center"/>
        <w:tblLook w:firstColumn="1" w:firstRow="1" w:lastColumn="0" w:lastRow="0" w:noHBand="0" w:noVBand="1" w:val="04A0"/>
      </w:tblPr>
      <w:tblGrid>
        <w:gridCol w:w="4997"/>
        <w:gridCol w:w="4997"/>
      </w:tblGrid>
      <w:tr>
        <w:tc>
          <w:tcPr>
            <w:tcW w:type="dxa" w:w="3456"/>
            <w:shd w:fill="DCE6F1"/>
            <w:tcMar>
              <w:top w:w="80" w:type="dxa"/>
              <w:start w:w="100" w:type="dxa"/>
              <w:bottom w:w="80" w:type="dxa"/>
              <w:end w:w="100" w:type="dxa"/>
            </w:tcMar>
            <w:vAlign w:val="center"/>
          </w:tcPr>
          <w:p>
            <w:r>
              <w:rPr>
                <w:b/>
                <w:sz w:val="17"/>
              </w:rPr>
              <w:t>Baseline</w:t>
            </w:r>
          </w:p>
        </w:tc>
        <w:tc>
          <w:tcPr>
            <w:tcW w:type="dxa" w:w="6912"/>
            <w:shd w:fill="DCE6F1"/>
            <w:tcMar>
              <w:top w:w="80" w:type="dxa"/>
              <w:start w:w="100" w:type="dxa"/>
              <w:bottom w:w="80" w:type="dxa"/>
              <w:end w:w="100" w:type="dxa"/>
            </w:tcMar>
            <w:vAlign w:val="center"/>
          </w:tcPr>
          <w:p>
            <w:r>
              <w:rPr>
                <w:b/>
                <w:sz w:val="17"/>
              </w:rPr>
              <w:t>Purpose</w:t>
            </w:r>
          </w:p>
        </w:tc>
      </w:tr>
      <w:tr>
        <w:tc>
          <w:tcPr>
            <w:tcW w:type="dxa" w:w="3456"/>
            <w:tcMar>
              <w:top w:w="80" w:type="dxa"/>
              <w:start w:w="100" w:type="dxa"/>
              <w:bottom w:w="80" w:type="dxa"/>
              <w:end w:w="100" w:type="dxa"/>
            </w:tcMar>
            <w:vAlign w:val="top"/>
          </w:tcPr>
          <w:p>
            <w:r>
              <w:rPr>
                <w:sz w:val="17"/>
              </w:rPr>
              <w:t>Full migration</w:t>
            </w:r>
          </w:p>
        </w:tc>
        <w:tc>
          <w:tcPr>
            <w:tcW w:type="dxa" w:w="6912"/>
            <w:tcMar>
              <w:top w:w="80" w:type="dxa"/>
              <w:start w:w="100" w:type="dxa"/>
              <w:bottom w:w="80" w:type="dxa"/>
              <w:end w:w="100" w:type="dxa"/>
            </w:tcMar>
            <w:vAlign w:val="top"/>
          </w:tcPr>
          <w:p>
            <w:r>
              <w:rPr>
                <w:sz w:val="17"/>
              </w:rPr>
              <w:t>Gold standard: re-embed entire corpus with B and build B index.</w:t>
            </w:r>
          </w:p>
        </w:tc>
      </w:tr>
      <w:tr>
        <w:tc>
          <w:tcPr>
            <w:tcW w:type="dxa" w:w="3456"/>
            <w:tcMar>
              <w:top w:w="80" w:type="dxa"/>
              <w:start w:w="100" w:type="dxa"/>
              <w:bottom w:w="80" w:type="dxa"/>
              <w:end w:w="100" w:type="dxa"/>
            </w:tcMar>
            <w:vAlign w:val="top"/>
          </w:tcPr>
          <w:p>
            <w:r>
              <w:rPr>
                <w:sz w:val="17"/>
              </w:rPr>
              <w:t>Qdrant/blue-green style full backfill</w:t>
            </w:r>
          </w:p>
        </w:tc>
        <w:tc>
          <w:tcPr>
            <w:tcW w:type="dxa" w:w="6912"/>
            <w:tcMar>
              <w:top w:w="80" w:type="dxa"/>
              <w:start w:w="100" w:type="dxa"/>
              <w:bottom w:w="80" w:type="dxa"/>
              <w:end w:w="100" w:type="dxa"/>
            </w:tcMar>
            <w:vAlign w:val="top"/>
          </w:tcPr>
          <w:p>
            <w:r>
              <w:rPr>
                <w:sz w:val="17"/>
              </w:rPr>
              <w:t>Operational baseline for time/storage behavior.</w:t>
            </w:r>
          </w:p>
        </w:tc>
      </w:tr>
      <w:tr>
        <w:tc>
          <w:tcPr>
            <w:tcW w:type="dxa" w:w="3456"/>
            <w:tcMar>
              <w:top w:w="80" w:type="dxa"/>
              <w:start w:w="100" w:type="dxa"/>
              <w:bottom w:w="80" w:type="dxa"/>
              <w:end w:w="100" w:type="dxa"/>
            </w:tcMar>
            <w:vAlign w:val="top"/>
          </w:tcPr>
          <w:p>
            <w:r>
              <w:rPr>
                <w:sz w:val="17"/>
              </w:rPr>
              <w:t>Backward/forward compatibility baseline</w:t>
            </w:r>
          </w:p>
        </w:tc>
        <w:tc>
          <w:tcPr>
            <w:tcW w:type="dxa" w:w="6912"/>
            <w:tcMar>
              <w:top w:w="80" w:type="dxa"/>
              <w:start w:w="100" w:type="dxa"/>
              <w:bottom w:w="80" w:type="dxa"/>
              <w:end w:w="100" w:type="dxa"/>
            </w:tcMar>
            <w:vAlign w:val="top"/>
          </w:tcPr>
          <w:p>
            <w:r>
              <w:rPr>
                <w:sz w:val="17"/>
              </w:rPr>
              <w:t>Compare with known compatibility approaches where implementation is practical.</w:t>
            </w:r>
          </w:p>
        </w:tc>
      </w:tr>
      <w:tr>
        <w:tc>
          <w:tcPr>
            <w:tcW w:type="dxa" w:w="3456"/>
            <w:tcMar>
              <w:top w:w="80" w:type="dxa"/>
              <w:start w:w="100" w:type="dxa"/>
              <w:bottom w:w="80" w:type="dxa"/>
              <w:end w:w="100" w:type="dxa"/>
            </w:tcMar>
            <w:vAlign w:val="top"/>
          </w:tcPr>
          <w:p>
            <w:r>
              <w:rPr>
                <w:sz w:val="17"/>
              </w:rPr>
              <w:t>Coarse shard/region selective migration</w:t>
            </w:r>
          </w:p>
        </w:tc>
        <w:tc>
          <w:tcPr>
            <w:tcW w:type="dxa" w:w="6912"/>
            <w:tcMar>
              <w:top w:w="80" w:type="dxa"/>
              <w:start w:w="100" w:type="dxa"/>
              <w:bottom w:w="80" w:type="dxa"/>
              <w:end w:w="100" w:type="dxa"/>
            </w:tcMar>
            <w:vAlign w:val="top"/>
          </w:tcPr>
          <w:p>
            <w:r>
              <w:rPr>
                <w:sz w:val="17"/>
              </w:rPr>
              <w:t>Shows whether witness-level selection adds value over obvious coarse selection.</w:t>
            </w:r>
          </w:p>
        </w:tc>
      </w:tr>
      <w:tr>
        <w:tc>
          <w:tcPr>
            <w:tcW w:type="dxa" w:w="3456"/>
            <w:tcMar>
              <w:top w:w="80" w:type="dxa"/>
              <w:start w:w="100" w:type="dxa"/>
              <w:bottom w:w="80" w:type="dxa"/>
              <w:end w:w="100" w:type="dxa"/>
            </w:tcMar>
            <w:vAlign w:val="top"/>
          </w:tcPr>
          <w:p>
            <w:r>
              <w:rPr>
                <w:sz w:val="17"/>
              </w:rPr>
              <w:t>TopoPatch without barrier</w:t>
            </w:r>
          </w:p>
        </w:tc>
        <w:tc>
          <w:tcPr>
            <w:tcW w:type="dxa" w:w="6912"/>
            <w:tcMar>
              <w:top w:w="80" w:type="dxa"/>
              <w:start w:w="100" w:type="dxa"/>
              <w:bottom w:w="80" w:type="dxa"/>
              <w:end w:w="100" w:type="dxa"/>
            </w:tcMar>
            <w:vAlign w:val="top"/>
          </w:tcPr>
          <w:p>
            <w:r>
              <w:rPr>
                <w:sz w:val="17"/>
              </w:rPr>
              <w:t>Ablation: minimum-cost witness repair + post-hoc validation.</w:t>
            </w:r>
          </w:p>
        </w:tc>
      </w:tr>
      <w:tr>
        <w:tc>
          <w:tcPr>
            <w:tcW w:type="dxa" w:w="3456"/>
            <w:tcMar>
              <w:top w:w="80" w:type="dxa"/>
              <w:start w:w="100" w:type="dxa"/>
              <w:bottom w:w="80" w:type="dxa"/>
              <w:end w:w="100" w:type="dxa"/>
            </w:tcMar>
            <w:vAlign w:val="top"/>
          </w:tcPr>
          <w:p>
            <w:r>
              <w:rPr>
                <w:sz w:val="17"/>
              </w:rPr>
              <w:t>TopoPatch frozen core</w:t>
            </w:r>
          </w:p>
        </w:tc>
        <w:tc>
          <w:tcPr>
            <w:tcW w:type="dxa" w:w="6912"/>
            <w:tcMar>
              <w:top w:w="80" w:type="dxa"/>
              <w:start w:w="100" w:type="dxa"/>
              <w:bottom w:w="80" w:type="dxa"/>
              <w:end w:w="100" w:type="dxa"/>
            </w:tcMar>
            <w:vAlign w:val="top"/>
          </w:tcPr>
          <w:p>
            <w:r>
              <w:rPr>
                <w:sz w:val="17"/>
              </w:rPr>
              <w:t>Witness repair + predicted state + hard safety gate + dual-space serving.</w:t>
            </w:r>
          </w:p>
        </w:tc>
      </w:tr>
      <w:tr>
        <w:tc>
          <w:tcPr>
            <w:tcW w:type="dxa" w:w="3456"/>
            <w:tcMar>
              <w:top w:w="80" w:type="dxa"/>
              <w:start w:w="100" w:type="dxa"/>
              <w:bottom w:w="80" w:type="dxa"/>
              <w:end w:w="100" w:type="dxa"/>
            </w:tcMar>
            <w:vAlign w:val="top"/>
          </w:tcPr>
          <w:p>
            <w:r>
              <w:rPr>
                <w:sz w:val="17"/>
              </w:rPr>
              <w:t>Optional NCA experiment</w:t>
            </w:r>
          </w:p>
        </w:tc>
        <w:tc>
          <w:tcPr>
            <w:tcW w:type="dxa" w:w="6912"/>
            <w:tcMar>
              <w:top w:w="80" w:type="dxa"/>
              <w:start w:w="100" w:type="dxa"/>
              <w:bottom w:w="80" w:type="dxa"/>
              <w:end w:w="100" w:type="dxa"/>
            </w:tcMar>
            <w:vAlign w:val="top"/>
          </w:tcPr>
          <w:p>
            <w:r>
              <w:rPr>
                <w:sz w:val="17"/>
              </w:rPr>
              <w:t>Research only; compare local correction after the main project is complete.</w:t>
            </w:r>
          </w:p>
        </w:tc>
      </w:tr>
    </w:tbl>
    <w:p>
      <w:pPr>
        <w:pStyle w:val="Heading1"/>
      </w:pPr>
      <w:r>
        <w:t>11. Metrics, Success Gates, and Kill Criteria</w:t>
      </w:r>
    </w:p>
    <w:tbl>
      <w:tblPr>
        <w:tblStyle w:val="TableGrid"/>
        <w:tblW w:type="auto" w:w="0"/>
        <w:jc w:val="center"/>
        <w:tblLook w:firstColumn="1" w:firstRow="1" w:lastColumn="0" w:lastRow="0" w:noHBand="0" w:noVBand="1" w:val="04A0"/>
      </w:tblPr>
      <w:tblGrid>
        <w:gridCol w:w="4997"/>
        <w:gridCol w:w="4997"/>
      </w:tblGrid>
      <w:tr>
        <w:tc>
          <w:tcPr>
            <w:tcW w:type="dxa" w:w="3024"/>
            <w:shd w:fill="DCE6F1"/>
            <w:tcMar>
              <w:top w:w="80" w:type="dxa"/>
              <w:start w:w="100" w:type="dxa"/>
              <w:bottom w:w="80" w:type="dxa"/>
              <w:end w:w="100" w:type="dxa"/>
            </w:tcMar>
            <w:vAlign w:val="center"/>
          </w:tcPr>
          <w:p>
            <w:r>
              <w:rPr>
                <w:b/>
                <w:sz w:val="16"/>
              </w:rPr>
              <w:t>Metric</w:t>
            </w:r>
          </w:p>
        </w:tc>
        <w:tc>
          <w:tcPr>
            <w:tcW w:type="dxa" w:w="7200"/>
            <w:shd w:fill="DCE6F1"/>
            <w:tcMar>
              <w:top w:w="80" w:type="dxa"/>
              <w:start w:w="100" w:type="dxa"/>
              <w:bottom w:w="80" w:type="dxa"/>
              <w:end w:w="100" w:type="dxa"/>
            </w:tcMar>
            <w:vAlign w:val="center"/>
          </w:tcPr>
          <w:p>
            <w:r>
              <w:rPr>
                <w:b/>
                <w:sz w:val="16"/>
              </w:rPr>
              <w:t>Why it matters</w:t>
            </w:r>
          </w:p>
        </w:tc>
      </w:tr>
      <w:tr>
        <w:tc>
          <w:tcPr>
            <w:tcW w:type="dxa" w:w="3024"/>
            <w:tcMar>
              <w:top w:w="80" w:type="dxa"/>
              <w:start w:w="100" w:type="dxa"/>
              <w:bottom w:w="80" w:type="dxa"/>
              <w:end w:w="100" w:type="dxa"/>
            </w:tcMar>
            <w:vAlign w:val="top"/>
          </w:tcPr>
          <w:p>
            <w:r>
              <w:rPr>
                <w:sz w:val="16"/>
              </w:rPr>
              <w:t>Fraction of corpus receiving B embeddings</w:t>
            </w:r>
          </w:p>
        </w:tc>
        <w:tc>
          <w:tcPr>
            <w:tcW w:type="dxa" w:w="7200"/>
            <w:tcMar>
              <w:top w:w="80" w:type="dxa"/>
              <w:start w:w="100" w:type="dxa"/>
              <w:bottom w:w="80" w:type="dxa"/>
              <w:end w:w="100" w:type="dxa"/>
            </w:tcMar>
            <w:vAlign w:val="top"/>
          </w:tcPr>
          <w:p>
            <w:r>
              <w:rPr>
                <w:sz w:val="16"/>
              </w:rPr>
              <w:t>Primary avoided backfill measure.</w:t>
            </w:r>
          </w:p>
        </w:tc>
      </w:tr>
      <w:tr>
        <w:tc>
          <w:tcPr>
            <w:tcW w:type="dxa" w:w="3024"/>
            <w:tcMar>
              <w:top w:w="80" w:type="dxa"/>
              <w:start w:w="100" w:type="dxa"/>
              <w:bottom w:w="80" w:type="dxa"/>
              <w:end w:w="100" w:type="dxa"/>
            </w:tcMar>
            <w:vAlign w:val="top"/>
          </w:tcPr>
          <w:p>
            <w:r>
              <w:rPr>
                <w:sz w:val="16"/>
              </w:rPr>
              <w:t>Charged B embedding forward passes</w:t>
            </w:r>
          </w:p>
        </w:tc>
        <w:tc>
          <w:tcPr>
            <w:tcW w:type="dxa" w:w="7200"/>
            <w:tcMar>
              <w:top w:w="80" w:type="dxa"/>
              <w:start w:w="100" w:type="dxa"/>
              <w:bottom w:w="80" w:type="dxa"/>
              <w:end w:w="100" w:type="dxa"/>
            </w:tcMar>
            <w:vAlign w:val="top"/>
          </w:tcPr>
          <w:p>
            <w:r>
              <w:rPr>
                <w:sz w:val="16"/>
              </w:rPr>
              <w:t>Direct compute work; distinguish evaluation ground truth from algorithm work.</w:t>
            </w:r>
          </w:p>
        </w:tc>
      </w:tr>
      <w:tr>
        <w:tc>
          <w:tcPr>
            <w:tcW w:type="dxa" w:w="3024"/>
            <w:tcMar>
              <w:top w:w="80" w:type="dxa"/>
              <w:start w:w="100" w:type="dxa"/>
              <w:bottom w:w="80" w:type="dxa"/>
              <w:end w:w="100" w:type="dxa"/>
            </w:tcMar>
            <w:vAlign w:val="top"/>
          </w:tcPr>
          <w:p>
            <w:r>
              <w:rPr>
                <w:sz w:val="16"/>
              </w:rPr>
              <w:t>Bytes written / duplicate storage</w:t>
            </w:r>
          </w:p>
        </w:tc>
        <w:tc>
          <w:tcPr>
            <w:tcW w:type="dxa" w:w="7200"/>
            <w:tcMar>
              <w:top w:w="80" w:type="dxa"/>
              <w:start w:w="100" w:type="dxa"/>
              <w:bottom w:w="80" w:type="dxa"/>
              <w:end w:w="100" w:type="dxa"/>
            </w:tcMar>
            <w:vAlign w:val="top"/>
          </w:tcPr>
          <w:p>
            <w:r>
              <w:rPr>
                <w:sz w:val="16"/>
              </w:rPr>
              <w:t>Database migration overhead.</w:t>
            </w:r>
          </w:p>
        </w:tc>
      </w:tr>
      <w:tr>
        <w:tc>
          <w:tcPr>
            <w:tcW w:type="dxa" w:w="3024"/>
            <w:tcMar>
              <w:top w:w="80" w:type="dxa"/>
              <w:start w:w="100" w:type="dxa"/>
              <w:bottom w:w="80" w:type="dxa"/>
              <w:end w:w="100" w:type="dxa"/>
            </w:tcMar>
            <w:vAlign w:val="top"/>
          </w:tcPr>
          <w:p>
            <w:r>
              <w:rPr>
                <w:sz w:val="16"/>
              </w:rPr>
              <w:t>ANN nodes/edges/partitions touched</w:t>
            </w:r>
          </w:p>
        </w:tc>
        <w:tc>
          <w:tcPr>
            <w:tcW w:type="dxa" w:w="7200"/>
            <w:tcMar>
              <w:top w:w="80" w:type="dxa"/>
              <w:start w:w="100" w:type="dxa"/>
              <w:bottom w:w="80" w:type="dxa"/>
              <w:end w:w="100" w:type="dxa"/>
            </w:tcMar>
            <w:vAlign w:val="top"/>
          </w:tcPr>
          <w:p>
            <w:r>
              <w:rPr>
                <w:sz w:val="16"/>
              </w:rPr>
              <w:t>Index-maintenance technical effect.</w:t>
            </w:r>
          </w:p>
        </w:tc>
      </w:tr>
      <w:tr>
        <w:tc>
          <w:tcPr>
            <w:tcW w:type="dxa" w:w="3024"/>
            <w:tcMar>
              <w:top w:w="80" w:type="dxa"/>
              <w:start w:w="100" w:type="dxa"/>
              <w:bottom w:w="80" w:type="dxa"/>
              <w:end w:w="100" w:type="dxa"/>
            </w:tcMar>
            <w:vAlign w:val="top"/>
          </w:tcPr>
          <w:p>
            <w:r>
              <w:rPr>
                <w:sz w:val="16"/>
              </w:rPr>
              <w:t>Migration wall-clock time</w:t>
            </w:r>
          </w:p>
        </w:tc>
        <w:tc>
          <w:tcPr>
            <w:tcW w:type="dxa" w:w="7200"/>
            <w:tcMar>
              <w:top w:w="80" w:type="dxa"/>
              <w:start w:w="100" w:type="dxa"/>
              <w:bottom w:w="80" w:type="dxa"/>
              <w:end w:w="100" w:type="dxa"/>
            </w:tcMar>
            <w:vAlign w:val="top"/>
          </w:tcPr>
          <w:p>
            <w:r>
              <w:rPr>
                <w:sz w:val="16"/>
              </w:rPr>
              <w:t>Operational benefit.</w:t>
            </w:r>
          </w:p>
        </w:tc>
      </w:tr>
      <w:tr>
        <w:tc>
          <w:tcPr>
            <w:tcW w:type="dxa" w:w="3024"/>
            <w:tcMar>
              <w:top w:w="80" w:type="dxa"/>
              <w:start w:w="100" w:type="dxa"/>
              <w:bottom w:w="80" w:type="dxa"/>
              <w:end w:w="100" w:type="dxa"/>
            </w:tcMar>
            <w:vAlign w:val="top"/>
          </w:tcPr>
          <w:p>
            <w:r>
              <w:rPr>
                <w:sz w:val="16"/>
              </w:rPr>
              <w:t>Peak memory/storage</w:t>
            </w:r>
          </w:p>
        </w:tc>
        <w:tc>
          <w:tcPr>
            <w:tcW w:type="dxa" w:w="7200"/>
            <w:tcMar>
              <w:top w:w="80" w:type="dxa"/>
              <w:start w:w="100" w:type="dxa"/>
              <w:bottom w:w="80" w:type="dxa"/>
              <w:end w:w="100" w:type="dxa"/>
            </w:tcMar>
            <w:vAlign w:val="top"/>
          </w:tcPr>
          <w:p>
            <w:r>
              <w:rPr>
                <w:sz w:val="16"/>
              </w:rPr>
              <w:t>Blue-green versus partial-state overhead.</w:t>
            </w:r>
          </w:p>
        </w:tc>
      </w:tr>
      <w:tr>
        <w:tc>
          <w:tcPr>
            <w:tcW w:type="dxa" w:w="3024"/>
            <w:tcMar>
              <w:top w:w="80" w:type="dxa"/>
              <w:start w:w="100" w:type="dxa"/>
              <w:bottom w:w="80" w:type="dxa"/>
              <w:end w:w="100" w:type="dxa"/>
            </w:tcMar>
            <w:vAlign w:val="top"/>
          </w:tcPr>
          <w:p>
            <w:r>
              <w:rPr>
                <w:sz w:val="16"/>
              </w:rPr>
              <w:t>Recall@k / nDCG / MRR versus full B</w:t>
            </w:r>
          </w:p>
        </w:tc>
        <w:tc>
          <w:tcPr>
            <w:tcW w:type="dxa" w:w="7200"/>
            <w:tcMar>
              <w:top w:w="80" w:type="dxa"/>
              <w:start w:w="100" w:type="dxa"/>
              <w:bottom w:w="80" w:type="dxa"/>
              <w:end w:w="100" w:type="dxa"/>
            </w:tcMar>
            <w:vAlign w:val="top"/>
          </w:tcPr>
          <w:p>
            <w:r>
              <w:rPr>
                <w:sz w:val="16"/>
              </w:rPr>
              <w:t>Retrieval quality.</w:t>
            </w:r>
          </w:p>
        </w:tc>
      </w:tr>
      <w:tr>
        <w:tc>
          <w:tcPr>
            <w:tcW w:type="dxa" w:w="3024"/>
            <w:tcMar>
              <w:top w:w="80" w:type="dxa"/>
              <w:start w:w="100" w:type="dxa"/>
              <w:bottom w:w="80" w:type="dxa"/>
              <w:end w:w="100" w:type="dxa"/>
            </w:tcMar>
            <w:vAlign w:val="top"/>
          </w:tcPr>
          <w:p>
            <w:r>
              <w:rPr>
                <w:sz w:val="16"/>
              </w:rPr>
              <w:t>Protected-query violation rate</w:t>
            </w:r>
          </w:p>
        </w:tc>
        <w:tc>
          <w:tcPr>
            <w:tcW w:type="dxa" w:w="7200"/>
            <w:tcMar>
              <w:top w:w="80" w:type="dxa"/>
              <w:start w:w="100" w:type="dxa"/>
              <w:bottom w:w="80" w:type="dxa"/>
              <w:end w:w="100" w:type="dxa"/>
            </w:tcMar>
            <w:vAlign w:val="top"/>
          </w:tcPr>
          <w:p>
            <w:r>
              <w:rPr>
                <w:sz w:val="16"/>
              </w:rPr>
              <w:t>Safety, not just average quality.</w:t>
            </w:r>
          </w:p>
        </w:tc>
      </w:tr>
      <w:tr>
        <w:tc>
          <w:tcPr>
            <w:tcW w:type="dxa" w:w="3024"/>
            <w:tcMar>
              <w:top w:w="80" w:type="dxa"/>
              <w:start w:w="100" w:type="dxa"/>
              <w:bottom w:w="80" w:type="dxa"/>
              <w:end w:w="100" w:type="dxa"/>
            </w:tcMar>
            <w:vAlign w:val="top"/>
          </w:tcPr>
          <w:p>
            <w:r>
              <w:rPr>
                <w:sz w:val="16"/>
              </w:rPr>
              <w:t>False-safe commit rate</w:t>
            </w:r>
          </w:p>
        </w:tc>
        <w:tc>
          <w:tcPr>
            <w:tcW w:type="dxa" w:w="7200"/>
            <w:tcMar>
              <w:top w:w="80" w:type="dxa"/>
              <w:start w:w="100" w:type="dxa"/>
              <w:bottom w:w="80" w:type="dxa"/>
              <w:end w:w="100" w:type="dxa"/>
            </w:tcMar>
            <w:vAlign w:val="top"/>
          </w:tcPr>
          <w:p>
            <w:r>
              <w:rPr>
                <w:sz w:val="16"/>
              </w:rPr>
              <w:t>Does the barrier stop dangerous partial states?</w:t>
            </w:r>
          </w:p>
        </w:tc>
      </w:tr>
      <w:tr>
        <w:tc>
          <w:tcPr>
            <w:tcW w:type="dxa" w:w="3024"/>
            <w:tcMar>
              <w:top w:w="80" w:type="dxa"/>
              <w:start w:w="100" w:type="dxa"/>
              <w:bottom w:w="80" w:type="dxa"/>
              <w:end w:w="100" w:type="dxa"/>
            </w:tcMar>
            <w:vAlign w:val="top"/>
          </w:tcPr>
          <w:p>
            <w:r>
              <w:rPr>
                <w:sz w:val="16"/>
              </w:rPr>
              <w:t>Barrier computation overhead</w:t>
            </w:r>
          </w:p>
        </w:tc>
        <w:tc>
          <w:tcPr>
            <w:tcW w:type="dxa" w:w="7200"/>
            <w:tcMar>
              <w:top w:w="80" w:type="dxa"/>
              <w:start w:w="100" w:type="dxa"/>
              <w:bottom w:w="80" w:type="dxa"/>
              <w:end w:w="100" w:type="dxa"/>
            </w:tcMar>
            <w:vAlign w:val="top"/>
          </w:tcPr>
          <w:p>
            <w:r>
              <w:rPr>
                <w:sz w:val="16"/>
              </w:rPr>
              <w:t>Must be cheaper than work it saves.</w:t>
            </w:r>
          </w:p>
        </w:tc>
      </w:tr>
      <w:tr>
        <w:tc>
          <w:tcPr>
            <w:tcW w:type="dxa" w:w="3024"/>
            <w:tcMar>
              <w:top w:w="80" w:type="dxa"/>
              <w:start w:w="100" w:type="dxa"/>
              <w:bottom w:w="80" w:type="dxa"/>
              <w:end w:w="100" w:type="dxa"/>
            </w:tcMar>
            <w:vAlign w:val="top"/>
          </w:tcPr>
          <w:p>
            <w:r>
              <w:rPr>
                <w:sz w:val="16"/>
              </w:rPr>
              <w:t>Candidate-envelope miss rate</w:t>
            </w:r>
          </w:p>
        </w:tc>
        <w:tc>
          <w:tcPr>
            <w:tcW w:type="dxa" w:w="7200"/>
            <w:tcMar>
              <w:top w:w="80" w:type="dxa"/>
              <w:start w:w="100" w:type="dxa"/>
              <w:bottom w:w="80" w:type="dxa"/>
              <w:end w:w="100" w:type="dxa"/>
            </w:tcMar>
            <w:vAlign w:val="top"/>
          </w:tcPr>
          <w:p>
            <w:r>
              <w:rPr>
                <w:sz w:val="16"/>
              </w:rPr>
              <w:t>Does selective probing miss true B competitors?</w:t>
            </w:r>
          </w:p>
        </w:tc>
      </w:tr>
      <w:tr>
        <w:tc>
          <w:tcPr>
            <w:tcW w:type="dxa" w:w="3024"/>
            <w:tcMar>
              <w:top w:w="80" w:type="dxa"/>
              <w:start w:w="100" w:type="dxa"/>
              <w:bottom w:w="80" w:type="dxa"/>
              <w:end w:w="100" w:type="dxa"/>
            </w:tcMar>
            <w:vAlign w:val="top"/>
          </w:tcPr>
          <w:p>
            <w:r>
              <w:rPr>
                <w:sz w:val="16"/>
              </w:rPr>
              <w:t>Dual-space query latency</w:t>
            </w:r>
          </w:p>
        </w:tc>
        <w:tc>
          <w:tcPr>
            <w:tcW w:type="dxa" w:w="7200"/>
            <w:tcMar>
              <w:top w:w="80" w:type="dxa"/>
              <w:start w:w="100" w:type="dxa"/>
              <w:bottom w:w="80" w:type="dxa"/>
              <w:end w:w="100" w:type="dxa"/>
            </w:tcMar>
            <w:vAlign w:val="top"/>
          </w:tcPr>
          <w:p>
            <w:r>
              <w:rPr>
                <w:sz w:val="16"/>
              </w:rPr>
              <w:t>Cost of temporary two-encoder serving.</w:t>
            </w:r>
          </w:p>
        </w:tc>
      </w:tr>
      <w:tr>
        <w:tc>
          <w:tcPr>
            <w:tcW w:type="dxa" w:w="3024"/>
            <w:tcMar>
              <w:top w:w="80" w:type="dxa"/>
              <w:start w:w="100" w:type="dxa"/>
              <w:bottom w:w="80" w:type="dxa"/>
              <w:end w:w="100" w:type="dxa"/>
            </w:tcMar>
            <w:vAlign w:val="top"/>
          </w:tcPr>
          <w:p>
            <w:r>
              <w:rPr>
                <w:sz w:val="16"/>
              </w:rPr>
              <w:t>Fallback activation rate/duration</w:t>
            </w:r>
          </w:p>
        </w:tc>
        <w:tc>
          <w:tcPr>
            <w:tcW w:type="dxa" w:w="7200"/>
            <w:tcMar>
              <w:top w:w="80" w:type="dxa"/>
              <w:start w:w="100" w:type="dxa"/>
              <w:bottom w:w="80" w:type="dxa"/>
              <w:end w:w="100" w:type="dxa"/>
            </w:tcMar>
            <w:vAlign w:val="top"/>
          </w:tcPr>
          <w:p>
            <w:r>
              <w:rPr>
                <w:sz w:val="16"/>
              </w:rPr>
              <w:t>Practicality of runtime assurance.</w:t>
            </w:r>
          </w:p>
        </w:tc>
      </w:tr>
    </w:tbl>
    <w:p>
      <w:pPr>
        <w:pStyle w:val="Heading2"/>
      </w:pPr>
      <w:r>
        <w:t>11.1 Evidence that would materially strengthen the patent story</w:t>
      </w:r>
    </w:p>
    <w:p>
      <w:pPr>
        <w:pStyle w:val="ListBullet"/>
      </w:pPr>
      <w:r>
        <w:t>A cost-minimizing selective repair without the barrier would commit a state that looks acceptable on aggregate Recall@k but violates a protected query constraint; barrier-constrained TopoPatch rejects it and selects a different repair or fallback.</w:t>
      </w:r>
    </w:p>
    <w:p>
      <w:pPr>
        <w:pStyle w:val="ListBullet"/>
      </w:pPr>
      <w:r>
        <w:t>TopoPatch achieves retrieval quality close to full Model-B migration while charging substantially fewer Model-B embedding computations and materially fewer index writes/rewires.</w:t>
      </w:r>
    </w:p>
    <w:p>
      <w:pPr>
        <w:pStyle w:val="ListBullet"/>
      </w:pPr>
      <w:r>
        <w:t>The Candidate Envelope finds the relevant Model-B competitors without needing algorithmic full-corpus B encoding; increasing the envelope has a clear diminishing-error curve.</w:t>
      </w:r>
    </w:p>
    <w:p>
      <w:pPr>
        <w:pStyle w:val="ListBullet"/>
      </w:pPr>
      <w:r>
        <w:t>Dual-space serving handles a different-dimension model pair correctly, demonstrating that the mixed-version state is a real computer-system implementation rather than an abstract label.</w:t>
      </w:r>
    </w:p>
    <w:p>
      <w:pPr>
        <w:pStyle w:val="ListBullet"/>
      </w:pPr>
      <w:r>
        <w:t>Barrier overhead is materially lower than the embedding/index work avoided.</w:t>
      </w:r>
    </w:p>
    <w:p>
      <w:r>
        <w:t>Do not put invented numerical thresholds into the patent draft before experiments. For engineering management, you may set internal goals, but report the measured values honestly.</w:t>
      </w:r>
    </w:p>
    <w:p>
      <w:pPr>
        <w:pStyle w:val="Heading2"/>
      </w:pPr>
      <w:r>
        <w:t>11.2 Kill / pivot criteria</w:t>
      </w:r>
    </w:p>
    <w:tbl>
      <w:tblPr>
        <w:tblStyle w:val="TableGrid"/>
        <w:tblW w:type="auto" w:w="0"/>
        <w:jc w:val="center"/>
        <w:tblLook w:firstColumn="1" w:firstRow="1" w:lastColumn="0" w:lastRow="0" w:noHBand="0" w:noVBand="1" w:val="04A0"/>
      </w:tblPr>
      <w:tblGrid>
        <w:gridCol w:w="4997"/>
        <w:gridCol w:w="4997"/>
      </w:tblGrid>
      <w:tr>
        <w:tc>
          <w:tcPr>
            <w:tcW w:type="dxa" w:w="4032"/>
            <w:shd w:fill="DCE6F1"/>
            <w:tcMar>
              <w:top w:w="80" w:type="dxa"/>
              <w:start w:w="100" w:type="dxa"/>
              <w:bottom w:w="80" w:type="dxa"/>
              <w:end w:w="100" w:type="dxa"/>
            </w:tcMar>
            <w:vAlign w:val="center"/>
          </w:tcPr>
          <w:p>
            <w:r>
              <w:rPr>
                <w:b/>
                <w:sz w:val="16"/>
              </w:rPr>
              <w:t>Finding</w:t>
            </w:r>
          </w:p>
        </w:tc>
        <w:tc>
          <w:tcPr>
            <w:tcW w:type="dxa" w:w="6336"/>
            <w:shd w:fill="DCE6F1"/>
            <w:tcMar>
              <w:top w:w="80" w:type="dxa"/>
              <w:start w:w="100" w:type="dxa"/>
              <w:bottom w:w="80" w:type="dxa"/>
              <w:end w:w="100" w:type="dxa"/>
            </w:tcMar>
            <w:vAlign w:val="center"/>
          </w:tcPr>
          <w:p>
            <w:r>
              <w:rPr>
                <w:b/>
                <w:sz w:val="16"/>
              </w:rPr>
              <w:t>Action</w:t>
            </w:r>
          </w:p>
        </w:tc>
      </w:tr>
      <w:tr>
        <w:tc>
          <w:tcPr>
            <w:tcW w:type="dxa" w:w="4032"/>
            <w:tcMar>
              <w:top w:w="80" w:type="dxa"/>
              <w:start w:w="100" w:type="dxa"/>
              <w:bottom w:w="80" w:type="dxa"/>
              <w:end w:w="100" w:type="dxa"/>
            </w:tcMar>
            <w:vAlign w:val="top"/>
          </w:tcPr>
          <w:p>
            <w:r>
              <w:rPr>
                <w:sz w:val="16"/>
              </w:rPr>
              <w:t>TopoPatch needs B embeddings for most of the corpus just to detect violations</w:t>
            </w:r>
          </w:p>
        </w:tc>
        <w:tc>
          <w:tcPr>
            <w:tcW w:type="dxa" w:w="6336"/>
            <w:tcMar>
              <w:top w:w="80" w:type="dxa"/>
              <w:start w:w="100" w:type="dxa"/>
              <w:bottom w:w="80" w:type="dxa"/>
              <w:end w:w="100" w:type="dxa"/>
            </w:tcMar>
            <w:vAlign w:val="top"/>
          </w:tcPr>
          <w:p>
            <w:r>
              <w:rPr>
                <w:sz w:val="16"/>
              </w:rPr>
              <w:t>Rework Candidate Envelope; if still true, the economic premise is weak.</w:t>
            </w:r>
          </w:p>
        </w:tc>
      </w:tr>
      <w:tr>
        <w:tc>
          <w:tcPr>
            <w:tcW w:type="dxa" w:w="4032"/>
            <w:tcMar>
              <w:top w:w="80" w:type="dxa"/>
              <w:start w:w="100" w:type="dxa"/>
              <w:bottom w:w="80" w:type="dxa"/>
              <w:end w:w="100" w:type="dxa"/>
            </w:tcMar>
            <w:vAlign w:val="top"/>
          </w:tcPr>
          <w:p>
            <w:r>
              <w:rPr>
                <w:sz w:val="16"/>
              </w:rPr>
              <w:t>Selective repair re-embeds nearly as much as full migration</w:t>
            </w:r>
          </w:p>
        </w:tc>
        <w:tc>
          <w:tcPr>
            <w:tcW w:type="dxa" w:w="6336"/>
            <w:tcMar>
              <w:top w:w="80" w:type="dxa"/>
              <w:start w:w="100" w:type="dxa"/>
              <w:bottom w:w="80" w:type="dxa"/>
              <w:end w:w="100" w:type="dxa"/>
            </w:tcMar>
            <w:vAlign w:val="top"/>
          </w:tcPr>
          <w:p>
            <w:r>
              <w:rPr>
                <w:sz w:val="16"/>
              </w:rPr>
              <w:t>Stop patent-first effort or narrow to a special workload where savings are real.</w:t>
            </w:r>
          </w:p>
        </w:tc>
      </w:tr>
      <w:tr>
        <w:tc>
          <w:tcPr>
            <w:tcW w:type="dxa" w:w="4032"/>
            <w:tcMar>
              <w:top w:w="80" w:type="dxa"/>
              <w:start w:w="100" w:type="dxa"/>
              <w:bottom w:w="80" w:type="dxa"/>
              <w:end w:w="100" w:type="dxa"/>
            </w:tcMar>
            <w:vAlign w:val="top"/>
          </w:tcPr>
          <w:p>
            <w:r>
              <w:rPr>
                <w:sz w:val="16"/>
              </w:rPr>
              <w:t>Barrier rarely changes repair decisions</w:t>
            </w:r>
          </w:p>
        </w:tc>
        <w:tc>
          <w:tcPr>
            <w:tcW w:type="dxa" w:w="6336"/>
            <w:tcMar>
              <w:top w:w="80" w:type="dxa"/>
              <w:start w:w="100" w:type="dxa"/>
              <w:bottom w:w="80" w:type="dxa"/>
              <w:end w:w="100" w:type="dxa"/>
            </w:tcMar>
            <w:vAlign w:val="top"/>
          </w:tcPr>
          <w:p>
            <w:r>
              <w:rPr>
                <w:sz w:val="16"/>
              </w:rPr>
              <w:t>Barrier is probably an obvious validation wrapper; do not base filing on it.</w:t>
            </w:r>
          </w:p>
        </w:tc>
      </w:tr>
      <w:tr>
        <w:tc>
          <w:tcPr>
            <w:tcW w:type="dxa" w:w="4032"/>
            <w:tcMar>
              <w:top w:w="80" w:type="dxa"/>
              <w:start w:w="100" w:type="dxa"/>
              <w:bottom w:w="80" w:type="dxa"/>
              <w:end w:w="100" w:type="dxa"/>
            </w:tcMar>
            <w:vAlign w:val="top"/>
          </w:tcPr>
          <w:p>
            <w:r>
              <w:rPr>
                <w:sz w:val="16"/>
              </w:rPr>
              <w:t>Dual-space fusion loses too much retrieval quality</w:t>
            </w:r>
          </w:p>
        </w:tc>
        <w:tc>
          <w:tcPr>
            <w:tcW w:type="dxa" w:w="6336"/>
            <w:tcMar>
              <w:top w:w="80" w:type="dxa"/>
              <w:start w:w="100" w:type="dxa"/>
              <w:bottom w:w="80" w:type="dxa"/>
              <w:end w:w="100" w:type="dxa"/>
            </w:tcMar>
            <w:vAlign w:val="top"/>
          </w:tcPr>
          <w:p>
            <w:r>
              <w:rPr>
                <w:sz w:val="16"/>
              </w:rPr>
              <w:t>Use it only as temporary fallback; measure whether safe slices can still benefit.</w:t>
            </w:r>
          </w:p>
        </w:tc>
      </w:tr>
      <w:tr>
        <w:tc>
          <w:tcPr>
            <w:tcW w:type="dxa" w:w="4032"/>
            <w:tcMar>
              <w:top w:w="80" w:type="dxa"/>
              <w:start w:w="100" w:type="dxa"/>
              <w:bottom w:w="80" w:type="dxa"/>
              <w:end w:w="100" w:type="dxa"/>
            </w:tcMar>
            <w:vAlign w:val="top"/>
          </w:tcPr>
          <w:p>
            <w:r>
              <w:rPr>
                <w:sz w:val="16"/>
              </w:rPr>
              <w:t>ANN repair propagates almost globally</w:t>
            </w:r>
          </w:p>
        </w:tc>
        <w:tc>
          <w:tcPr>
            <w:tcW w:type="dxa" w:w="6336"/>
            <w:tcMar>
              <w:top w:w="80" w:type="dxa"/>
              <w:start w:w="100" w:type="dxa"/>
              <w:bottom w:w="80" w:type="dxa"/>
              <w:end w:w="100" w:type="dxa"/>
            </w:tcMar>
            <w:vAlign w:val="top"/>
          </w:tcPr>
          <w:p>
            <w:r>
              <w:rPr>
                <w:sz w:val="16"/>
              </w:rPr>
              <w:t>Drop strong local-rewire claims; focus on embedding compute and serving-state control.</w:t>
            </w:r>
          </w:p>
        </w:tc>
      </w:tr>
      <w:tr>
        <w:tc>
          <w:tcPr>
            <w:tcW w:type="dxa" w:w="4032"/>
            <w:tcMar>
              <w:top w:w="80" w:type="dxa"/>
              <w:start w:w="100" w:type="dxa"/>
              <w:bottom w:w="80" w:type="dxa"/>
              <w:end w:w="100" w:type="dxa"/>
            </w:tcMar>
            <w:vAlign w:val="top"/>
          </w:tcPr>
          <w:p>
            <w:r>
              <w:rPr>
                <w:sz w:val="16"/>
              </w:rPr>
              <w:t>Professional search finds exact witness + safety-gated migration claim</w:t>
            </w:r>
          </w:p>
        </w:tc>
        <w:tc>
          <w:tcPr>
            <w:tcW w:type="dxa" w:w="6336"/>
            <w:tcMar>
              <w:top w:w="80" w:type="dxa"/>
              <w:start w:w="100" w:type="dxa"/>
              <w:bottom w:w="80" w:type="dxa"/>
              <w:end w:w="100" w:type="dxa"/>
            </w:tcMar>
            <w:vAlign w:val="top"/>
          </w:tcPr>
          <w:p>
            <w:r>
              <w:rPr>
                <w:sz w:val="16"/>
              </w:rPr>
              <w:t>Do not cosmetically rewrite; pivot or abandon filing.</w:t>
            </w:r>
          </w:p>
        </w:tc>
      </w:tr>
    </w:tbl>
    <w:p>
      <w:pPr>
        <w:pStyle w:val="Heading1"/>
      </w:pPr>
      <w:r>
        <w:t>12. Demo / Dashboard Flow</w:t>
      </w:r>
    </w:p>
    <w:p>
      <w:r>
        <w:t>The UI should make the systems behavior obvious to judges, faculty, and a patent professional. It is not the invention itself.</w:t>
      </w:r>
    </w:p>
    <w:p>
      <w:pPr>
        <w:pStyle w:val="ListNumber"/>
      </w:pPr>
      <w:r>
        <w:t>Upload/select corpus and choose Model A and Model B.</w:t>
      </w:r>
    </w:p>
    <w:p>
      <w:pPr>
        <w:pStyle w:val="ListNumber"/>
      </w:pPr>
      <w:r>
        <w:t>Show baseline Model-A retrieval quality and full Model-B ground-truth quality.</w:t>
      </w:r>
    </w:p>
    <w:p>
      <w:pPr>
        <w:pStyle w:val="ListNumber"/>
      </w:pPr>
      <w:r>
        <w:t>Click “Start Migration Analysis.” Display charged B embeddings, candidate envelope size, and discovered retrieval violations.</w:t>
      </w:r>
    </w:p>
    <w:p>
      <w:pPr>
        <w:pStyle w:val="ListNumber"/>
      </w:pPr>
      <w:r>
        <w:t>Visualize the witness hypergraph: violations on one side, implicated objects on the other.</w:t>
      </w:r>
    </w:p>
    <w:p>
      <w:pPr>
        <w:pStyle w:val="ListNumber"/>
      </w:pPr>
      <w:r>
        <w:t>Show proposed repair set, predicted compute/bytes/ANN work, and protected-query barrier value.</w:t>
      </w:r>
    </w:p>
    <w:p>
      <w:pPr>
        <w:pStyle w:val="ListNumber"/>
      </w:pPr>
      <w:r>
        <w:t>Demonstrate a rejected cheap repair: barrier goes red and affected query slice remains on safe fallback.</w:t>
      </w:r>
    </w:p>
    <w:p>
      <w:pPr>
        <w:pStyle w:val="ListNumber"/>
      </w:pPr>
      <w:r>
        <w:t>Demonstrate an accepted repair: selected objects move from Legacy A to Native B; dual-space routing serves the corpus.</w:t>
      </w:r>
    </w:p>
    <w:p>
      <w:pPr>
        <w:pStyle w:val="ListNumber"/>
      </w:pPr>
      <w:r>
        <w:t>Show cumulative savings versus full migration and final quality versus fully migrated Model B.</w:t>
      </w:r>
    </w:p>
    <w:p>
      <w:pPr>
        <w:pStyle w:val="ListNumber"/>
      </w:pPr>
      <w:r>
        <w:t>Optional: show ProbeQuorum rejecting a deliberately corrupted calibration partition.</w:t>
      </w:r>
    </w:p>
    <w:p>
      <w:pPr>
        <w:spacing w:before="80" w:after="160"/>
        <w:ind w:left="360" w:right="360"/>
        <w:shd w:fill="F3F5F7"/>
      </w:pPr>
      <w:r>
        <w:rPr>
          <w:rFonts w:ascii="Liberation Mono" w:hAnsi="Liberation Mono"/>
          <w:sz w:val="17"/>
        </w:rPr>
        <w:t>Example dashboard cards (illustrative labels, not fabricated results):</w:t>
        <w:br/>
        <w:br/>
        <w:t>Corpus objects             100,000</w:t>
        <w:br/>
        <w:t>Charged B embeddings       [measured]</w:t>
        <w:br/>
        <w:t>Retrieval violations       [measured]</w:t>
        <w:br/>
        <w:t>Selected repair objects    [measured]</w:t>
        <w:br/>
        <w:t>A-index objects remaining  [measured]</w:t>
        <w:br/>
        <w:t>B-index objects active     [measured]</w:t>
        <w:br/>
        <w:t>Barrier state              SAFE / UNSAFE</w:t>
        <w:br/>
        <w:t>Protected violations       0 / N</w:t>
        <w:br/>
        <w:t>Fallback query slices      [measured]</w:t>
        <w:br/>
        <w:t>Full migration avoided     [measured %]</w:t>
        <w:br/>
        <w:t>Recall@10 vs full B         [measured]</w:t>
      </w:r>
    </w:p>
    <w:p>
      <w:pPr>
        <w:pStyle w:val="Heading1"/>
      </w:pPr>
      <w:r>
        <w:t>13. Patent Landscape and Honest Patentability Position</w:t>
      </w:r>
    </w:p>
    <w:p>
      <w:r>
        <w:t>This section reflects a fresh public-source check updated through 11 September 2026. Public searching cannot reveal unpublished applications within normal secrecy periods and is not a professional freedom-to-operate or patentability opinion.</w:t>
      </w:r>
    </w:p>
    <w:tbl>
      <w:tblPr>
        <w:tblStyle w:val="TableGrid"/>
        <w:tblW w:type="auto" w:w="0"/>
        <w:jc w:val="center"/>
        <w:tblLook w:firstColumn="1" w:firstRow="1" w:lastColumn="0" w:lastRow="0" w:noHBand="0" w:noVBand="1" w:val="04A0"/>
      </w:tblPr>
      <w:tblGrid>
        <w:gridCol w:w="3331"/>
        <w:gridCol w:w="3331"/>
        <w:gridCol w:w="3331"/>
      </w:tblGrid>
      <w:tr>
        <w:tc>
          <w:tcPr>
            <w:tcW w:type="dxa" w:w="3456"/>
            <w:shd w:fill="DCE6F1"/>
            <w:tcMar>
              <w:top w:w="80" w:type="dxa"/>
              <w:start w:w="100" w:type="dxa"/>
              <w:bottom w:w="80" w:type="dxa"/>
              <w:end w:w="100" w:type="dxa"/>
            </w:tcMar>
            <w:vAlign w:val="center"/>
          </w:tcPr>
          <w:p>
            <w:r>
              <w:rPr>
                <w:b/>
                <w:sz w:val="14"/>
              </w:rPr>
              <w:t>Reference / source</w:t>
            </w:r>
          </w:p>
        </w:tc>
        <w:tc>
          <w:tcPr>
            <w:tcW w:type="dxa" w:w="4176"/>
            <w:shd w:fill="DCE6F1"/>
            <w:tcMar>
              <w:top w:w="80" w:type="dxa"/>
              <w:start w:w="100" w:type="dxa"/>
              <w:bottom w:w="80" w:type="dxa"/>
              <w:end w:w="100" w:type="dxa"/>
            </w:tcMar>
            <w:vAlign w:val="center"/>
          </w:tcPr>
          <w:p>
            <w:r>
              <w:rPr>
                <w:b/>
                <w:sz w:val="14"/>
              </w:rPr>
              <w:t>What it teaches</w:t>
            </w:r>
          </w:p>
        </w:tc>
        <w:tc>
          <w:tcPr>
            <w:tcW w:type="dxa" w:w="3240"/>
            <w:shd w:fill="DCE6F1"/>
            <w:tcMar>
              <w:top w:w="80" w:type="dxa"/>
              <w:start w:w="100" w:type="dxa"/>
              <w:bottom w:w="80" w:type="dxa"/>
              <w:end w:w="100" w:type="dxa"/>
            </w:tcMar>
            <w:vAlign w:val="center"/>
          </w:tcPr>
          <w:p>
            <w:r>
              <w:rPr>
                <w:b/>
                <w:sz w:val="14"/>
              </w:rPr>
              <w:t>Threat to TopoPatch</w:t>
            </w:r>
          </w:p>
        </w:tc>
      </w:tr>
      <w:tr>
        <w:tc>
          <w:tcPr>
            <w:tcW w:type="dxa" w:w="3456"/>
            <w:tcMar>
              <w:top w:w="80" w:type="dxa"/>
              <w:start w:w="100" w:type="dxa"/>
              <w:bottom w:w="80" w:type="dxa"/>
              <w:end w:w="100" w:type="dxa"/>
            </w:tcMar>
            <w:vAlign w:val="top"/>
          </w:tcPr>
          <w:p>
            <w:r>
              <w:rPr>
                <w:sz w:val="14"/>
              </w:rPr>
              <w:t>Qdrant current embedding migration docs</w:t>
            </w:r>
          </w:p>
        </w:tc>
        <w:tc>
          <w:tcPr>
            <w:tcW w:type="dxa" w:w="4176"/>
            <w:tcMar>
              <w:top w:w="80" w:type="dxa"/>
              <w:start w:w="100" w:type="dxa"/>
              <w:bottom w:w="80" w:type="dxa"/>
              <w:end w:w="100" w:type="dxa"/>
            </w:tcMar>
            <w:vAlign w:val="top"/>
          </w:tcPr>
          <w:p>
            <w:r>
              <w:rPr>
                <w:sz w:val="14"/>
              </w:rPr>
              <w:t>Re-embed all points under new model; blue-green or named-vector backfill</w:t>
            </w:r>
          </w:p>
        </w:tc>
        <w:tc>
          <w:tcPr>
            <w:tcW w:type="dxa" w:w="3240"/>
            <w:tcMar>
              <w:top w:w="80" w:type="dxa"/>
              <w:start w:w="100" w:type="dxa"/>
              <w:bottom w:w="80" w:type="dxa"/>
              <w:end w:w="100" w:type="dxa"/>
            </w:tcMar>
            <w:vAlign w:val="top"/>
          </w:tcPr>
          <w:p>
            <w:r>
              <w:rPr>
                <w:sz w:val="14"/>
              </w:rPr>
              <w:t>Strong evidence of the real problem/utility, not novelty.</w:t>
            </w:r>
          </w:p>
        </w:tc>
      </w:tr>
      <w:tr>
        <w:tc>
          <w:tcPr>
            <w:tcW w:type="dxa" w:w="3456"/>
            <w:tcMar>
              <w:top w:w="80" w:type="dxa"/>
              <w:start w:w="100" w:type="dxa"/>
              <w:bottom w:w="80" w:type="dxa"/>
              <w:end w:w="100" w:type="dxa"/>
            </w:tcMar>
            <w:vAlign w:val="top"/>
          </w:tcPr>
          <w:p>
            <w:r>
              <w:rPr>
                <w:sz w:val="14"/>
              </w:rPr>
              <w:t>US20240303516A1, HubSpot, “Vector as a service”</w:t>
            </w:r>
          </w:p>
        </w:tc>
        <w:tc>
          <w:tcPr>
            <w:tcW w:type="dxa" w:w="4176"/>
            <w:tcMar>
              <w:top w:w="80" w:type="dxa"/>
              <w:start w:w="100" w:type="dxa"/>
              <w:bottom w:w="80" w:type="dxa"/>
              <w:end w:w="100" w:type="dxa"/>
            </w:tcMar>
            <w:vAlign w:val="top"/>
          </w:tcPr>
          <w:p>
            <w:r>
              <w:rPr>
                <w:sz w:val="14"/>
              </w:rPr>
              <w:t>Model/version IDs and pipeline to port/reindex vectors from embedding model A to B</w:t>
            </w:r>
          </w:p>
        </w:tc>
        <w:tc>
          <w:tcPr>
            <w:tcW w:type="dxa" w:w="3240"/>
            <w:tcMar>
              <w:top w:w="80" w:type="dxa"/>
              <w:start w:w="100" w:type="dxa"/>
              <w:bottom w:w="80" w:type="dxa"/>
              <w:end w:w="100" w:type="dxa"/>
            </w:tcMar>
            <w:vAlign w:val="top"/>
          </w:tcPr>
          <w:p>
            <w:r>
              <w:rPr>
                <w:sz w:val="14"/>
              </w:rPr>
              <w:t>High against broad model-migration claims.</w:t>
            </w:r>
          </w:p>
        </w:tc>
      </w:tr>
      <w:tr>
        <w:tc>
          <w:tcPr>
            <w:tcW w:type="dxa" w:w="3456"/>
            <w:tcMar>
              <w:top w:w="80" w:type="dxa"/>
              <w:start w:w="100" w:type="dxa"/>
              <w:bottom w:w="80" w:type="dxa"/>
              <w:end w:w="100" w:type="dxa"/>
            </w:tcMar>
            <w:vAlign w:val="top"/>
          </w:tcPr>
          <w:p>
            <w:r>
              <w:rPr>
                <w:sz w:val="14"/>
              </w:rPr>
              <w:t>US20250342179A1, Cloudera</w:t>
            </w:r>
          </w:p>
        </w:tc>
        <w:tc>
          <w:tcPr>
            <w:tcW w:type="dxa" w:w="4176"/>
            <w:tcMar>
              <w:top w:w="80" w:type="dxa"/>
              <w:start w:w="100" w:type="dxa"/>
              <w:bottom w:w="80" w:type="dxa"/>
              <w:end w:w="100" w:type="dxa"/>
            </w:tcMar>
            <w:vAlign w:val="top"/>
          </w:tcPr>
          <w:p>
            <w:r>
              <w:rPr>
                <w:sz w:val="14"/>
              </w:rPr>
              <w:t>Re-index a first portion of a vector index without re-indexing a second portion after source-data changes</w:t>
            </w:r>
          </w:p>
        </w:tc>
        <w:tc>
          <w:tcPr>
            <w:tcW w:type="dxa" w:w="3240"/>
            <w:tcMar>
              <w:top w:w="80" w:type="dxa"/>
              <w:start w:w="100" w:type="dxa"/>
              <w:bottom w:w="80" w:type="dxa"/>
              <w:end w:w="100" w:type="dxa"/>
            </w:tcMar>
            <w:vAlign w:val="top"/>
          </w:tcPr>
          <w:p>
            <w:r>
              <w:rPr>
                <w:sz w:val="14"/>
              </w:rPr>
              <w:t>High against generic partial-reindex claims.</w:t>
            </w:r>
          </w:p>
        </w:tc>
      </w:tr>
      <w:tr>
        <w:tc>
          <w:tcPr>
            <w:tcW w:type="dxa" w:w="3456"/>
            <w:tcMar>
              <w:top w:w="80" w:type="dxa"/>
              <w:start w:w="100" w:type="dxa"/>
              <w:bottom w:w="80" w:type="dxa"/>
              <w:end w:w="100" w:type="dxa"/>
            </w:tcMar>
            <w:vAlign w:val="top"/>
          </w:tcPr>
          <w:p>
            <w:r>
              <w:rPr>
                <w:sz w:val="14"/>
              </w:rPr>
              <w:t>SPFresh (SOSP 2023 / arXiv 2024)</w:t>
            </w:r>
          </w:p>
        </w:tc>
        <w:tc>
          <w:tcPr>
            <w:tcW w:type="dxa" w:w="4176"/>
            <w:tcMar>
              <w:top w:w="80" w:type="dxa"/>
              <w:start w:w="100" w:type="dxa"/>
              <w:bottom w:w="80" w:type="dxa"/>
              <w:end w:w="100" w:type="dxa"/>
            </w:tcMar>
            <w:vAlign w:val="top"/>
          </w:tcPr>
          <w:p>
            <w:r>
              <w:rPr>
                <w:sz w:val="14"/>
              </w:rPr>
              <w:t>Incremental in-place vector-index update via local partition rebalancing</w:t>
            </w:r>
          </w:p>
        </w:tc>
        <w:tc>
          <w:tcPr>
            <w:tcW w:type="dxa" w:w="3240"/>
            <w:tcMar>
              <w:top w:w="80" w:type="dxa"/>
              <w:start w:w="100" w:type="dxa"/>
              <w:bottom w:w="80" w:type="dxa"/>
              <w:end w:w="100" w:type="dxa"/>
            </w:tcMar>
            <w:vAlign w:val="top"/>
          </w:tcPr>
          <w:p>
            <w:r>
              <w:rPr>
                <w:sz w:val="14"/>
              </w:rPr>
              <w:t>High against generic local-update claims.</w:t>
            </w:r>
          </w:p>
        </w:tc>
      </w:tr>
      <w:tr>
        <w:tc>
          <w:tcPr>
            <w:tcW w:type="dxa" w:w="3456"/>
            <w:tcMar>
              <w:top w:w="80" w:type="dxa"/>
              <w:start w:w="100" w:type="dxa"/>
              <w:bottom w:w="80" w:type="dxa"/>
              <w:end w:w="100" w:type="dxa"/>
            </w:tcMar>
            <w:vAlign w:val="top"/>
          </w:tcPr>
          <w:p>
            <w:r>
              <w:rPr>
                <w:sz w:val="14"/>
              </w:rPr>
              <w:t>Greator / topology-aware localized ANN update (2025)</w:t>
            </w:r>
          </w:p>
        </w:tc>
        <w:tc>
          <w:tcPr>
            <w:tcW w:type="dxa" w:w="4176"/>
            <w:tcMar>
              <w:top w:w="80" w:type="dxa"/>
              <w:start w:w="100" w:type="dxa"/>
              <w:bottom w:w="80" w:type="dxa"/>
              <w:end w:w="100" w:type="dxa"/>
            </w:tcMar>
            <w:vAlign w:val="top"/>
          </w:tcPr>
          <w:p>
            <w:r>
              <w:rPr>
                <w:sz w:val="14"/>
              </w:rPr>
              <w:t>Identify affected ANN vertices and update only localized topology</w:t>
            </w:r>
          </w:p>
        </w:tc>
        <w:tc>
          <w:tcPr>
            <w:tcW w:type="dxa" w:w="3240"/>
            <w:tcMar>
              <w:top w:w="80" w:type="dxa"/>
              <w:start w:w="100" w:type="dxa"/>
              <w:bottom w:w="80" w:type="dxa"/>
              <w:end w:w="100" w:type="dxa"/>
            </w:tcMar>
            <w:vAlign w:val="top"/>
          </w:tcPr>
          <w:p>
            <w:r>
              <w:rPr>
                <w:sz w:val="14"/>
              </w:rPr>
              <w:t>High against topology-local repair claims.</w:t>
            </w:r>
          </w:p>
        </w:tc>
      </w:tr>
      <w:tr>
        <w:tc>
          <w:tcPr>
            <w:tcW w:type="dxa" w:w="3456"/>
            <w:tcMar>
              <w:top w:w="80" w:type="dxa"/>
              <w:start w:w="100" w:type="dxa"/>
              <w:bottom w:w="80" w:type="dxa"/>
              <w:end w:w="100" w:type="dxa"/>
            </w:tcMar>
            <w:vAlign w:val="top"/>
          </w:tcPr>
          <w:p>
            <w:r>
              <w:rPr>
                <w:sz w:val="14"/>
              </w:rPr>
              <w:t>Learning Backward Compatible Embeddings (KDD 2022)</w:t>
            </w:r>
          </w:p>
        </w:tc>
        <w:tc>
          <w:tcPr>
            <w:tcW w:type="dxa" w:w="4176"/>
            <w:tcMar>
              <w:top w:w="80" w:type="dxa"/>
              <w:start w:w="100" w:type="dxa"/>
              <w:bottom w:w="80" w:type="dxa"/>
              <w:end w:w="100" w:type="dxa"/>
            </w:tcMar>
            <w:vAlign w:val="top"/>
          </w:tcPr>
          <w:p>
            <w:r>
              <w:rPr>
                <w:sz w:val="14"/>
              </w:rPr>
              <w:t>Transform latest embeddings to historical compatible versions</w:t>
            </w:r>
          </w:p>
        </w:tc>
        <w:tc>
          <w:tcPr>
            <w:tcW w:type="dxa" w:w="3240"/>
            <w:tcMar>
              <w:top w:w="80" w:type="dxa"/>
              <w:start w:w="100" w:type="dxa"/>
              <w:bottom w:w="80" w:type="dxa"/>
              <w:end w:w="100" w:type="dxa"/>
            </w:tcMar>
            <w:vAlign w:val="top"/>
          </w:tcPr>
          <w:p>
            <w:r>
              <w:rPr>
                <w:sz w:val="14"/>
              </w:rPr>
              <w:t>Moderate against mixed-version/adapter concepts.</w:t>
            </w:r>
          </w:p>
        </w:tc>
      </w:tr>
      <w:tr>
        <w:tc>
          <w:tcPr>
            <w:tcW w:type="dxa" w:w="3456"/>
            <w:tcMar>
              <w:top w:w="80" w:type="dxa"/>
              <w:start w:w="100" w:type="dxa"/>
              <w:bottom w:w="80" w:type="dxa"/>
              <w:end w:w="100" w:type="dxa"/>
            </w:tcMar>
            <w:vAlign w:val="top"/>
          </w:tcPr>
          <w:p>
            <w:r>
              <w:rPr>
                <w:sz w:val="14"/>
              </w:rPr>
              <w:t>Forward Compatible Training (CVPR 2022)</w:t>
            </w:r>
          </w:p>
        </w:tc>
        <w:tc>
          <w:tcPr>
            <w:tcW w:type="dxa" w:w="4176"/>
            <w:tcMar>
              <w:top w:w="80" w:type="dxa"/>
              <w:start w:w="100" w:type="dxa"/>
              <w:bottom w:w="80" w:type="dxa"/>
              <w:end w:w="100" w:type="dxa"/>
            </w:tcMar>
            <w:vAlign w:val="top"/>
          </w:tcPr>
          <w:p>
            <w:r>
              <w:rPr>
                <w:sz w:val="14"/>
              </w:rPr>
              <w:t>Prepare old model for unknown future upgrade using side information and forward transform</w:t>
            </w:r>
          </w:p>
        </w:tc>
        <w:tc>
          <w:tcPr>
            <w:tcW w:type="dxa" w:w="3240"/>
            <w:tcMar>
              <w:top w:w="80" w:type="dxa"/>
              <w:start w:w="100" w:type="dxa"/>
              <w:bottom w:w="80" w:type="dxa"/>
              <w:end w:w="100" w:type="dxa"/>
            </w:tcMar>
            <w:vAlign w:val="top"/>
          </w:tcPr>
          <w:p>
            <w:r>
              <w:rPr>
                <w:sz w:val="14"/>
              </w:rPr>
              <w:t>Moderate against future-compatible migration concepts.</w:t>
            </w:r>
          </w:p>
        </w:tc>
      </w:tr>
      <w:tr>
        <w:tc>
          <w:tcPr>
            <w:tcW w:type="dxa" w:w="3456"/>
            <w:tcMar>
              <w:top w:w="80" w:type="dxa"/>
              <w:start w:w="100" w:type="dxa"/>
              <w:bottom w:w="80" w:type="dxa"/>
              <w:end w:w="100" w:type="dxa"/>
            </w:tcMar>
            <w:vAlign w:val="top"/>
          </w:tcPr>
          <w:p>
            <w:r>
              <w:rPr>
                <w:sz w:val="14"/>
              </w:rPr>
              <w:t>Darwinian Model Upgrades (AAAI 2023)</w:t>
            </w:r>
          </w:p>
        </w:tc>
        <w:tc>
          <w:tcPr>
            <w:tcW w:type="dxa" w:w="4176"/>
            <w:tcMar>
              <w:top w:w="80" w:type="dxa"/>
              <w:start w:w="100" w:type="dxa"/>
              <w:bottom w:w="80" w:type="dxa"/>
              <w:end w:w="100" w:type="dxa"/>
            </w:tcMar>
            <w:vAlign w:val="top"/>
          </w:tcPr>
          <w:p>
            <w:r>
              <w:rPr>
                <w:sz w:val="14"/>
              </w:rPr>
              <w:t>Selective compatibility + lightweight forward adaptation of old gallery features</w:t>
            </w:r>
          </w:p>
        </w:tc>
        <w:tc>
          <w:tcPr>
            <w:tcW w:type="dxa" w:w="3240"/>
            <w:tcMar>
              <w:top w:w="80" w:type="dxa"/>
              <w:start w:w="100" w:type="dxa"/>
              <w:bottom w:w="80" w:type="dxa"/>
              <w:end w:w="100" w:type="dxa"/>
            </w:tcMar>
            <w:vAlign w:val="top"/>
          </w:tcPr>
          <w:p>
            <w:r>
              <w:rPr>
                <w:sz w:val="14"/>
              </w:rPr>
              <w:t>High against local-correction migration branches.</w:t>
            </w:r>
          </w:p>
        </w:tc>
      </w:tr>
      <w:tr>
        <w:tc>
          <w:tcPr>
            <w:tcW w:type="dxa" w:w="3456"/>
            <w:tcMar>
              <w:top w:w="80" w:type="dxa"/>
              <w:start w:w="100" w:type="dxa"/>
              <w:bottom w:w="80" w:type="dxa"/>
              <w:end w:w="100" w:type="dxa"/>
            </w:tcMar>
            <w:vAlign w:val="top"/>
          </w:tcPr>
          <w:p>
            <w:r>
              <w:rPr>
                <w:sz w:val="14"/>
              </w:rPr>
              <w:t>US20260195572A1 / EP4773042A1, Google, “Embedding Patches for Localized Improvement of Embeddings”</w:t>
            </w:r>
          </w:p>
        </w:tc>
        <w:tc>
          <w:tcPr>
            <w:tcW w:type="dxa" w:w="4176"/>
            <w:tcMar>
              <w:top w:w="80" w:type="dxa"/>
              <w:start w:w="100" w:type="dxa"/>
              <w:bottom w:w="80" w:type="dxa"/>
              <w:end w:w="100" w:type="dxa"/>
            </w:tcMar>
            <w:vAlign w:val="top"/>
          </w:tcPr>
          <w:p>
            <w:r>
              <w:rPr>
                <w:sz w:val="14"/>
              </w:rPr>
              <w:t>Localized embedding patches/specialist subspace embeddings with emulation back into a base latent space</w:t>
            </w:r>
          </w:p>
        </w:tc>
        <w:tc>
          <w:tcPr>
            <w:tcW w:type="dxa" w:w="3240"/>
            <w:tcMar>
              <w:top w:w="80" w:type="dxa"/>
              <w:start w:w="100" w:type="dxa"/>
              <w:bottom w:w="80" w:type="dxa"/>
              <w:end w:w="100" w:type="dxa"/>
            </w:tcMar>
            <w:vAlign w:val="top"/>
          </w:tcPr>
          <w:p>
            <w:r>
              <w:rPr>
                <w:sz w:val="14"/>
              </w:rPr>
              <w:t>High new risk against NCA/local-patch core.</w:t>
            </w:r>
          </w:p>
        </w:tc>
      </w:tr>
      <w:tr>
        <w:tc>
          <w:tcPr>
            <w:tcW w:type="dxa" w:w="3456"/>
            <w:tcMar>
              <w:top w:w="80" w:type="dxa"/>
              <w:start w:w="100" w:type="dxa"/>
              <w:bottom w:w="80" w:type="dxa"/>
              <w:end w:w="100" w:type="dxa"/>
            </w:tcMar>
            <w:vAlign w:val="top"/>
          </w:tcPr>
          <w:p>
            <w:r>
              <w:rPr>
                <w:sz w:val="14"/>
              </w:rPr>
              <w:t>CertDR (CIKM 2022)</w:t>
            </w:r>
          </w:p>
        </w:tc>
        <w:tc>
          <w:tcPr>
            <w:tcW w:type="dxa" w:w="4176"/>
            <w:tcMar>
              <w:top w:w="80" w:type="dxa"/>
              <w:start w:w="100" w:type="dxa"/>
              <w:bottom w:w="80" w:type="dxa"/>
              <w:end w:w="100" w:type="dxa"/>
            </w:tcMar>
            <w:vAlign w:val="top"/>
          </w:tcPr>
          <w:p>
            <w:r>
              <w:rPr>
                <w:sz w:val="14"/>
              </w:rPr>
              <w:t>Certified top-k robustness for neural ranking</w:t>
            </w:r>
          </w:p>
        </w:tc>
        <w:tc>
          <w:tcPr>
            <w:tcW w:type="dxa" w:w="3240"/>
            <w:tcMar>
              <w:top w:w="80" w:type="dxa"/>
              <w:start w:w="100" w:type="dxa"/>
              <w:bottom w:w="80" w:type="dxa"/>
              <w:end w:w="100" w:type="dxa"/>
            </w:tcMar>
            <w:vAlign w:val="top"/>
          </w:tcPr>
          <w:p>
            <w:r>
              <w:rPr>
                <w:sz w:val="14"/>
              </w:rPr>
              <w:t>High against claiming generic top-k certification.</w:t>
            </w:r>
          </w:p>
        </w:tc>
      </w:tr>
      <w:tr>
        <w:tc>
          <w:tcPr>
            <w:tcW w:type="dxa" w:w="3456"/>
            <w:tcMar>
              <w:top w:w="80" w:type="dxa"/>
              <w:start w:w="100" w:type="dxa"/>
              <w:bottom w:w="80" w:type="dxa"/>
              <w:end w:w="100" w:type="dxa"/>
            </w:tcMar>
            <w:vAlign w:val="top"/>
          </w:tcPr>
          <w:p>
            <w:r>
              <w:rPr>
                <w:sz w:val="14"/>
              </w:rPr>
              <w:t>Control Barrier Functions / safety-filter literature</w:t>
            </w:r>
          </w:p>
        </w:tc>
        <w:tc>
          <w:tcPr>
            <w:tcW w:type="dxa" w:w="4176"/>
            <w:tcMar>
              <w:top w:w="80" w:type="dxa"/>
              <w:start w:w="100" w:type="dxa"/>
              <w:bottom w:w="80" w:type="dxa"/>
              <w:end w:w="100" w:type="dxa"/>
            </w:tcMar>
            <w:vAlign w:val="top"/>
          </w:tcPr>
          <w:p>
            <w:r>
              <w:rPr>
                <w:sz w:val="14"/>
              </w:rPr>
              <w:t>Keep system state inside safety set and intervene on unsafe transitions</w:t>
            </w:r>
          </w:p>
        </w:tc>
        <w:tc>
          <w:tcPr>
            <w:tcW w:type="dxa" w:w="3240"/>
            <w:tcMar>
              <w:top w:w="80" w:type="dxa"/>
              <w:start w:w="100" w:type="dxa"/>
              <w:bottom w:w="80" w:type="dxa"/>
              <w:end w:w="100" w:type="dxa"/>
            </w:tcMar>
            <w:vAlign w:val="top"/>
          </w:tcPr>
          <w:p>
            <w:r>
              <w:rPr>
                <w:sz w:val="14"/>
              </w:rPr>
              <w:t>High against generic barrier-function claim; only application-specific migration control may differentiate.</w:t>
            </w:r>
          </w:p>
        </w:tc>
      </w:tr>
      <w:tr>
        <w:tc>
          <w:tcPr>
            <w:tcW w:type="dxa" w:w="3456"/>
            <w:tcMar>
              <w:top w:w="80" w:type="dxa"/>
              <w:start w:w="100" w:type="dxa"/>
              <w:bottom w:w="80" w:type="dxa"/>
              <w:end w:w="100" w:type="dxa"/>
            </w:tcMar>
            <w:vAlign w:val="top"/>
          </w:tcPr>
          <w:p>
            <w:r>
              <w:rPr>
                <w:sz w:val="14"/>
              </w:rPr>
              <w:t>ICLR 2025 reliable conformal prediction under poisoning</w:t>
            </w:r>
          </w:p>
        </w:tc>
        <w:tc>
          <w:tcPr>
            <w:tcW w:type="dxa" w:w="4176"/>
            <w:tcMar>
              <w:top w:w="80" w:type="dxa"/>
              <w:start w:w="100" w:type="dxa"/>
              <w:bottom w:w="80" w:type="dxa"/>
              <w:end w:w="100" w:type="dxa"/>
            </w:tcMar>
            <w:vAlign w:val="top"/>
          </w:tcPr>
          <w:p>
            <w:r>
              <w:rPr>
                <w:sz w:val="14"/>
              </w:rPr>
              <w:t>Partition/aggregate calibration evidence for robustness under poisoning</w:t>
            </w:r>
          </w:p>
        </w:tc>
        <w:tc>
          <w:tcPr>
            <w:tcW w:type="dxa" w:w="3240"/>
            <w:tcMar>
              <w:top w:w="80" w:type="dxa"/>
              <w:start w:w="100" w:type="dxa"/>
              <w:bottom w:w="80" w:type="dxa"/>
              <w:end w:w="100" w:type="dxa"/>
            </w:tcMar>
            <w:vAlign w:val="top"/>
          </w:tcPr>
          <w:p>
            <w:r>
              <w:rPr>
                <w:sz w:val="14"/>
              </w:rPr>
              <w:t>High against broad ProbeQuorum/robust-calibration claims.</w:t>
            </w:r>
          </w:p>
        </w:tc>
      </w:tr>
    </w:tbl>
    <w:tbl>
      <w:tblPr>
        <w:tblStyle w:val="TableGrid"/>
        <w:tblW w:type="auto" w:w="0"/>
        <w:jc w:val="center"/>
        <w:tblLook w:firstColumn="1" w:firstRow="1" w:lastColumn="0" w:lastRow="0" w:noHBand="0" w:noVBand="1" w:val="04A0"/>
      </w:tblPr>
      <w:tblGrid>
        <w:gridCol w:w="3331"/>
        <w:gridCol w:w="3331"/>
        <w:gridCol w:w="3331"/>
      </w:tblGrid>
      <w:tr>
        <w:tc>
          <w:tcPr>
            <w:tcW w:type="dxa" w:w="3024"/>
            <w:shd w:fill="DCE6F1"/>
            <w:tcMar>
              <w:top w:w="80" w:type="dxa"/>
              <w:start w:w="100" w:type="dxa"/>
              <w:bottom w:w="80" w:type="dxa"/>
              <w:end w:w="100" w:type="dxa"/>
            </w:tcMar>
            <w:vAlign w:val="center"/>
          </w:tcPr>
          <w:p>
            <w:r>
              <w:rPr>
                <w:b/>
                <w:sz w:val="16"/>
              </w:rPr>
              <w:t>Dimension</w:t>
            </w:r>
          </w:p>
        </w:tc>
        <w:tc>
          <w:tcPr>
            <w:tcW w:type="dxa" w:w="2160"/>
            <w:shd w:fill="DCE6F1"/>
            <w:tcMar>
              <w:top w:w="80" w:type="dxa"/>
              <w:start w:w="100" w:type="dxa"/>
              <w:bottom w:w="80" w:type="dxa"/>
              <w:end w:w="100" w:type="dxa"/>
            </w:tcMar>
            <w:vAlign w:val="center"/>
          </w:tcPr>
          <w:p>
            <w:r>
              <w:rPr>
                <w:b/>
                <w:sz w:val="16"/>
              </w:rPr>
              <w:t>Frozen strategic estimate</w:t>
            </w:r>
          </w:p>
        </w:tc>
        <w:tc>
          <w:tcPr>
            <w:tcW w:type="dxa" w:w="5760"/>
            <w:shd w:fill="DCE6F1"/>
            <w:tcMar>
              <w:top w:w="80" w:type="dxa"/>
              <w:start w:w="100" w:type="dxa"/>
              <w:bottom w:w="80" w:type="dxa"/>
              <w:end w:w="100" w:type="dxa"/>
            </w:tcMar>
            <w:vAlign w:val="center"/>
          </w:tcPr>
          <w:p>
            <w:r>
              <w:rPr>
                <w:b/>
                <w:sz w:val="16"/>
              </w:rPr>
              <w:t>Comment</w:t>
            </w:r>
          </w:p>
        </w:tc>
      </w:tr>
      <w:tr>
        <w:tc>
          <w:tcPr>
            <w:tcW w:type="dxa" w:w="3024"/>
            <w:tcMar>
              <w:top w:w="80" w:type="dxa"/>
              <w:start w:w="100" w:type="dxa"/>
              <w:bottom w:w="80" w:type="dxa"/>
              <w:end w:w="100" w:type="dxa"/>
            </w:tcMar>
            <w:vAlign w:val="top"/>
          </w:tcPr>
          <w:p>
            <w:r>
              <w:rPr>
                <w:sz w:val="16"/>
              </w:rPr>
              <w:t>Novelty</w:t>
            </w:r>
          </w:p>
        </w:tc>
        <w:tc>
          <w:tcPr>
            <w:tcW w:type="dxa" w:w="2160"/>
            <w:tcMar>
              <w:top w:w="80" w:type="dxa"/>
              <w:start w:w="100" w:type="dxa"/>
              <w:bottom w:w="80" w:type="dxa"/>
              <w:end w:w="100" w:type="dxa"/>
            </w:tcMar>
            <w:vAlign w:val="top"/>
          </w:tcPr>
          <w:p>
            <w:r>
              <w:t>~7.2–7.5 / 10</w:t>
            </w:r>
          </w:p>
        </w:tc>
        <w:tc>
          <w:tcPr>
            <w:tcW w:type="dxa" w:w="5760"/>
            <w:tcMar>
              <w:top w:w="80" w:type="dxa"/>
              <w:start w:w="100" w:type="dxa"/>
              <w:bottom w:w="80" w:type="dxa"/>
              <w:end w:w="100" w:type="dxa"/>
            </w:tcMar>
            <w:vAlign w:val="top"/>
          </w:tcPr>
          <w:p>
            <w:r>
              <w:t>No single searched public reference was found to disclose the narrow action-effect witness + ephemeral preview + safety-controlled durable mutation sequence as a whole; Candidate Envelope itself is now less distinctive because progressive target-materialization work exists.</w:t>
            </w:r>
          </w:p>
        </w:tc>
      </w:tr>
      <w:tr>
        <w:tc>
          <w:tcPr>
            <w:tcW w:type="dxa" w:w="3024"/>
            <w:tcMar>
              <w:top w:w="80" w:type="dxa"/>
              <w:start w:w="100" w:type="dxa"/>
              <w:bottom w:w="80" w:type="dxa"/>
              <w:end w:w="100" w:type="dxa"/>
            </w:tcMar>
            <w:vAlign w:val="top"/>
          </w:tcPr>
          <w:p>
            <w:r>
              <w:rPr>
                <w:sz w:val="16"/>
              </w:rPr>
              <w:t>Non-obviousness</w:t>
            </w:r>
          </w:p>
        </w:tc>
        <w:tc>
          <w:tcPr>
            <w:tcW w:type="dxa" w:w="2160"/>
            <w:tcMar>
              <w:top w:w="80" w:type="dxa"/>
              <w:start w:w="100" w:type="dxa"/>
              <w:bottom w:w="80" w:type="dxa"/>
              <w:end w:w="100" w:type="dxa"/>
            </w:tcMar>
            <w:vAlign w:val="top"/>
          </w:tcPr>
          <w:p>
            <w:r>
              <w:t>~6.5–6.9 / 10</w:t>
            </w:r>
          </w:p>
        </w:tc>
        <w:tc>
          <w:tcPr>
            <w:tcW w:type="dxa" w:w="5760"/>
            <w:tcMar>
              <w:top w:w="80" w:type="dxa"/>
              <w:start w:w="100" w:type="dxa"/>
              <w:bottom w:w="80" w:type="dxa"/>
              <w:end w:w="100" w:type="dxa"/>
            </w:tcMar>
            <w:vAlign w:val="top"/>
          </w:tcPr>
          <w:p>
            <w:r>
              <w:t>Main risk remains a multi-reference §103 combination: embedding migration + selective reindexing + progressive target materialization + local ANN update + counterexample repair + safety/runtime assurance.</w:t>
            </w:r>
          </w:p>
        </w:tc>
      </w:tr>
      <w:tr>
        <w:tc>
          <w:tcPr>
            <w:tcW w:type="dxa" w:w="3024"/>
            <w:tcMar>
              <w:top w:w="80" w:type="dxa"/>
              <w:start w:w="100" w:type="dxa"/>
              <w:bottom w:w="80" w:type="dxa"/>
              <w:end w:w="100" w:type="dxa"/>
            </w:tcMar>
            <w:vAlign w:val="top"/>
          </w:tcPr>
          <w:p>
            <w:r>
              <w:rPr>
                <w:sz w:val="16"/>
              </w:rPr>
              <w:t>Utility</w:t>
            </w:r>
          </w:p>
        </w:tc>
        <w:tc>
          <w:tcPr>
            <w:tcW w:type="dxa" w:w="2160"/>
            <w:tcMar>
              <w:top w:w="80" w:type="dxa"/>
              <w:start w:w="100" w:type="dxa"/>
              <w:bottom w:w="80" w:type="dxa"/>
              <w:end w:w="100" w:type="dxa"/>
            </w:tcMar>
            <w:vAlign w:val="top"/>
          </w:tcPr>
          <w:p>
            <w:r>
              <w:rPr>
                <w:sz w:val="16"/>
              </w:rPr>
              <w:t>~9.2 / 10</w:t>
            </w:r>
          </w:p>
        </w:tc>
        <w:tc>
          <w:tcPr>
            <w:tcW w:type="dxa" w:w="5760"/>
            <w:tcMar>
              <w:top w:w="80" w:type="dxa"/>
              <w:start w:w="100" w:type="dxa"/>
              <w:bottom w:w="80" w:type="dxa"/>
              <w:end w:w="100" w:type="dxa"/>
            </w:tcMar>
            <w:vAlign w:val="top"/>
          </w:tcPr>
          <w:p>
            <w:r>
              <w:rPr>
                <w:sz w:val="16"/>
              </w:rPr>
              <w:t>Clear compute/index/storage/downtime problem; production vendors document full backfill workflows.</w:t>
            </w:r>
          </w:p>
        </w:tc>
      </w:tr>
      <w:tr>
        <w:tc>
          <w:tcPr>
            <w:tcW w:type="dxa" w:w="3024"/>
            <w:tcMar>
              <w:top w:w="80" w:type="dxa"/>
              <w:start w:w="100" w:type="dxa"/>
              <w:bottom w:w="80" w:type="dxa"/>
              <w:end w:w="100" w:type="dxa"/>
            </w:tcMar>
            <w:vAlign w:val="top"/>
          </w:tcPr>
          <w:p>
            <w:r>
              <w:rPr>
                <w:sz w:val="16"/>
              </w:rPr>
              <w:t>Eligibility robustness</w:t>
            </w:r>
          </w:p>
        </w:tc>
        <w:tc>
          <w:tcPr>
            <w:tcW w:type="dxa" w:w="2160"/>
            <w:tcMar>
              <w:top w:w="80" w:type="dxa"/>
              <w:start w:w="100" w:type="dxa"/>
              <w:bottom w:w="80" w:type="dxa"/>
              <w:end w:w="100" w:type="dxa"/>
            </w:tcMar>
            <w:vAlign w:val="top"/>
          </w:tcPr>
          <w:p>
            <w:r>
              <w:rPr>
                <w:sz w:val="16"/>
              </w:rPr>
              <w:t>~8 / 10</w:t>
            </w:r>
          </w:p>
        </w:tc>
        <w:tc>
          <w:tcPr>
            <w:tcW w:type="dxa" w:w="5760"/>
            <w:tcMar>
              <w:top w:w="80" w:type="dxa"/>
              <w:start w:w="100" w:type="dxa"/>
              <w:bottom w:w="80" w:type="dxa"/>
              <w:end w:w="100" w:type="dxa"/>
            </w:tcMar>
            <w:vAlign w:val="top"/>
          </w:tcPr>
          <w:p>
            <w:r>
              <w:rPr>
                <w:sz w:val="16"/>
              </w:rPr>
              <w:t>Concrete database/index state changes, embedding operations, routing and measured resource effects help technical-effect framing.</w:t>
            </w:r>
          </w:p>
        </w:tc>
      </w:tr>
      <w:tr>
        <w:tc>
          <w:tcPr>
            <w:tcW w:type="dxa" w:w="3024"/>
            <w:tcMar>
              <w:top w:w="80" w:type="dxa"/>
              <w:start w:w="100" w:type="dxa"/>
              <w:bottom w:w="80" w:type="dxa"/>
              <w:end w:w="100" w:type="dxa"/>
            </w:tcMar>
            <w:vAlign w:val="top"/>
          </w:tcPr>
          <w:p>
            <w:r>
              <w:rPr>
                <w:sz w:val="16"/>
              </w:rPr>
              <w:t>Feasibility</w:t>
            </w:r>
          </w:p>
        </w:tc>
        <w:tc>
          <w:tcPr>
            <w:tcW w:type="dxa" w:w="2160"/>
            <w:tcMar>
              <w:top w:w="80" w:type="dxa"/>
              <w:start w:w="100" w:type="dxa"/>
              <w:bottom w:w="80" w:type="dxa"/>
              <w:end w:w="100" w:type="dxa"/>
            </w:tcMar>
            <w:vAlign w:val="top"/>
          </w:tcPr>
          <w:p>
            <w:r>
              <w:t>~8.8–9 / 10 for MVP</w:t>
            </w:r>
          </w:p>
        </w:tc>
        <w:tc>
          <w:tcPr>
            <w:tcW w:type="dxa" w:w="5760"/>
            <w:tcMar>
              <w:top w:w="80" w:type="dxa"/>
              <w:start w:w="100" w:type="dxa"/>
              <w:bottom w:w="80" w:type="dxa"/>
              <w:end w:w="100" w:type="dxa"/>
            </w:tcMar>
            <w:vAlign w:val="top"/>
          </w:tcPr>
          <w:p>
            <w:r>
              <w:rPr>
                <w:sz w:val="16"/>
              </w:rPr>
              <w:t>No hardware needed; remaining difficulty is rigorous candidate-envelope and mixed-state evaluation.</w:t>
            </w:r>
          </w:p>
        </w:tc>
      </w:tr>
      <w:tr>
        <w:tc>
          <w:tcPr>
            <w:tcW w:type="dxa" w:w="3024"/>
            <w:tcMar>
              <w:top w:w="80" w:type="dxa"/>
              <w:start w:w="100" w:type="dxa"/>
              <w:bottom w:w="80" w:type="dxa"/>
              <w:end w:w="100" w:type="dxa"/>
            </w:tcMar>
            <w:vAlign w:val="top"/>
          </w:tcPr>
          <w:p>
            <w:r>
              <w:rPr>
                <w:sz w:val="16"/>
              </w:rPr>
              <w:t>Overall filing potential</w:t>
            </w:r>
          </w:p>
        </w:tc>
        <w:tc>
          <w:tcPr>
            <w:tcW w:type="dxa" w:w="2160"/>
            <w:tcMar>
              <w:top w:w="80" w:type="dxa"/>
              <w:start w:w="100" w:type="dxa"/>
              <w:bottom w:w="80" w:type="dxa"/>
              <w:end w:w="100" w:type="dxa"/>
            </w:tcMar>
            <w:vAlign w:val="top"/>
          </w:tcPr>
          <w:p>
            <w:r>
              <w:t>~7.0–7.3 / 10</w:t>
            </w:r>
          </w:p>
        </w:tc>
        <w:tc>
          <w:tcPr>
            <w:tcW w:type="dxa" w:w="5760"/>
            <w:tcMar>
              <w:top w:w="80" w:type="dxa"/>
              <w:start w:w="100" w:type="dxa"/>
              <w:bottom w:w="80" w:type="dxa"/>
              <w:end w:w="100" w:type="dxa"/>
            </w:tcMar>
            <w:vAlign w:val="top"/>
          </w:tcPr>
          <w:p>
            <w:r>
              <w:t>Worth building and then professionally searching; still a narrow patent candidate, not a high-confidence “safe patent.”</w:t>
            </w:r>
          </w:p>
        </w:tc>
      </w:tr>
    </w:tbl>
    <w:tbl>
      <w:tblPr>
        <w:tblStyle w:val="TableGrid"/>
        <w:tblW w:type="auto" w:w="0"/>
        <w:tblLook w:firstColumn="1" w:firstRow="1" w:lastColumn="0" w:lastRow="0" w:noHBand="0" w:noVBand="1" w:val="04A0"/>
      </w:tblPr>
      <w:tblGrid>
        <w:gridCol w:w="9994"/>
      </w:tblGrid>
      <w:tr>
        <w:tc>
          <w:tcPr>
            <w:tcW w:type="dxa" w:w="9994"/>
            <w:shd w:fill="FFF2CC"/>
            <w:tcMar>
              <w:top w:w="140" w:type="dxa"/>
              <w:start w:w="160" w:type="dxa"/>
              <w:bottom w:w="140" w:type="dxa"/>
              <w:end w:w="160" w:type="dxa"/>
            </w:tcMar>
          </w:tcPr>
          <w:p>
            <w:r>
              <w:rPr>
                <w:b/>
                <w:sz w:val="21"/>
              </w:rPr>
              <w:t>Why we stop adding architecture now</w:t>
            </w:r>
            <w:r>
              <w:br/>
              <w:t>The new July 2026 Google embedding-patch filing demonstrates how quickly adjacent territory is filling. More architectural modules are increasingly likely to create new prior-art combinations rather than remove them. The highest-leverage route to a stronger filing is now prototype evidence: measured technical savings plus barrier behavior that is not a predictable consequence of known partial reindexing.</w:t>
            </w:r>
          </w:p>
        </w:tc>
      </w:tr>
    </w:tbl>
    <w:p>
      <w:pPr>
        <w:pStyle w:val="Heading1"/>
      </w:pPr>
      <w:r>
        <w:t>14. Illustrative Patent Claim Strategy (Non-Legal Draft)</w:t>
      </w:r>
    </w:p>
    <w:p>
      <w:r>
        <w:t>These claims are engineering claim skeletons for discussion with a registered patent professional. They are intentionally narrower than “selectively migrate a vector database.”</w:t>
      </w:r>
    </w:p>
    <w:p>
      <w:pPr>
        <w:pStyle w:val="Heading2"/>
      </w:pPr>
      <w:r>
        <w:t>14.1 Independent method claim nucleus (v4.1 aligned; final claim tree in Section 50)</w:t>
      </w:r>
    </w:p>
    <w:tbl>
      <w:tblPr>
        <w:tblStyle w:val="TableGrid"/>
        <w:tblW w:type="auto" w:w="0"/>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rPr>
              <w:t>Illustrative claim 1</w:t>
              <w:br/>
            </w:r>
            <w:r>
              <w:t>A computer-implemented method for migrating a vector retrieval system from a first embedding model to a second embedding model, comprising: obtaining protected retrieval constraints for probe queries associated with a durable first-model retrieval state; obtaining second-model retrieval evidence for candidate indexed objects and identifying a protected retrieval constraint affected by a candidate model-version transition; generating a witness data structure associating the affected retrieval constraint with at least one candidate migration action and a counterfactual retrieval effect of that action; determining, using the witness data structure and a technical resource-cost function, a candidate migration action specifying a subset of indexed objects and an associated index-state modification; materializing the candidate migration action as a non-durable preview retrieval state comprising first-model object membership, tentative second-model object membership, version-routing state, and a tentative index delta; evaluating the preview retrieval state against a retrieval-safety condition; when the preview retrieval state satisfies the retrieval-safety condition, committing the candidate migration action by generating or activating second-model representations for the subset and making the corresponding index-state modification durable without generating second-model representations for at least some remaining indexed objects; and when the preview retrieval state does not satisfy the retrieval-safety condition, preventing the candidate migration action from becoming durable and instead expanding a repair scope, obtaining additional retrieval evidence, or routing an affected query scope to a known-safe retrieval path.</w:t>
            </w:r>
          </w:p>
        </w:tc>
      </w:tr>
    </w:tbl>
    <w:p>
      <w:pPr>
        <w:pStyle w:val="Heading2"/>
      </w:pPr>
      <w:r>
        <w:t>14.2 Dependent claim directions</w:t>
      </w:r>
    </w:p>
    <w:tbl>
      <w:tblPr>
        <w:tblStyle w:val="TableGrid"/>
        <w:tblW w:type="auto" w:w="0"/>
        <w:jc w:val="center"/>
        <w:tblLook w:firstColumn="1" w:firstRow="1" w:lastColumn="0" w:lastRow="0" w:noHBand="0" w:noVBand="1" w:val="04A0"/>
      </w:tblPr>
      <w:tblGrid>
        <w:gridCol w:w="4997"/>
        <w:gridCol w:w="4997"/>
      </w:tblGrid>
      <w:tr>
        <w:tc>
          <w:tcPr>
            <w:tcW w:type="dxa" w:w="2880"/>
            <w:shd w:fill="DCE6F1"/>
            <w:tcMar>
              <w:top w:w="80" w:type="dxa"/>
              <w:start w:w="100" w:type="dxa"/>
              <w:bottom w:w="80" w:type="dxa"/>
              <w:end w:w="100" w:type="dxa"/>
            </w:tcMar>
            <w:vAlign w:val="center"/>
          </w:tcPr>
          <w:p>
            <w:r>
              <w:rPr>
                <w:b/>
                <w:sz w:val="16"/>
              </w:rPr>
              <w:t>Claim direction</w:t>
            </w:r>
          </w:p>
        </w:tc>
        <w:tc>
          <w:tcPr>
            <w:tcW w:type="dxa" w:w="7488"/>
            <w:shd w:fill="DCE6F1"/>
            <w:tcMar>
              <w:top w:w="80" w:type="dxa"/>
              <w:start w:w="100" w:type="dxa"/>
              <w:bottom w:w="80" w:type="dxa"/>
              <w:end w:w="100" w:type="dxa"/>
            </w:tcMar>
            <w:vAlign w:val="center"/>
          </w:tcPr>
          <w:p>
            <w:r>
              <w:rPr>
                <w:b/>
                <w:sz w:val="16"/>
              </w:rPr>
              <w:t>Technical limitation</w:t>
            </w:r>
          </w:p>
        </w:tc>
      </w:tr>
      <w:tr>
        <w:tc>
          <w:tcPr>
            <w:tcW w:type="dxa" w:w="2880"/>
            <w:tcMar>
              <w:top w:w="80" w:type="dxa"/>
              <w:start w:w="100" w:type="dxa"/>
              <w:bottom w:w="80" w:type="dxa"/>
              <w:end w:w="100" w:type="dxa"/>
            </w:tcMar>
            <w:vAlign w:val="top"/>
          </w:tcPr>
          <w:p>
            <w:r>
              <w:rPr>
                <w:sz w:val="16"/>
              </w:rPr>
              <w:t>Witness-constrained repair</w:t>
            </w:r>
          </w:p>
        </w:tc>
        <w:tc>
          <w:tcPr>
            <w:tcW w:type="dxa" w:w="7488"/>
            <w:tcMar>
              <w:top w:w="80" w:type="dxa"/>
              <w:start w:w="100" w:type="dxa"/>
              <w:bottom w:w="80" w:type="dxa"/>
              <w:end w:w="100" w:type="dxa"/>
            </w:tcMar>
            <w:vAlign w:val="top"/>
          </w:tcPr>
          <w:p>
            <w:r>
              <w:rPr>
                <w:sz w:val="16"/>
              </w:rPr>
              <w:t>The candidate action minimizes at least one of embedding forward-pass operations, bytes written, ANN nodes/edges modified, or predicted migration latency subject to witness satisfaction and safety admissibility.</w:t>
            </w:r>
          </w:p>
        </w:tc>
      </w:tr>
      <w:tr>
        <w:tc>
          <w:tcPr>
            <w:tcW w:type="dxa" w:w="2880"/>
            <w:tcMar>
              <w:top w:w="80" w:type="dxa"/>
              <w:start w:w="100" w:type="dxa"/>
              <w:bottom w:w="80" w:type="dxa"/>
              <w:end w:w="100" w:type="dxa"/>
            </w:tcMar>
            <w:vAlign w:val="top"/>
          </w:tcPr>
          <w:p>
            <w:r>
              <w:rPr>
                <w:sz w:val="16"/>
              </w:rPr>
              <w:t>Candidate-envelope acquisition</w:t>
            </w:r>
          </w:p>
        </w:tc>
        <w:tc>
          <w:tcPr>
            <w:tcW w:type="dxa" w:w="7488"/>
            <w:tcMar>
              <w:top w:w="80" w:type="dxa"/>
              <w:start w:w="100" w:type="dxa"/>
              <w:bottom w:w="80" w:type="dxa"/>
              <w:end w:w="100" w:type="dxa"/>
            </w:tcMar>
            <w:vAlign w:val="top"/>
          </w:tcPr>
          <w:p>
            <w:r>
              <w:rPr>
                <w:sz w:val="16"/>
              </w:rPr>
              <w:t>Second-model retrieval evidence is produced by iteratively expanding a candidate envelope and generating second-model embeddings only for newly admitted candidate objects until a protected ranking condition is resolved within a defined uncertainty bound.</w:t>
            </w:r>
          </w:p>
        </w:tc>
      </w:tr>
      <w:tr>
        <w:tc>
          <w:tcPr>
            <w:tcW w:type="dxa" w:w="2880"/>
            <w:tcMar>
              <w:top w:w="80" w:type="dxa"/>
              <w:start w:w="100" w:type="dxa"/>
              <w:bottom w:w="80" w:type="dxa"/>
              <w:end w:w="100" w:type="dxa"/>
            </w:tcMar>
            <w:vAlign w:val="top"/>
          </w:tcPr>
          <w:p>
            <w:r>
              <w:rPr>
                <w:sz w:val="16"/>
              </w:rPr>
              <w:t>Dual-native-space serving</w:t>
            </w:r>
          </w:p>
        </w:tc>
        <w:tc>
          <w:tcPr>
            <w:tcW w:type="dxa" w:w="7488"/>
            <w:tcMar>
              <w:top w:w="80" w:type="dxa"/>
              <w:start w:w="100" w:type="dxa"/>
              <w:bottom w:w="80" w:type="dxa"/>
              <w:end w:w="100" w:type="dxa"/>
            </w:tcMar>
            <w:vAlign w:val="top"/>
          </w:tcPr>
          <w:p>
            <w:r>
              <w:rPr>
                <w:sz w:val="16"/>
              </w:rPr>
              <w:t>During partial migration, queries are encoded by both embedding models, searched against respective native first-model and second-model sub-indexes, and merged using rank-normalized fusion without directly comparing raw distances from the two embedding spaces.</w:t>
            </w:r>
          </w:p>
        </w:tc>
      </w:tr>
      <w:tr>
        <w:tc>
          <w:tcPr>
            <w:tcW w:type="dxa" w:w="2880"/>
            <w:tcMar>
              <w:top w:w="80" w:type="dxa"/>
              <w:start w:w="100" w:type="dxa"/>
              <w:bottom w:w="80" w:type="dxa"/>
              <w:end w:w="100" w:type="dxa"/>
            </w:tcMar>
            <w:vAlign w:val="top"/>
          </w:tcPr>
          <w:p>
            <w:r>
              <w:rPr>
                <w:sz w:val="16"/>
              </w:rPr>
              <w:t>ANN dependency cone</w:t>
            </w:r>
          </w:p>
        </w:tc>
        <w:tc>
          <w:tcPr>
            <w:tcW w:type="dxa" w:w="7488"/>
            <w:tcMar>
              <w:top w:w="80" w:type="dxa"/>
              <w:start w:w="100" w:type="dxa"/>
              <w:bottom w:w="80" w:type="dxa"/>
              <w:end w:w="100" w:type="dxa"/>
            </w:tcMar>
            <w:vAlign w:val="top"/>
          </w:tcPr>
          <w:p>
            <w:r>
              <w:rPr>
                <w:sz w:val="16"/>
              </w:rPr>
              <w:t>The index modification scope is determined from nodes/partitions whose traversal or neighbor relationships depend on a selected migrated object, and reconstruction is limited to that scope.</w:t>
            </w:r>
          </w:p>
        </w:tc>
      </w:tr>
      <w:tr>
        <w:tc>
          <w:tcPr>
            <w:tcW w:type="dxa" w:w="2880"/>
            <w:tcMar>
              <w:top w:w="80" w:type="dxa"/>
              <w:start w:w="100" w:type="dxa"/>
              <w:bottom w:w="80" w:type="dxa"/>
              <w:end w:w="100" w:type="dxa"/>
            </w:tcMar>
            <w:vAlign w:val="top"/>
          </w:tcPr>
          <w:p>
            <w:r>
              <w:rPr>
                <w:sz w:val="16"/>
              </w:rPr>
              <w:t>Barrier condition</w:t>
            </w:r>
          </w:p>
        </w:tc>
        <w:tc>
          <w:tcPr>
            <w:tcW w:type="dxa" w:w="7488"/>
            <w:tcMar>
              <w:top w:w="80" w:type="dxa"/>
              <w:start w:w="100" w:type="dxa"/>
              <w:bottom w:w="80" w:type="dxa"/>
              <w:end w:w="100" w:type="dxa"/>
            </w:tcMar>
            <w:vAlign w:val="top"/>
          </w:tcPr>
          <w:p>
            <w:r>
              <w:rPr>
                <w:sz w:val="16"/>
              </w:rPr>
              <w:t>The safety value includes a lower-bounded separation between a protected kth-ranked item and an outside competitor after subtracting at least one model, candidate-envelope, fusion, or ANN-approximation error bound.</w:t>
            </w:r>
          </w:p>
        </w:tc>
      </w:tr>
      <w:tr>
        <w:tc>
          <w:tcPr>
            <w:tcW w:type="dxa" w:w="2880"/>
            <w:tcMar>
              <w:top w:w="80" w:type="dxa"/>
              <w:start w:w="100" w:type="dxa"/>
              <w:bottom w:w="80" w:type="dxa"/>
              <w:end w:w="100" w:type="dxa"/>
            </w:tcMar>
            <w:vAlign w:val="top"/>
          </w:tcPr>
          <w:p>
            <w:r>
              <w:rPr>
                <w:sz w:val="16"/>
              </w:rPr>
              <w:t>Runtime fallback</w:t>
            </w:r>
          </w:p>
        </w:tc>
        <w:tc>
          <w:tcPr>
            <w:tcW w:type="dxa" w:w="7488"/>
            <w:tcMar>
              <w:top w:w="80" w:type="dxa"/>
              <w:start w:w="100" w:type="dxa"/>
              <w:bottom w:w="80" w:type="dxa"/>
              <w:end w:w="100" w:type="dxa"/>
            </w:tcMar>
            <w:vAlign w:val="top"/>
          </w:tcPr>
          <w:p>
            <w:r>
              <w:rPr>
                <w:sz w:val="16"/>
              </w:rPr>
              <w:t>Failure of the safety condition activates a fully migrated shadow path or approved legacy path for an affected query slice until a later candidate state is admissible.</w:t>
            </w:r>
          </w:p>
        </w:tc>
      </w:tr>
      <w:tr>
        <w:tc>
          <w:tcPr>
            <w:tcW w:type="dxa" w:w="2880"/>
            <w:tcMar>
              <w:top w:w="80" w:type="dxa"/>
              <w:start w:w="100" w:type="dxa"/>
              <w:bottom w:w="80" w:type="dxa"/>
              <w:end w:w="100" w:type="dxa"/>
            </w:tcMar>
            <w:vAlign w:val="top"/>
          </w:tcPr>
          <w:p>
            <w:r>
              <w:rPr>
                <w:sz w:val="16"/>
              </w:rPr>
              <w:t>ProbeQuorum</w:t>
            </w:r>
          </w:p>
        </w:tc>
        <w:tc>
          <w:tcPr>
            <w:tcW w:type="dxa" w:w="7488"/>
            <w:tcMar>
              <w:top w:w="80" w:type="dxa"/>
              <w:start w:w="100" w:type="dxa"/>
              <w:bottom w:w="80" w:type="dxa"/>
              <w:end w:w="100" w:type="dxa"/>
            </w:tcMar>
            <w:vAlign w:val="top"/>
          </w:tcPr>
          <w:p>
            <w:r>
              <w:rPr>
                <w:sz w:val="16"/>
              </w:rPr>
              <w:t>Protected probes are divided by provenance; migration authorization is permitted only when the safe/unsafe decision is stable under omission of up to a configured number of probe partitions.</w:t>
            </w:r>
          </w:p>
        </w:tc>
      </w:tr>
      <w:tr>
        <w:tc>
          <w:tcPr>
            <w:tcW w:type="dxa" w:w="2880"/>
            <w:tcMar>
              <w:top w:w="80" w:type="dxa"/>
              <w:start w:w="100" w:type="dxa"/>
              <w:bottom w:w="80" w:type="dxa"/>
              <w:end w:w="100" w:type="dxa"/>
            </w:tcMar>
            <w:vAlign w:val="top"/>
          </w:tcPr>
          <w:p>
            <w:r>
              <w:rPr>
                <w:sz w:val="16"/>
              </w:rPr>
              <w:t>Counterexample persistence</w:t>
            </w:r>
          </w:p>
        </w:tc>
        <w:tc>
          <w:tcPr>
            <w:tcW w:type="dxa" w:w="7488"/>
            <w:tcMar>
              <w:top w:w="80" w:type="dxa"/>
              <w:start w:w="100" w:type="dxa"/>
              <w:bottom w:w="80" w:type="dxa"/>
              <w:end w:w="100" w:type="dxa"/>
            </w:tcMar>
            <w:vAlign w:val="top"/>
          </w:tcPr>
          <w:p>
            <w:r>
              <w:rPr>
                <w:sz w:val="16"/>
              </w:rPr>
              <w:t>Failed probes and barrier evidence from one model migration are prioritized during a later model migration.</w:t>
            </w:r>
          </w:p>
        </w:tc>
      </w:tr>
    </w:tbl>
    <w:p>
      <w:r>
        <w:rPr>
          <w:b/>
        </w:rPr>
        <w:t>Do not put NCA/local embedding patches in the main independent claim unless a later professional search and experimental result create a materially narrower, defensible mechanism.</w:t>
      </w:r>
    </w:p>
    <w:p>
      <w:pPr>
        <w:pStyle w:val="Heading1"/>
      </w:pPr>
      <w:r>
        <w:t>15. Patent-Eligibility / Technical-Effect Framing</w:t>
      </w:r>
    </w:p>
    <w:p>
      <w:pPr>
        <w:pStyle w:val="Heading2"/>
      </w:pPr>
      <w:r>
        <w:t>15.1 United States</w:t>
      </w:r>
    </w:p>
    <w:p>
      <w:r>
        <w:t>USPTO MPEP §2106 emphasizes that an asserted computer/technical improvement should be explained technically in the specification and reflected in the claim; a conclusory statement of “improved efficiency” is not enough. Therefore describe the actual index states, vector-version routing, embedding forward passes, index writes, ANN modifications, fallback behavior, and measured resource reductions.</w:t>
      </w:r>
    </w:p>
    <w:p>
      <w:pPr>
        <w:pStyle w:val="Heading2"/>
      </w:pPr>
      <w:r>
        <w:t>15.2 EPO</w:t>
      </w:r>
    </w:p>
    <w:p>
      <w:r>
        <w:t>The EPO’s 2026 guidelines for computer-implemented inventions require essential features producing the technical effect to appear in the claim, and under the COMVIK approach only features contributing to technical character support inventive step. Frame the objective technical problem as reducing embedding/index migration operations while maintaining a technical retrieval constraint during live database operation.</w:t>
      </w:r>
    </w:p>
    <w:p>
      <w:pPr>
        <w:pStyle w:val="Heading2"/>
      </w:pPr>
      <w:r>
        <w:t>15.3 India</w:t>
      </w:r>
    </w:p>
    <w:p>
      <w:r>
        <w:t>IP India lists the Guidelines for Examination of Computer Related Inventions (CRIs) – 2025 as current guidance. The specification should present TopoPatch as a concrete computer/database technique that modifies vector-index state and resource use, not as an algorithm per se or a generic AI decision rule.</w:t>
      </w:r>
    </w:p>
    <w:p>
      <w:pPr>
        <w:pStyle w:val="Heading1"/>
      </w:pPr>
      <w:r>
        <w:t>16. Risk Register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DCE6F1"/>
            <w:tcMar>
              <w:top w:w="80" w:type="dxa"/>
              <w:start w:w="100" w:type="dxa"/>
              <w:bottom w:w="80" w:type="dxa"/>
              <w:end w:w="100" w:type="dxa"/>
            </w:tcMar>
            <w:vAlign w:val="center"/>
          </w:tcPr>
          <w:p>
            <w:r>
              <w:rPr>
                <w:b/>
                <w:sz w:val="16"/>
              </w:rPr>
              <w:t>Risk</w:t>
            </w:r>
          </w:p>
        </w:tc>
        <w:tc>
          <w:tcPr>
            <w:tcW w:type="dxa" w:w="1584"/>
            <w:shd w:fill="DCE6F1"/>
            <w:tcMar>
              <w:top w:w="80" w:type="dxa"/>
              <w:start w:w="100" w:type="dxa"/>
              <w:bottom w:w="80" w:type="dxa"/>
              <w:end w:w="100" w:type="dxa"/>
            </w:tcMar>
            <w:vAlign w:val="center"/>
          </w:tcPr>
          <w:p>
            <w:r>
              <w:rPr>
                <w:b/>
                <w:sz w:val="16"/>
              </w:rPr>
              <w:t>Severity</w:t>
            </w:r>
          </w:p>
        </w:tc>
        <w:tc>
          <w:tcPr>
            <w:tcW w:type="dxa" w:w="5904"/>
            <w:shd w:fill="DCE6F1"/>
            <w:tcMar>
              <w:top w:w="80" w:type="dxa"/>
              <w:start w:w="100" w:type="dxa"/>
              <w:bottom w:w="80" w:type="dxa"/>
              <w:end w:w="100" w:type="dxa"/>
            </w:tcMar>
            <w:vAlign w:val="center"/>
          </w:tcPr>
          <w:p>
            <w:r>
              <w:rPr>
                <w:b/>
                <w:sz w:val="16"/>
              </w:rPr>
              <w:t>Mitigation</w:t>
            </w:r>
          </w:p>
        </w:tc>
      </w:tr>
      <w:tr>
        <w:tc>
          <w:tcPr>
            <w:tcW w:type="dxa" w:w="2880"/>
            <w:tcMar>
              <w:top w:w="80" w:type="dxa"/>
              <w:start w:w="100" w:type="dxa"/>
              <w:bottom w:w="80" w:type="dxa"/>
              <w:end w:w="100" w:type="dxa"/>
            </w:tcMar>
            <w:vAlign w:val="top"/>
          </w:tcPr>
          <w:p>
            <w:r>
              <w:rPr>
                <w:sz w:val="16"/>
              </w:rPr>
              <w:t>§103 obviousness combination</w:t>
            </w:r>
          </w:p>
        </w:tc>
        <w:tc>
          <w:tcPr>
            <w:tcW w:type="dxa" w:w="1584"/>
            <w:tcMar>
              <w:top w:w="80" w:type="dxa"/>
              <w:start w:w="100" w:type="dxa"/>
              <w:bottom w:w="80" w:type="dxa"/>
              <w:end w:w="100" w:type="dxa"/>
            </w:tcMar>
            <w:vAlign w:val="top"/>
          </w:tcPr>
          <w:p>
            <w:r>
              <w:rPr>
                <w:sz w:val="16"/>
              </w:rPr>
              <w:t>High</w:t>
            </w:r>
          </w:p>
        </w:tc>
        <w:tc>
          <w:tcPr>
            <w:tcW w:type="dxa" w:w="5904"/>
            <w:tcMar>
              <w:top w:w="80" w:type="dxa"/>
              <w:start w:w="100" w:type="dxa"/>
              <w:bottom w:w="80" w:type="dxa"/>
              <w:end w:w="100" w:type="dxa"/>
            </w:tcMar>
            <w:vAlign w:val="top"/>
          </w:tcPr>
          <w:p>
            <w:r>
              <w:rPr>
                <w:sz w:val="16"/>
              </w:rPr>
              <w:t>Do not broaden claims; build unexpected-result evidence; professionally chart closest references.</w:t>
            </w:r>
          </w:p>
        </w:tc>
      </w:tr>
      <w:tr>
        <w:tc>
          <w:tcPr>
            <w:tcW w:type="dxa" w:w="2880"/>
            <w:tcMar>
              <w:top w:w="80" w:type="dxa"/>
              <w:start w:w="100" w:type="dxa"/>
              <w:bottom w:w="80" w:type="dxa"/>
              <w:end w:w="100" w:type="dxa"/>
            </w:tcMar>
            <w:vAlign w:val="top"/>
          </w:tcPr>
          <w:p>
            <w:r>
              <w:rPr>
                <w:sz w:val="16"/>
              </w:rPr>
              <w:t>Candidate Envelope misses true B neighbor</w:t>
            </w:r>
          </w:p>
        </w:tc>
        <w:tc>
          <w:tcPr>
            <w:tcW w:type="dxa" w:w="1584"/>
            <w:tcMar>
              <w:top w:w="80" w:type="dxa"/>
              <w:start w:w="100" w:type="dxa"/>
              <w:bottom w:w="80" w:type="dxa"/>
              <w:end w:w="100" w:type="dxa"/>
            </w:tcMar>
            <w:vAlign w:val="top"/>
          </w:tcPr>
          <w:p>
            <w:r>
              <w:rPr>
                <w:sz w:val="16"/>
              </w:rPr>
              <w:t>High</w:t>
            </w:r>
          </w:p>
        </w:tc>
        <w:tc>
          <w:tcPr>
            <w:tcW w:type="dxa" w:w="5904"/>
            <w:tcMar>
              <w:top w:w="80" w:type="dxa"/>
              <w:start w:w="100" w:type="dxa"/>
              <w:bottom w:w="80" w:type="dxa"/>
              <w:end w:w="100" w:type="dxa"/>
            </w:tcMar>
            <w:vAlign w:val="top"/>
          </w:tcPr>
          <w:p>
            <w:r>
              <w:rPr>
                <w:sz w:val="16"/>
              </w:rPr>
              <w:t>Adaptive expansion; held-out/full-B ground truth in research; explicit uncertainty bound.</w:t>
            </w:r>
          </w:p>
        </w:tc>
      </w:tr>
      <w:tr>
        <w:tc>
          <w:tcPr>
            <w:tcW w:type="dxa" w:w="2880"/>
            <w:tcMar>
              <w:top w:w="80" w:type="dxa"/>
              <w:start w:w="100" w:type="dxa"/>
              <w:bottom w:w="80" w:type="dxa"/>
              <w:end w:w="100" w:type="dxa"/>
            </w:tcMar>
            <w:vAlign w:val="top"/>
          </w:tcPr>
          <w:p>
            <w:r>
              <w:rPr>
                <w:sz w:val="16"/>
              </w:rPr>
              <w:t>Mixed-space incompatibility</w:t>
            </w:r>
          </w:p>
        </w:tc>
        <w:tc>
          <w:tcPr>
            <w:tcW w:type="dxa" w:w="1584"/>
            <w:tcMar>
              <w:top w:w="80" w:type="dxa"/>
              <w:start w:w="100" w:type="dxa"/>
              <w:bottom w:w="80" w:type="dxa"/>
              <w:end w:w="100" w:type="dxa"/>
            </w:tcMar>
            <w:vAlign w:val="top"/>
          </w:tcPr>
          <w:p>
            <w:r>
              <w:rPr>
                <w:sz w:val="16"/>
              </w:rPr>
              <w:t>High if ignored</w:t>
            </w:r>
          </w:p>
        </w:tc>
        <w:tc>
          <w:tcPr>
            <w:tcW w:type="dxa" w:w="5904"/>
            <w:tcMar>
              <w:top w:w="80" w:type="dxa"/>
              <w:start w:w="100" w:type="dxa"/>
              <w:bottom w:w="80" w:type="dxa"/>
              <w:end w:w="100" w:type="dxa"/>
            </w:tcMar>
            <w:vAlign w:val="top"/>
          </w:tcPr>
          <w:p>
            <w:r>
              <w:rPr>
                <w:sz w:val="16"/>
              </w:rPr>
              <w:t>Frozen dual-native-space routing; never raw-score compare A vs B.</w:t>
            </w:r>
          </w:p>
        </w:tc>
      </w:tr>
      <w:tr>
        <w:tc>
          <w:tcPr>
            <w:tcW w:type="dxa" w:w="2880"/>
            <w:tcMar>
              <w:top w:w="80" w:type="dxa"/>
              <w:start w:w="100" w:type="dxa"/>
              <w:bottom w:w="80" w:type="dxa"/>
              <w:end w:w="100" w:type="dxa"/>
            </w:tcMar>
            <w:vAlign w:val="top"/>
          </w:tcPr>
          <w:p>
            <w:r>
              <w:rPr>
                <w:sz w:val="16"/>
              </w:rPr>
              <w:t>Barrier is only post-hoc validation</w:t>
            </w:r>
          </w:p>
        </w:tc>
        <w:tc>
          <w:tcPr>
            <w:tcW w:type="dxa" w:w="1584"/>
            <w:tcMar>
              <w:top w:w="80" w:type="dxa"/>
              <w:start w:w="100" w:type="dxa"/>
              <w:bottom w:w="80" w:type="dxa"/>
              <w:end w:w="100" w:type="dxa"/>
            </w:tcMar>
            <w:vAlign w:val="top"/>
          </w:tcPr>
          <w:p>
            <w:r>
              <w:rPr>
                <w:sz w:val="16"/>
              </w:rPr>
              <w:t>High patent risk</w:t>
            </w:r>
          </w:p>
        </w:tc>
        <w:tc>
          <w:tcPr>
            <w:tcW w:type="dxa" w:w="5904"/>
            <w:tcMar>
              <w:top w:w="80" w:type="dxa"/>
              <w:start w:w="100" w:type="dxa"/>
              <w:bottom w:w="80" w:type="dxa"/>
              <w:end w:w="100" w:type="dxa"/>
            </w:tcMar>
            <w:vAlign w:val="top"/>
          </w:tcPr>
          <w:p>
            <w:r>
              <w:rPr>
                <w:sz w:val="16"/>
              </w:rPr>
              <w:t>Barrier must alter action admissibility and demonstrably reject/redirect at least some cheap repairs.</w:t>
            </w:r>
          </w:p>
        </w:tc>
      </w:tr>
      <w:tr>
        <w:tc>
          <w:tcPr>
            <w:tcW w:type="dxa" w:w="2880"/>
            <w:tcMar>
              <w:top w:w="80" w:type="dxa"/>
              <w:start w:w="100" w:type="dxa"/>
              <w:bottom w:w="80" w:type="dxa"/>
              <w:end w:w="100" w:type="dxa"/>
            </w:tcMar>
            <w:vAlign w:val="top"/>
          </w:tcPr>
          <w:p>
            <w:r>
              <w:rPr>
                <w:sz w:val="16"/>
              </w:rPr>
              <w:t>ANN local repair is already known</w:t>
            </w:r>
          </w:p>
        </w:tc>
        <w:tc>
          <w:tcPr>
            <w:tcW w:type="dxa" w:w="1584"/>
            <w:tcMar>
              <w:top w:w="80" w:type="dxa"/>
              <w:start w:w="100" w:type="dxa"/>
              <w:bottom w:w="80" w:type="dxa"/>
              <w:end w:w="100" w:type="dxa"/>
            </w:tcMar>
            <w:vAlign w:val="top"/>
          </w:tcPr>
          <w:p>
            <w:r>
              <w:rPr>
                <w:sz w:val="16"/>
              </w:rPr>
              <w:t>High</w:t>
            </w:r>
          </w:p>
        </w:tc>
        <w:tc>
          <w:tcPr>
            <w:tcW w:type="dxa" w:w="5904"/>
            <w:tcMar>
              <w:top w:w="80" w:type="dxa"/>
              <w:start w:w="100" w:type="dxa"/>
              <w:bottom w:w="80" w:type="dxa"/>
              <w:end w:w="100" w:type="dxa"/>
            </w:tcMar>
            <w:vAlign w:val="top"/>
          </w:tcPr>
          <w:p>
            <w:r>
              <w:rPr>
                <w:sz w:val="16"/>
              </w:rPr>
              <w:t>Treat it as supporting effect; do not claim local graph update alone.</w:t>
            </w:r>
          </w:p>
        </w:tc>
      </w:tr>
      <w:tr>
        <w:tc>
          <w:tcPr>
            <w:tcW w:type="dxa" w:w="2880"/>
            <w:tcMar>
              <w:top w:w="80" w:type="dxa"/>
              <w:start w:w="100" w:type="dxa"/>
              <w:bottom w:w="80" w:type="dxa"/>
              <w:end w:w="100" w:type="dxa"/>
            </w:tcMar>
            <w:vAlign w:val="top"/>
          </w:tcPr>
          <w:p>
            <w:r>
              <w:rPr>
                <w:sz w:val="16"/>
              </w:rPr>
              <w:t>NCA local correction collision</w:t>
            </w:r>
          </w:p>
        </w:tc>
        <w:tc>
          <w:tcPr>
            <w:tcW w:type="dxa" w:w="1584"/>
            <w:tcMar>
              <w:top w:w="80" w:type="dxa"/>
              <w:start w:w="100" w:type="dxa"/>
              <w:bottom w:w="80" w:type="dxa"/>
              <w:end w:w="100" w:type="dxa"/>
            </w:tcMar>
            <w:vAlign w:val="top"/>
          </w:tcPr>
          <w:p>
            <w:r>
              <w:rPr>
                <w:sz w:val="16"/>
              </w:rPr>
              <w:t>High</w:t>
            </w:r>
          </w:p>
        </w:tc>
        <w:tc>
          <w:tcPr>
            <w:tcW w:type="dxa" w:w="5904"/>
            <w:tcMar>
              <w:top w:w="80" w:type="dxa"/>
              <w:start w:w="100" w:type="dxa"/>
              <w:bottom w:w="80" w:type="dxa"/>
              <w:end w:w="100" w:type="dxa"/>
            </w:tcMar>
            <w:vAlign w:val="top"/>
          </w:tcPr>
          <w:p>
            <w:r>
              <w:rPr>
                <w:sz w:val="16"/>
              </w:rPr>
              <w:t>Keep outside core; Google US20260195572 + DMU/local alignment are explicit references.</w:t>
            </w:r>
          </w:p>
        </w:tc>
      </w:tr>
      <w:tr>
        <w:tc>
          <w:tcPr>
            <w:tcW w:type="dxa" w:w="2880"/>
            <w:tcMar>
              <w:top w:w="80" w:type="dxa"/>
              <w:start w:w="100" w:type="dxa"/>
              <w:bottom w:w="80" w:type="dxa"/>
              <w:end w:w="100" w:type="dxa"/>
            </w:tcMar>
            <w:vAlign w:val="top"/>
          </w:tcPr>
          <w:p>
            <w:r>
              <w:rPr>
                <w:sz w:val="16"/>
              </w:rPr>
              <w:t>Probe poisoning</w:t>
            </w:r>
          </w:p>
        </w:tc>
        <w:tc>
          <w:tcPr>
            <w:tcW w:type="dxa" w:w="1584"/>
            <w:tcMar>
              <w:top w:w="80" w:type="dxa"/>
              <w:start w:w="100" w:type="dxa"/>
              <w:bottom w:w="80" w:type="dxa"/>
              <w:end w:w="100" w:type="dxa"/>
            </w:tcMar>
            <w:vAlign w:val="top"/>
          </w:tcPr>
          <w:p>
            <w:r>
              <w:rPr>
                <w:sz w:val="16"/>
              </w:rPr>
              <w:t>Medium</w:t>
            </w:r>
          </w:p>
        </w:tc>
        <w:tc>
          <w:tcPr>
            <w:tcW w:type="dxa" w:w="5904"/>
            <w:tcMar>
              <w:top w:w="80" w:type="dxa"/>
              <w:start w:w="100" w:type="dxa"/>
              <w:bottom w:w="80" w:type="dxa"/>
              <w:end w:w="100" w:type="dxa"/>
            </w:tcMar>
            <w:vAlign w:val="top"/>
          </w:tcPr>
          <w:p>
            <w:r>
              <w:rPr>
                <w:sz w:val="16"/>
              </w:rPr>
              <w:t>Optional ProbeQuorum; do not overclaim because robust calibration literature exists.</w:t>
            </w:r>
          </w:p>
        </w:tc>
      </w:tr>
      <w:tr>
        <w:tc>
          <w:tcPr>
            <w:tcW w:type="dxa" w:w="2880"/>
            <w:tcMar>
              <w:top w:w="80" w:type="dxa"/>
              <w:start w:w="100" w:type="dxa"/>
              <w:bottom w:w="80" w:type="dxa"/>
              <w:end w:w="100" w:type="dxa"/>
            </w:tcMar>
            <w:vAlign w:val="top"/>
          </w:tcPr>
          <w:p>
            <w:r>
              <w:rPr>
                <w:sz w:val="16"/>
              </w:rPr>
              <w:t>Full prototype becomes too complex</w:t>
            </w:r>
          </w:p>
        </w:tc>
        <w:tc>
          <w:tcPr>
            <w:tcW w:type="dxa" w:w="1584"/>
            <w:tcMar>
              <w:top w:w="80" w:type="dxa"/>
              <w:start w:w="100" w:type="dxa"/>
              <w:bottom w:w="80" w:type="dxa"/>
              <w:end w:w="100" w:type="dxa"/>
            </w:tcMar>
            <w:vAlign w:val="top"/>
          </w:tcPr>
          <w:p>
            <w:r>
              <w:rPr>
                <w:sz w:val="16"/>
              </w:rPr>
              <w:t>Medium</w:t>
            </w:r>
          </w:p>
        </w:tc>
        <w:tc>
          <w:tcPr>
            <w:tcW w:type="dxa" w:w="5904"/>
            <w:tcMar>
              <w:top w:w="80" w:type="dxa"/>
              <w:start w:w="100" w:type="dxa"/>
              <w:bottom w:w="80" w:type="dxa"/>
              <w:end w:w="100" w:type="dxa"/>
            </w:tcMar>
            <w:vAlign w:val="top"/>
          </w:tcPr>
          <w:p>
            <w:r>
              <w:rPr>
                <w:sz w:val="16"/>
              </w:rPr>
              <w:t>Build exact/flat retrieval first; add ANN and dashboard only after core loop passes tests.</w:t>
            </w:r>
          </w:p>
        </w:tc>
      </w:tr>
      <w:tr>
        <w:tc>
          <w:tcPr>
            <w:tcW w:type="dxa" w:w="2880"/>
            <w:tcMar>
              <w:top w:w="80" w:type="dxa"/>
              <w:start w:w="100" w:type="dxa"/>
              <w:bottom w:w="80" w:type="dxa"/>
              <w:end w:w="100" w:type="dxa"/>
            </w:tcMar>
            <w:vAlign w:val="top"/>
          </w:tcPr>
          <w:p>
            <w:r>
              <w:rPr>
                <w:sz w:val="16"/>
              </w:rPr>
              <w:t>Public disclosure before filing</w:t>
            </w:r>
          </w:p>
        </w:tc>
        <w:tc>
          <w:tcPr>
            <w:tcW w:type="dxa" w:w="1584"/>
            <w:tcMar>
              <w:top w:w="80" w:type="dxa"/>
              <w:start w:w="100" w:type="dxa"/>
              <w:bottom w:w="80" w:type="dxa"/>
              <w:end w:w="100" w:type="dxa"/>
            </w:tcMar>
            <w:vAlign w:val="top"/>
          </w:tcPr>
          <w:p>
            <w:r>
              <w:rPr>
                <w:sz w:val="16"/>
              </w:rPr>
              <w:t>Potentially critical</w:t>
            </w:r>
          </w:p>
        </w:tc>
        <w:tc>
          <w:tcPr>
            <w:tcW w:type="dxa" w:w="5904"/>
            <w:tcMar>
              <w:top w:w="80" w:type="dxa"/>
              <w:start w:w="100" w:type="dxa"/>
              <w:bottom w:w="80" w:type="dxa"/>
              <w:end w:w="100" w:type="dxa"/>
            </w:tcMar>
            <w:vAlign w:val="top"/>
          </w:tcPr>
          <w:p>
            <w:r>
              <w:rPr>
                <w:sz w:val="16"/>
              </w:rPr>
              <w:t>Keep detailed repo/private reports private until filing strategy is discussed with patent counsel; jurisdiction rules differ.</w:t>
            </w:r>
          </w:p>
        </w:tc>
      </w:tr>
    </w:tbl>
    <w:p>
      <w:pPr>
        <w:pStyle w:val="Heading1"/>
      </w:pPr>
      <w:r>
        <w:t>17. Implementation Roadmap</w:t>
      </w:r>
    </w:p>
    <w:tbl>
      <w:tblPr>
        <w:tblStyle w:val="TableGrid"/>
        <w:tblW w:type="auto" w:w="0"/>
        <w:jc w:val="center"/>
        <w:tblLook w:firstColumn="1" w:firstRow="1" w:lastColumn="0" w:lastRow="0" w:noHBand="0" w:noVBand="1" w:val="04A0"/>
      </w:tblPr>
      <w:tblGrid>
        <w:gridCol w:w="3331"/>
        <w:gridCol w:w="3331"/>
        <w:gridCol w:w="3331"/>
      </w:tblGrid>
      <w:tr>
        <w:tc>
          <w:tcPr>
            <w:tcW w:type="dxa" w:w="1584"/>
            <w:shd w:fill="DCE6F1"/>
            <w:tcMar>
              <w:top w:w="80" w:type="dxa"/>
              <w:start w:w="100" w:type="dxa"/>
              <w:bottom w:w="80" w:type="dxa"/>
              <w:end w:w="100" w:type="dxa"/>
            </w:tcMar>
            <w:vAlign w:val="center"/>
          </w:tcPr>
          <w:p>
            <w:r>
              <w:rPr>
                <w:b/>
                <w:sz w:val="16"/>
              </w:rPr>
              <w:t>Time</w:t>
            </w:r>
          </w:p>
        </w:tc>
        <w:tc>
          <w:tcPr>
            <w:tcW w:type="dxa" w:w="2736"/>
            <w:shd w:fill="DCE6F1"/>
            <w:tcMar>
              <w:top w:w="80" w:type="dxa"/>
              <w:start w:w="100" w:type="dxa"/>
              <w:bottom w:w="80" w:type="dxa"/>
              <w:end w:w="100" w:type="dxa"/>
            </w:tcMar>
            <w:vAlign w:val="center"/>
          </w:tcPr>
          <w:p>
            <w:r>
              <w:rPr>
                <w:b/>
                <w:sz w:val="16"/>
              </w:rPr>
              <w:t>Deliverable</w:t>
            </w:r>
          </w:p>
        </w:tc>
        <w:tc>
          <w:tcPr>
            <w:tcW w:type="dxa" w:w="6048"/>
            <w:shd w:fill="DCE6F1"/>
            <w:tcMar>
              <w:top w:w="80" w:type="dxa"/>
              <w:start w:w="100" w:type="dxa"/>
              <w:bottom w:w="80" w:type="dxa"/>
              <w:end w:w="100" w:type="dxa"/>
            </w:tcMar>
            <w:vAlign w:val="center"/>
          </w:tcPr>
          <w:p>
            <w:r>
              <w:rPr>
                <w:b/>
                <w:sz w:val="16"/>
              </w:rPr>
              <w:t>Concrete work</w:t>
            </w:r>
          </w:p>
        </w:tc>
      </w:tr>
      <w:tr>
        <w:tc>
          <w:tcPr>
            <w:tcW w:type="dxa" w:w="1584"/>
            <w:tcMar>
              <w:top w:w="80" w:type="dxa"/>
              <w:start w:w="100" w:type="dxa"/>
              <w:bottom w:w="80" w:type="dxa"/>
              <w:end w:w="100" w:type="dxa"/>
            </w:tcMar>
            <w:vAlign w:val="top"/>
          </w:tcPr>
          <w:p>
            <w:r>
              <w:rPr>
                <w:sz w:val="16"/>
              </w:rPr>
              <w:t>Days 1–3</w:t>
            </w:r>
          </w:p>
        </w:tc>
        <w:tc>
          <w:tcPr>
            <w:tcW w:type="dxa" w:w="2736"/>
            <w:tcMar>
              <w:top w:w="80" w:type="dxa"/>
              <w:start w:w="100" w:type="dxa"/>
              <w:bottom w:w="80" w:type="dxa"/>
              <w:end w:w="100" w:type="dxa"/>
            </w:tcMar>
            <w:vAlign w:val="top"/>
          </w:tcPr>
          <w:p>
            <w:r>
              <w:rPr>
                <w:sz w:val="16"/>
              </w:rPr>
              <w:t>Ground-truth harness</w:t>
            </w:r>
          </w:p>
        </w:tc>
        <w:tc>
          <w:tcPr>
            <w:tcW w:type="dxa" w:w="6048"/>
            <w:tcMar>
              <w:top w:w="80" w:type="dxa"/>
              <w:start w:w="100" w:type="dxa"/>
              <w:bottom w:w="80" w:type="dxa"/>
              <w:end w:w="100" w:type="dxa"/>
            </w:tcMar>
            <w:vAlign w:val="top"/>
          </w:tcPr>
          <w:p>
            <w:r>
              <w:rPr>
                <w:sz w:val="16"/>
              </w:rPr>
              <w:t>Choose dataset/model pair; build A and full-B offline reference indexes; implement evaluation metrics.</w:t>
            </w:r>
          </w:p>
        </w:tc>
      </w:tr>
      <w:tr>
        <w:tc>
          <w:tcPr>
            <w:tcW w:type="dxa" w:w="1584"/>
            <w:tcMar>
              <w:top w:w="80" w:type="dxa"/>
              <w:start w:w="100" w:type="dxa"/>
              <w:bottom w:w="80" w:type="dxa"/>
              <w:end w:w="100" w:type="dxa"/>
            </w:tcMar>
            <w:vAlign w:val="top"/>
          </w:tcPr>
          <w:p>
            <w:r>
              <w:rPr>
                <w:sz w:val="16"/>
              </w:rPr>
              <w:t>Days 4–6</w:t>
            </w:r>
          </w:p>
        </w:tc>
        <w:tc>
          <w:tcPr>
            <w:tcW w:type="dxa" w:w="2736"/>
            <w:tcMar>
              <w:top w:w="80" w:type="dxa"/>
              <w:start w:w="100" w:type="dxa"/>
              <w:bottom w:w="80" w:type="dxa"/>
              <w:end w:w="100" w:type="dxa"/>
            </w:tcMar>
            <w:vAlign w:val="top"/>
          </w:tcPr>
          <w:p>
            <w:r>
              <w:rPr>
                <w:sz w:val="16"/>
              </w:rPr>
              <w:t>Probe + Candidate Envelope</w:t>
            </w:r>
          </w:p>
        </w:tc>
        <w:tc>
          <w:tcPr>
            <w:tcW w:type="dxa" w:w="6048"/>
            <w:tcMar>
              <w:top w:w="80" w:type="dxa"/>
              <w:start w:w="100" w:type="dxa"/>
              <w:bottom w:w="80" w:type="dxa"/>
              <w:end w:w="100" w:type="dxa"/>
            </w:tcMar>
            <w:vAlign w:val="top"/>
          </w:tcPr>
          <w:p>
            <w:r>
              <w:rPr>
                <w:sz w:val="16"/>
              </w:rPr>
              <w:t>Protected queries, top-L candidate generation, selective B encoding, miss-rate measurement.</w:t>
            </w:r>
          </w:p>
        </w:tc>
      </w:tr>
      <w:tr>
        <w:tc>
          <w:tcPr>
            <w:tcW w:type="dxa" w:w="1584"/>
            <w:tcMar>
              <w:top w:w="80" w:type="dxa"/>
              <w:start w:w="100" w:type="dxa"/>
              <w:bottom w:w="80" w:type="dxa"/>
              <w:end w:w="100" w:type="dxa"/>
            </w:tcMar>
            <w:vAlign w:val="top"/>
          </w:tcPr>
          <w:p>
            <w:r>
              <w:rPr>
                <w:sz w:val="16"/>
              </w:rPr>
              <w:t>Days 7–9</w:t>
            </w:r>
          </w:p>
        </w:tc>
        <w:tc>
          <w:tcPr>
            <w:tcW w:type="dxa" w:w="2736"/>
            <w:tcMar>
              <w:top w:w="80" w:type="dxa"/>
              <w:start w:w="100" w:type="dxa"/>
              <w:bottom w:w="80" w:type="dxa"/>
              <w:end w:w="100" w:type="dxa"/>
            </w:tcMar>
            <w:vAlign w:val="top"/>
          </w:tcPr>
          <w:p>
            <w:r>
              <w:rPr>
                <w:sz w:val="16"/>
              </w:rPr>
              <w:t>Witness graph</w:t>
            </w:r>
          </w:p>
        </w:tc>
        <w:tc>
          <w:tcPr>
            <w:tcW w:type="dxa" w:w="6048"/>
            <w:tcMar>
              <w:top w:w="80" w:type="dxa"/>
              <w:start w:w="100" w:type="dxa"/>
              <w:bottom w:w="80" w:type="dxa"/>
              <w:end w:w="100" w:type="dxa"/>
            </w:tcMar>
            <w:vAlign w:val="top"/>
          </w:tcPr>
          <w:p>
            <w:r>
              <w:rPr>
                <w:sz w:val="16"/>
              </w:rPr>
              <w:t>Violation types, hyperedges, contribution estimates, visualization dump.</w:t>
            </w:r>
          </w:p>
        </w:tc>
      </w:tr>
      <w:tr>
        <w:tc>
          <w:tcPr>
            <w:tcW w:type="dxa" w:w="1584"/>
            <w:tcMar>
              <w:top w:w="80" w:type="dxa"/>
              <w:start w:w="100" w:type="dxa"/>
              <w:bottom w:w="80" w:type="dxa"/>
              <w:end w:w="100" w:type="dxa"/>
            </w:tcMar>
            <w:vAlign w:val="top"/>
          </w:tcPr>
          <w:p>
            <w:r>
              <w:rPr>
                <w:sz w:val="16"/>
              </w:rPr>
              <w:t>Days 10–12</w:t>
            </w:r>
          </w:p>
        </w:tc>
        <w:tc>
          <w:tcPr>
            <w:tcW w:type="dxa" w:w="2736"/>
            <w:tcMar>
              <w:top w:w="80" w:type="dxa"/>
              <w:start w:w="100" w:type="dxa"/>
              <w:bottom w:w="80" w:type="dxa"/>
              <w:end w:w="100" w:type="dxa"/>
            </w:tcMar>
            <w:vAlign w:val="top"/>
          </w:tcPr>
          <w:p>
            <w:r>
              <w:rPr>
                <w:sz w:val="16"/>
              </w:rPr>
              <w:t>Repair optimizer</w:t>
            </w:r>
          </w:p>
        </w:tc>
        <w:tc>
          <w:tcPr>
            <w:tcW w:type="dxa" w:w="6048"/>
            <w:tcMar>
              <w:top w:w="80" w:type="dxa"/>
              <w:start w:w="100" w:type="dxa"/>
              <w:bottom w:w="80" w:type="dxa"/>
              <w:end w:w="100" w:type="dxa"/>
            </w:tcMar>
            <w:vAlign w:val="top"/>
          </w:tcPr>
          <w:p>
            <w:r>
              <w:rPr>
                <w:sz w:val="16"/>
              </w:rPr>
              <w:t>Greedy weighted cover + technical cost; compare against full/coarse selective migration.</w:t>
            </w:r>
          </w:p>
        </w:tc>
      </w:tr>
      <w:tr>
        <w:tc>
          <w:tcPr>
            <w:tcW w:type="dxa" w:w="1584"/>
            <w:tcMar>
              <w:top w:w="80" w:type="dxa"/>
              <w:start w:w="100" w:type="dxa"/>
              <w:bottom w:w="80" w:type="dxa"/>
              <w:end w:w="100" w:type="dxa"/>
            </w:tcMar>
            <w:vAlign w:val="top"/>
          </w:tcPr>
          <w:p>
            <w:r>
              <w:rPr>
                <w:sz w:val="16"/>
              </w:rPr>
              <w:t>Days 13–15</w:t>
            </w:r>
          </w:p>
        </w:tc>
        <w:tc>
          <w:tcPr>
            <w:tcW w:type="dxa" w:w="2736"/>
            <w:tcMar>
              <w:top w:w="80" w:type="dxa"/>
              <w:start w:w="100" w:type="dxa"/>
              <w:bottom w:w="80" w:type="dxa"/>
              <w:end w:w="100" w:type="dxa"/>
            </w:tcMar>
            <w:vAlign w:val="top"/>
          </w:tcPr>
          <w:p>
            <w:r>
              <w:rPr>
                <w:sz w:val="16"/>
              </w:rPr>
              <w:t>Dual-space migrator/router</w:t>
            </w:r>
          </w:p>
        </w:tc>
        <w:tc>
          <w:tcPr>
            <w:tcW w:type="dxa" w:w="6048"/>
            <w:tcMar>
              <w:top w:w="80" w:type="dxa"/>
              <w:start w:w="100" w:type="dxa"/>
              <w:bottom w:w="80" w:type="dxa"/>
              <w:end w:w="100" w:type="dxa"/>
            </w:tcMar>
            <w:vAlign w:val="top"/>
          </w:tcPr>
          <w:p>
            <w:r>
              <w:rPr>
                <w:sz w:val="16"/>
              </w:rPr>
              <w:t>A/B sub-indexes, version map, two query encoders, rank fusion, dedup.</w:t>
            </w:r>
          </w:p>
        </w:tc>
      </w:tr>
      <w:tr>
        <w:tc>
          <w:tcPr>
            <w:tcW w:type="dxa" w:w="1584"/>
            <w:tcMar>
              <w:top w:w="80" w:type="dxa"/>
              <w:start w:w="100" w:type="dxa"/>
              <w:bottom w:w="80" w:type="dxa"/>
              <w:end w:w="100" w:type="dxa"/>
            </w:tcMar>
            <w:vAlign w:val="top"/>
          </w:tcPr>
          <w:p>
            <w:r>
              <w:rPr>
                <w:sz w:val="16"/>
              </w:rPr>
              <w:t>Days 16–18</w:t>
            </w:r>
          </w:p>
        </w:tc>
        <w:tc>
          <w:tcPr>
            <w:tcW w:type="dxa" w:w="2736"/>
            <w:tcMar>
              <w:top w:w="80" w:type="dxa"/>
              <w:start w:w="100" w:type="dxa"/>
              <w:bottom w:w="80" w:type="dxa"/>
              <w:end w:w="100" w:type="dxa"/>
            </w:tcMar>
            <w:vAlign w:val="top"/>
          </w:tcPr>
          <w:p>
            <w:r>
              <w:t>Preview manager + barrier</w:t>
            </w:r>
          </w:p>
        </w:tc>
        <w:tc>
          <w:tcPr>
            <w:tcW w:type="dxa" w:w="6048"/>
            <w:tcMar>
              <w:top w:w="80" w:type="dxa"/>
              <w:start w:w="100" w:type="dxa"/>
              <w:bottom w:w="80" w:type="dxa"/>
              <w:end w:w="100" w:type="dxa"/>
            </w:tcMar>
            <w:vAlign w:val="top"/>
          </w:tcPr>
          <w:p>
            <w:r>
              <w:t>Materialize preview state; safe/unsafe gate; repair expansion/fallback.</w:t>
            </w:r>
          </w:p>
        </w:tc>
      </w:tr>
      <w:tr>
        <w:tc>
          <w:tcPr>
            <w:tcW w:type="dxa" w:w="1584"/>
            <w:tcMar>
              <w:top w:w="80" w:type="dxa"/>
              <w:start w:w="100" w:type="dxa"/>
              <w:bottom w:w="80" w:type="dxa"/>
              <w:end w:w="100" w:type="dxa"/>
            </w:tcMar>
            <w:vAlign w:val="top"/>
          </w:tcPr>
          <w:p>
            <w:r>
              <w:rPr>
                <w:sz w:val="16"/>
              </w:rPr>
              <w:t>Days 19–21</w:t>
            </w:r>
          </w:p>
        </w:tc>
        <w:tc>
          <w:tcPr>
            <w:tcW w:type="dxa" w:w="2736"/>
            <w:tcMar>
              <w:top w:w="80" w:type="dxa"/>
              <w:start w:w="100" w:type="dxa"/>
              <w:bottom w:w="80" w:type="dxa"/>
              <w:end w:w="100" w:type="dxa"/>
            </w:tcMar>
            <w:vAlign w:val="top"/>
          </w:tcPr>
          <w:p>
            <w:r>
              <w:rPr>
                <w:sz w:val="16"/>
              </w:rPr>
              <w:t>ANN experiment</w:t>
            </w:r>
          </w:p>
        </w:tc>
        <w:tc>
          <w:tcPr>
            <w:tcW w:type="dxa" w:w="6048"/>
            <w:tcMar>
              <w:top w:w="80" w:type="dxa"/>
              <w:start w:w="100" w:type="dxa"/>
              <w:bottom w:w="80" w:type="dxa"/>
              <w:end w:w="100" w:type="dxa"/>
            </w:tcMar>
            <w:vAlign w:val="top"/>
          </w:tcPr>
          <w:p>
            <w:r>
              <w:rPr>
                <w:sz w:val="16"/>
              </w:rPr>
              <w:t>HNSW/Qdrant or instrumented graph; measure touched nodes/edges and update latency.</w:t>
            </w:r>
          </w:p>
        </w:tc>
      </w:tr>
      <w:tr>
        <w:tc>
          <w:tcPr>
            <w:tcW w:type="dxa" w:w="1584"/>
            <w:tcMar>
              <w:top w:w="80" w:type="dxa"/>
              <w:start w:w="100" w:type="dxa"/>
              <w:bottom w:w="80" w:type="dxa"/>
              <w:end w:w="100" w:type="dxa"/>
            </w:tcMar>
            <w:vAlign w:val="top"/>
          </w:tcPr>
          <w:p>
            <w:r>
              <w:rPr>
                <w:sz w:val="16"/>
              </w:rPr>
              <w:t>Days 22–24</w:t>
            </w:r>
          </w:p>
        </w:tc>
        <w:tc>
          <w:tcPr>
            <w:tcW w:type="dxa" w:w="2736"/>
            <w:tcMar>
              <w:top w:w="80" w:type="dxa"/>
              <w:start w:w="100" w:type="dxa"/>
              <w:bottom w:w="80" w:type="dxa"/>
              <w:end w:w="100" w:type="dxa"/>
            </w:tcMar>
            <w:vAlign w:val="top"/>
          </w:tcPr>
          <w:p>
            <w:r>
              <w:rPr>
                <w:sz w:val="16"/>
              </w:rPr>
              <w:t>Ablations + robustness</w:t>
            </w:r>
          </w:p>
        </w:tc>
        <w:tc>
          <w:tcPr>
            <w:tcW w:type="dxa" w:w="6048"/>
            <w:tcMar>
              <w:top w:w="80" w:type="dxa"/>
              <w:start w:w="100" w:type="dxa"/>
              <w:bottom w:w="80" w:type="dxa"/>
              <w:end w:w="100" w:type="dxa"/>
            </w:tcMar>
            <w:vAlign w:val="top"/>
          </w:tcPr>
          <w:p>
            <w:r>
              <w:rPr>
                <w:sz w:val="16"/>
              </w:rPr>
              <w:t>No-barrier, candidate-envelope size, fallback, optional ProbeQuorum.</w:t>
            </w:r>
          </w:p>
        </w:tc>
      </w:tr>
      <w:tr>
        <w:tc>
          <w:tcPr>
            <w:tcW w:type="dxa" w:w="1584"/>
            <w:tcMar>
              <w:top w:w="80" w:type="dxa"/>
              <w:start w:w="100" w:type="dxa"/>
              <w:bottom w:w="80" w:type="dxa"/>
              <w:end w:w="100" w:type="dxa"/>
            </w:tcMar>
            <w:vAlign w:val="top"/>
          </w:tcPr>
          <w:p>
            <w:r>
              <w:rPr>
                <w:sz w:val="16"/>
              </w:rPr>
              <w:t>Days 25–28</w:t>
            </w:r>
          </w:p>
        </w:tc>
        <w:tc>
          <w:tcPr>
            <w:tcW w:type="dxa" w:w="2736"/>
            <w:tcMar>
              <w:top w:w="80" w:type="dxa"/>
              <w:start w:w="100" w:type="dxa"/>
              <w:bottom w:w="80" w:type="dxa"/>
              <w:end w:w="100" w:type="dxa"/>
            </w:tcMar>
            <w:vAlign w:val="top"/>
          </w:tcPr>
          <w:p>
            <w:r>
              <w:rPr>
                <w:sz w:val="16"/>
              </w:rPr>
              <w:t>Dashboard + reproducibility</w:t>
            </w:r>
          </w:p>
        </w:tc>
        <w:tc>
          <w:tcPr>
            <w:tcW w:type="dxa" w:w="6048"/>
            <w:tcMar>
              <w:top w:w="80" w:type="dxa"/>
              <w:start w:w="100" w:type="dxa"/>
              <w:bottom w:w="80" w:type="dxa"/>
              <w:end w:w="100" w:type="dxa"/>
            </w:tcMar>
            <w:vAlign w:val="top"/>
          </w:tcPr>
          <w:p>
            <w:r>
              <w:rPr>
                <w:sz w:val="16"/>
              </w:rPr>
              <w:t>FastAPI/Next.js, experiment manifests, diagrams, benchmark tables.</w:t>
            </w:r>
          </w:p>
        </w:tc>
      </w:tr>
      <w:tr>
        <w:tc>
          <w:tcPr>
            <w:tcW w:type="dxa" w:w="1584"/>
            <w:tcMar>
              <w:top w:w="80" w:type="dxa"/>
              <w:start w:w="100" w:type="dxa"/>
              <w:bottom w:w="80" w:type="dxa"/>
              <w:end w:w="100" w:type="dxa"/>
            </w:tcMar>
            <w:vAlign w:val="top"/>
          </w:tcPr>
          <w:p>
            <w:r>
              <w:rPr>
                <w:sz w:val="16"/>
              </w:rPr>
              <w:t>After core results</w:t>
            </w:r>
          </w:p>
        </w:tc>
        <w:tc>
          <w:tcPr>
            <w:tcW w:type="dxa" w:w="2736"/>
            <w:tcMar>
              <w:top w:w="80" w:type="dxa"/>
              <w:start w:w="100" w:type="dxa"/>
              <w:bottom w:w="80" w:type="dxa"/>
              <w:end w:w="100" w:type="dxa"/>
            </w:tcMar>
            <w:vAlign w:val="top"/>
          </w:tcPr>
          <w:p>
            <w:r>
              <w:rPr>
                <w:sz w:val="16"/>
              </w:rPr>
              <w:t>Patent decision gate</w:t>
            </w:r>
          </w:p>
        </w:tc>
        <w:tc>
          <w:tcPr>
            <w:tcW w:type="dxa" w:w="6048"/>
            <w:tcMar>
              <w:top w:w="80" w:type="dxa"/>
              <w:start w:w="100" w:type="dxa"/>
              <w:bottom w:w="80" w:type="dxa"/>
              <w:end w:w="100" w:type="dxa"/>
            </w:tcMar>
            <w:vAlign w:val="top"/>
          </w:tcPr>
          <w:p>
            <w:r>
              <w:rPr>
                <w:sz w:val="16"/>
              </w:rPr>
              <w:t>Claim-level professional search + attorney/patent-agent review before public disclosure.</w:t>
            </w:r>
          </w:p>
        </w:tc>
      </w:tr>
    </w:tbl>
    <w:p>
      <w:pPr>
        <w:pStyle w:val="Heading1"/>
      </w:pPr>
      <w:r>
        <w:t>18. Project Freeze Checklist</w:t>
      </w:r>
    </w:p>
    <w:tbl>
      <w:tblPr>
        <w:tblStyle w:val="TableGrid"/>
        <w:tblW w:type="auto" w:w="0"/>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rPr>
                <w:b/>
                <w:sz w:val="21"/>
              </w:rPr>
              <w:t>FREEZE RULE</w:t>
            </w:r>
            <w:r>
              <w:br/>
              <w:t>From this point, do not add blockchain, LLM agents, IoT, random neural networks, multi-tenant scheduling, or another safety wrapper merely to increase novelty. Any new module must be justified by a failure observed during implementation. The project’s remaining patent upside should come from enabling detail and measured technical behavior.</w:t>
            </w:r>
          </w:p>
        </w:tc>
      </w:tr>
    </w:tbl>
    <w:p>
      <w:pPr>
        <w:pStyle w:val="ListBullet"/>
      </w:pPr>
      <w:r>
        <w:t>Freeze the project name as TopoPatch; technical version label: TopoPatch-CMR v4.1.</w:t>
      </w:r>
    </w:p>
    <w:p>
      <w:pPr>
        <w:pStyle w:val="ListBullet"/>
      </w:pPr>
      <w:r>
        <w:t>Freeze the core claim direction around witness-guided selective repair + predicted mixed-version state + safety-gated commit/fallback.</w:t>
      </w:r>
    </w:p>
    <w:p>
      <w:pPr>
        <w:pStyle w:val="ListBullet"/>
      </w:pPr>
      <w:r>
        <w:t>Implement Candidate Envelope and dual-space serving as mandatory feasibility mechanisms.</w:t>
      </w:r>
    </w:p>
    <w:p>
      <w:pPr>
        <w:pStyle w:val="ListBullet"/>
      </w:pPr>
      <w:r>
        <w:t>Keep ProbeQuorum optional until the core pipeline is stable.</w:t>
      </w:r>
    </w:p>
    <w:p>
      <w:pPr>
        <w:pStyle w:val="ListBullet"/>
      </w:pPr>
      <w:r>
        <w:t>Keep NCA/local correction outside the main claim and outside the MVP critical path.</w:t>
      </w:r>
    </w:p>
    <w:p>
      <w:pPr>
        <w:pStyle w:val="ListBullet"/>
      </w:pPr>
      <w:r>
        <w:t>Do not file broad “selective migration,” “local ANN repair,” “embedding patch,” or “top-k certificate” claims.</w:t>
      </w:r>
    </w:p>
    <w:p>
      <w:pPr>
        <w:pStyle w:val="ListBullet"/>
      </w:pPr>
      <w:r>
        <w:t>Before public GitHub/demo/paper/hackathon disclosure, discuss filing timing with a patent professional.</w:t>
      </w:r>
    </w:p>
    <w:p>
      <w:pPr>
        <w:pStyle w:val="ListBullet"/>
      </w:pPr>
      <w:r>
        <w:t>After the first reproducible benchmark, run one final exact claim search rather than another idea-generation loop.</w:t>
      </w:r>
    </w:p>
    <w:p>
      <w:pPr>
        <w:pStyle w:val="Heading2"/>
      </w:pPr>
      <w:r>
        <w:t>18.1 Final implementation order</w:t>
      </w:r>
    </w:p>
    <w:p>
      <w:pPr>
        <w:spacing w:before="80" w:after="160"/>
        <w:ind w:left="360" w:right="360"/>
        <w:shd w:fill="F3F5F7"/>
      </w:pPr>
      <w:r>
        <w:rPr>
          <w:rFonts w:ascii="Liberation Mono" w:hAnsi="Liberation Mono"/>
          <w:sz w:val="17"/>
        </w:rPr>
        <w:t>BUILD NOW:</w:t>
        <w:br/>
        <w:t>1) full-A / full-B benchmark harness</w:t>
        <w:br/>
        <w:t>2) Candidate Envelope</w:t>
        <w:br/>
        <w:t>3) retrieval violation detector</w:t>
        <w:br/>
        <w:t>4) witness hypergraph</w:t>
        <w:br/>
        <w:t>5) repair optimizer</w:t>
        <w:br/>
        <w:t>6) dual-space A/B router</w:t>
        <w:br/>
        <w:t>7) safety barrier + fallback</w:t>
        <w:br/>
        <w:t>8) selective migrator</w:t>
        <w:br/>
        <w:t>9) ANN-local repair experiment</w:t>
        <w:br/>
        <w:t>10) dashboard</w:t>
        <w:br/>
        <w:br/>
        <w:t>ONLY AFTER THAT:</w:t>
        <w:br/>
        <w:t>11) ProbeQuorum security experiment</w:t>
        <w:br/>
        <w:t>12) optional NCA local-correction research branch</w:t>
        <w:br/>
        <w:br/>
        <w:t>DO NOT ADD MORE ARCHITECTURE BEFORE RESULTS.</w:t>
      </w:r>
    </w:p>
    <w:p>
      <w:pPr>
        <w:pStyle w:val="Heading1"/>
      </w:pPr>
      <w:r>
        <w:t>19. Selected Public References (Baseline Set; v4.1 Updates Through 11 Sep 2026 in Section 73)</w:t>
      </w:r>
    </w:p>
    <w:p>
      <w:r>
        <w:rPr>
          <w:b/>
        </w:rPr>
        <w:t xml:space="preserve">[R1] Qdrant — “Migrate to a New Embedding Model with Zero Downtime in Qdrant.” </w:t>
      </w:r>
      <w:hyperlink r:id="rId14">
        <w:r>
          <w:rPr>
            <w:color w:val="0563C1"/>
            <w:u w:val="single"/>
          </w:rPr>
          <w:t>https://qdrant.tech/documentation/tutorials-operations/embedding-model-migration/</w:t>
        </w:r>
      </w:hyperlink>
    </w:p>
    <w:p>
      <w:r>
        <w:rPr>
          <w:b/>
        </w:rPr>
        <w:t xml:space="preserve">[R2] Weaviate — “Switching vectorizers.” </w:t>
      </w:r>
      <w:hyperlink r:id="rId15">
        <w:r>
          <w:rPr>
            <w:color w:val="0563C1"/>
            <w:u w:val="single"/>
          </w:rPr>
          <w:t>https://docs.weaviate.io/weaviate/tutorials/vectorizer-migration</w:t>
        </w:r>
      </w:hyperlink>
    </w:p>
    <w:p>
      <w:r>
        <w:rPr>
          <w:b/>
        </w:rPr>
        <w:t xml:space="preserve">[R3] US20240303516A1 — “Vector as a service,” HubSpot, Inc. </w:t>
      </w:r>
      <w:hyperlink r:id="rId16">
        <w:r>
          <w:rPr>
            <w:color w:val="0563C1"/>
            <w:u w:val="single"/>
          </w:rPr>
          <w:t>https://patents.google.com/patent/US20240303516A1/en</w:t>
        </w:r>
      </w:hyperlink>
    </w:p>
    <w:p>
      <w:r>
        <w:rPr>
          <w:b/>
        </w:rPr>
        <w:t xml:space="preserve">[R4] US20250342179A1 — “Methods and apparatus to manage input data sets to reflect dataset mutations for GenAI and RAG applications,” Cloudera, Inc. </w:t>
      </w:r>
      <w:hyperlink r:id="rId17">
        <w:r>
          <w:rPr>
            <w:color w:val="0563C1"/>
            <w:u w:val="single"/>
          </w:rPr>
          <w:t>https://patents.google.com/patent/US20250342179A1</w:t>
        </w:r>
      </w:hyperlink>
    </w:p>
    <w:p>
      <w:r>
        <w:rPr>
          <w:b/>
        </w:rPr>
        <w:t xml:space="preserve">[R5] Xu et al. — “SPFresh: Incremental In-Place Update for Billion-Scale Vector Search,” SOSP 2023 / arXiv. </w:t>
      </w:r>
      <w:hyperlink r:id="rId18">
        <w:r>
          <w:rPr>
            <w:color w:val="0563C1"/>
            <w:u w:val="single"/>
          </w:rPr>
          <w:t>https://arxiv.org/abs/2410.14452</w:t>
        </w:r>
      </w:hyperlink>
    </w:p>
    <w:p>
      <w:r>
        <w:rPr>
          <w:b/>
        </w:rPr>
        <w:t xml:space="preserve">[R6] Yu et al. — “A Topology-Aware Localized Update Strategy for Graph-Based ANN Index,” 2025. </w:t>
      </w:r>
      <w:hyperlink r:id="rId19">
        <w:r>
          <w:rPr>
            <w:color w:val="0563C1"/>
            <w:u w:val="single"/>
          </w:rPr>
          <w:t>https://arxiv.org/abs/2503.00402</w:t>
        </w:r>
      </w:hyperlink>
    </w:p>
    <w:p>
      <w:r>
        <w:rPr>
          <w:b/>
        </w:rPr>
        <w:t xml:space="preserve">[R7] Hu et al. — “Learning Backward Compatible Embeddings,” KDD 2022. </w:t>
      </w:r>
      <w:hyperlink r:id="rId20">
        <w:r>
          <w:rPr>
            <w:color w:val="0563C1"/>
            <w:u w:val="single"/>
          </w:rPr>
          <w:t>https://arxiv.org/abs/2206.03040</w:t>
        </w:r>
      </w:hyperlink>
    </w:p>
    <w:p>
      <w:r>
        <w:rPr>
          <w:b/>
        </w:rPr>
        <w:t xml:space="preserve">[R8] Ramanujan et al. — “Forward Compatible Training for Large-Scale Embedding Retrieval Systems,” CVPR 2022. </w:t>
      </w:r>
      <w:hyperlink r:id="rId21">
        <w:r>
          <w:rPr>
            <w:color w:val="0563C1"/>
            <w:u w:val="single"/>
          </w:rPr>
          <w:t>https://openaccess.thecvf.com/content/CVPR2022/html/Ramanujan_Forward_Compatible_Training_for_Large-Scale_Embedding_Retrieval_Systems_CVPR_2022_paper.html</w:t>
        </w:r>
      </w:hyperlink>
    </w:p>
    <w:p>
      <w:r>
        <w:rPr>
          <w:b/>
        </w:rPr>
        <w:t xml:space="preserve">[R9] Zhang et al. — “Darwinian Model Upgrades: Model Evolving with Selective Compatibility,” AAAI 2023. </w:t>
      </w:r>
      <w:hyperlink r:id="rId22">
        <w:r>
          <w:rPr>
            <w:color w:val="0563C1"/>
            <w:u w:val="single"/>
          </w:rPr>
          <w:t>https://ojs.aaai.org/index.php/AAAI/article/view/25447</w:t>
        </w:r>
      </w:hyperlink>
    </w:p>
    <w:p>
      <w:r>
        <w:rPr>
          <w:b/>
        </w:rPr>
        <w:t xml:space="preserve">[R10] US20260195572A1 / EP4773042A1 — “Embedding Patches for Localized Improvement of Embeddings,” Google LLC. </w:t>
      </w:r>
      <w:hyperlink r:id="rId23">
        <w:r>
          <w:rPr>
            <w:color w:val="0563C1"/>
            <w:u w:val="single"/>
          </w:rPr>
          <w:t>https://patents.justia.com/patent/20260195572</w:t>
        </w:r>
      </w:hyperlink>
    </w:p>
    <w:p>
      <w:r>
        <w:rPr>
          <w:b/>
        </w:rPr>
        <w:t xml:space="preserve">[R11] Wu et al. — “Certified Robustness to Word Substitution Ranking Attack for Neural Ranking Models (CertDR),” CIKM 2022. </w:t>
      </w:r>
      <w:hyperlink r:id="rId24">
        <w:r>
          <w:rPr>
            <w:color w:val="0563C1"/>
            <w:u w:val="single"/>
          </w:rPr>
          <w:t>https://doi.org/10.1145/3511808.3557256</w:t>
        </w:r>
      </w:hyperlink>
    </w:p>
    <w:p>
      <w:r>
        <w:rPr>
          <w:b/>
        </w:rPr>
        <w:t xml:space="preserve">[R12] Ames et al. — “Control Barrier Functions: Theory and Applications,” 2019. </w:t>
      </w:r>
      <w:hyperlink r:id="rId25">
        <w:r>
          <w:rPr>
            <w:color w:val="0563C1"/>
            <w:u w:val="single"/>
          </w:rPr>
          <w:t>https://arxiv.org/abs/1903.11199</w:t>
        </w:r>
      </w:hyperlink>
    </w:p>
    <w:p>
      <w:r>
        <w:rPr>
          <w:b/>
        </w:rPr>
        <w:t xml:space="preserve">[R13] Scholten &amp; Günnemann — “Provably Reliable Conformal Prediction Sets in the Presence of Data Poisoning,” ICLR 2025. </w:t>
      </w:r>
      <w:hyperlink r:id="rId26">
        <w:r>
          <w:rPr>
            <w:color w:val="0563C1"/>
            <w:u w:val="single"/>
          </w:rPr>
          <w:t>https://proceedings.iclr.cc/paper_files/paper/2025/hash/8c4d21a4b33361c40c2142db9511c126-Abstract-Conference.html</w:t>
        </w:r>
      </w:hyperlink>
    </w:p>
    <w:p>
      <w:r>
        <w:rPr>
          <w:b/>
        </w:rPr>
        <w:t xml:space="preserve">[R14] FAISS Documentation — efficient similarity search and clustering of dense vectors. </w:t>
      </w:r>
      <w:hyperlink r:id="rId27">
        <w:r>
          <w:rPr>
            <w:color w:val="0563C1"/>
            <w:u w:val="single"/>
          </w:rPr>
          <w:t>https://faiss.ai/</w:t>
        </w:r>
      </w:hyperlink>
    </w:p>
    <w:p>
      <w:r>
        <w:rPr>
          <w:b/>
        </w:rPr>
        <w:t xml:space="preserve">[R15] Qdrant — Named Vectors and multi-representation search documentation. </w:t>
      </w:r>
      <w:hyperlink r:id="rId28">
        <w:r>
          <w:rPr>
            <w:color w:val="0563C1"/>
            <w:u w:val="single"/>
          </w:rPr>
          <w:t>https://qdrant.tech/documentation/manage-data/vectors/</w:t>
        </w:r>
      </w:hyperlink>
    </w:p>
    <w:p>
      <w:r>
        <w:rPr>
          <w:b/>
        </w:rPr>
        <w:t xml:space="preserve">[R16] USPTO MPEP §2106 — Patent Subject Matter Eligibility. </w:t>
      </w:r>
      <w:hyperlink r:id="rId29">
        <w:r>
          <w:rPr>
            <w:color w:val="0563C1"/>
            <w:u w:val="single"/>
          </w:rPr>
          <w:t>https://www.uspto.gov/web/offices/pac/mpep/s2106.html</w:t>
        </w:r>
      </w:hyperlink>
    </w:p>
    <w:p>
      <w:r>
        <w:rPr>
          <w:b/>
        </w:rPr>
        <w:t xml:space="preserve">[R17] USPTO MPEP §2141 — Obviousness Under 35 U.S.C. §103 / KSR guidance. </w:t>
      </w:r>
      <w:hyperlink r:id="rId30">
        <w:r>
          <w:rPr>
            <w:color w:val="0563C1"/>
            <w:u w:val="single"/>
          </w:rPr>
          <w:t>https://www.uspto.gov/web/offices/pac/mpep/s2141.html</w:t>
        </w:r>
      </w:hyperlink>
    </w:p>
    <w:p>
      <w:r>
        <w:rPr>
          <w:b/>
        </w:rPr>
        <w:t xml:space="preserve">[R18] EPO Guidelines 2026 — Computer-Implemented Inventions / COMVIK. </w:t>
      </w:r>
      <w:hyperlink r:id="rId31">
        <w:r>
          <w:rPr>
            <w:color w:val="0563C1"/>
            <w:u w:val="single"/>
          </w:rPr>
          <w:t>https://www.epo.org/en/legal/guidelines-epc/2026/j.html</w:t>
        </w:r>
      </w:hyperlink>
    </w:p>
    <w:p>
      <w:r>
        <w:rPr>
          <w:b/>
        </w:rPr>
        <w:t xml:space="preserve">[R19] IP India — Guidelines for Examination of Computer Related Inventions (CRIs) 2025. </w:t>
      </w:r>
      <w:hyperlink r:id="rId32">
        <w:r>
          <w:rPr>
            <w:color w:val="0563C1"/>
            <w:u w:val="single"/>
          </w:rPr>
          <w:t>https://ipindia.gov.in/resource/patents-resources-guidelines</w:t>
        </w:r>
      </w:hyperlink>
    </w:p>
    <w:p>
      <w:pPr>
        <w:pStyle w:val="Heading1"/>
      </w:pPr>
      <w:r>
        <w:t>Final Note</w:t>
      </w:r>
    </w:p>
    <w:p>
      <w:r>
        <w:rPr>
          <w:b/>
        </w:rPr>
        <w:t>This is the point to freeze the design and start implementation.</w:t>
      </w:r>
      <w:r>
        <w:t xml:space="preserve"> The project has enough technical specificity to build and enough remaining patent territory to justify prototype evidence, but not enough clean novelty to justify further architecture-only ideation. The next meaningful patentability update should be driven by measured behavior and a professional prior-art/claim review.</w:t>
      </w:r>
    </w:p>
    <w:p>
      <w:r>
        <w:br w:type="page"/>
      </w:r>
    </w:p>
    <w:p>
      <w:pPr>
        <w:spacing w:before="3600"/>
        <w:jc w:val="center"/>
      </w:pPr>
      <w:r>
        <w:rPr>
          <w:b/>
          <w:color w:val="1F4E79"/>
          <w:sz w:val="56"/>
        </w:rPr>
        <w:t>PART II</w:t>
      </w:r>
    </w:p>
    <w:p>
      <w:pPr>
        <w:jc w:val="center"/>
      </w:pPr>
      <w:r>
        <w:rPr>
          <w:b/>
          <w:sz w:val="44"/>
        </w:rPr>
        <w:t>MASTER IMPLEMENTATION BIBLE</w:t>
      </w:r>
    </w:p>
    <w:p>
      <w:pPr>
        <w:jc w:val="center"/>
      </w:pPr>
      <w:r>
        <w:rPr>
          <w:sz w:val="24"/>
        </w:rPr>
        <w:t>TopoPatch-CMR v4.1 — Frozen Engineering, Experimental and Patent-Evidence Plan</w:t>
      </w:r>
    </w:p>
    <w:p>
      <w:r>
        <w:br w:type="page"/>
      </w:r>
    </w:p>
    <w:p>
      <w:pPr>
        <w:pStyle w:val="Heading1"/>
      </w:pPr>
      <w:r>
        <w:t>20. v4.1 Master Freeze: What Is Frozen and What Is Not</w:t>
      </w:r>
    </w:p>
    <w:p>
      <w:pPr>
        <w:spacing w:after="120" w:line="259" w:lineRule="auto"/>
      </w:pPr>
      <w:r>
        <w:t>This chapter is the authoritative implementation freeze. It resolves the remaining ambiguity between the earlier v4.0 design notes and the final pre-build audit. The goal is not to increase novelty by adding modules; it is to make the existing invention implementable, testable, and defensible as a concrete computer-system technique. Any implementation decision that conflicts with the rules below should be treated as a deviation requiring a recorded engineering reason.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Item</w:t>
            </w:r>
          </w:p>
        </w:tc>
        <w:tc>
          <w:tcPr>
            <w:tcW w:type="dxa" w:w="3331"/>
            <w:shd w:fill="1F4E78"/>
            <w:vAlign w:val="center"/>
          </w:tcPr>
          <w:p>
            <w:r>
              <w:rPr>
                <w:b/>
                <w:color w:val="FFFFFF"/>
              </w:rPr>
              <w:t>Frozen decision</w:t>
            </w:r>
          </w:p>
        </w:tc>
        <w:tc>
          <w:tcPr>
            <w:tcW w:type="dxa" w:w="3331"/>
            <w:shd w:fill="1F4E78"/>
            <w:vAlign w:val="center"/>
          </w:tcPr>
          <w:p>
            <w:r>
              <w:rPr>
                <w:b/>
                <w:color w:val="FFFFFF"/>
              </w:rPr>
              <w:t>Rationale</w:t>
            </w:r>
          </w:p>
        </w:tc>
      </w:tr>
      <w:tr>
        <w:tc>
          <w:tcPr>
            <w:tcW w:type="dxa" w:w="3331"/>
            <w:vAlign w:val="top"/>
          </w:tcPr>
          <w:p>
            <w:pPr>
              <w:spacing w:after="20"/>
            </w:pPr>
            <w:r>
              <w:rPr>
                <w:sz w:val="18"/>
              </w:rPr>
              <w:t>Core invention</w:t>
            </w:r>
          </w:p>
        </w:tc>
        <w:tc>
          <w:tcPr>
            <w:tcW w:type="dxa" w:w="3331"/>
            <w:vAlign w:val="top"/>
          </w:tcPr>
          <w:p>
            <w:pPr>
              <w:spacing w:after="20"/>
            </w:pPr>
            <w:r>
              <w:rPr>
                <w:sz w:val="18"/>
              </w:rPr>
              <w:t>Witness-guided selective migration with ephemeral preview-state safety gating and scoped fallback</w:t>
            </w:r>
          </w:p>
        </w:tc>
        <w:tc>
          <w:tcPr>
            <w:tcW w:type="dxa" w:w="3331"/>
            <w:vAlign w:val="top"/>
          </w:tcPr>
          <w:p>
            <w:pPr>
              <w:spacing w:after="20"/>
            </w:pPr>
            <w:r>
              <w:rPr>
                <w:sz w:val="18"/>
              </w:rPr>
              <w:t>This remains the narrowest integrated sequence with the strongest technical-effect story.</w:t>
            </w:r>
          </w:p>
        </w:tc>
      </w:tr>
      <w:tr>
        <w:tc>
          <w:tcPr>
            <w:tcW w:type="dxa" w:w="3331"/>
            <w:vAlign w:val="top"/>
          </w:tcPr>
          <w:p>
            <w:pPr>
              <w:spacing w:after="20"/>
            </w:pPr>
            <w:r>
              <w:rPr>
                <w:sz w:val="18"/>
              </w:rPr>
              <w:t>Candidate Envelope</w:t>
            </w:r>
          </w:p>
        </w:tc>
        <w:tc>
          <w:tcPr>
            <w:tcW w:type="dxa" w:w="3331"/>
            <w:vAlign w:val="top"/>
          </w:tcPr>
          <w:p>
            <w:pPr>
              <w:spacing w:after="20"/>
            </w:pPr>
            <w:r>
              <w:rPr>
                <w:sz w:val="18"/>
              </w:rPr>
              <w:t>Mandatory supporting mechanism, uncertainty-bounded and fail-closed</w:t>
            </w:r>
          </w:p>
        </w:tc>
        <w:tc>
          <w:tcPr>
            <w:tcW w:type="dxa" w:w="3331"/>
            <w:vAlign w:val="top"/>
          </w:tcPr>
          <w:p>
            <w:pPr>
              <w:spacing w:after="20"/>
            </w:pPr>
            <w:r>
              <w:rPr>
                <w:sz w:val="18"/>
              </w:rPr>
              <w:t>Prevents circular full-B computation; no longer treated as novelty.</w:t>
            </w:r>
          </w:p>
        </w:tc>
      </w:tr>
      <w:tr>
        <w:tc>
          <w:tcPr>
            <w:tcW w:type="dxa" w:w="3331"/>
            <w:vAlign w:val="top"/>
          </w:tcPr>
          <w:p>
            <w:pPr>
              <w:spacing w:after="20"/>
            </w:pPr>
            <w:r>
              <w:rPr>
                <w:sz w:val="18"/>
              </w:rPr>
              <w:t>Dual-space serving</w:t>
            </w:r>
          </w:p>
        </w:tc>
        <w:tc>
          <w:tcPr>
            <w:tcW w:type="dxa" w:w="3331"/>
            <w:vAlign w:val="top"/>
          </w:tcPr>
          <w:p>
            <w:pPr>
              <w:spacing w:after="20"/>
            </w:pPr>
            <w:r>
              <w:rPr>
                <w:sz w:val="18"/>
              </w:rPr>
              <w:t>Mandatory during partial migration</w:t>
            </w:r>
          </w:p>
        </w:tc>
        <w:tc>
          <w:tcPr>
            <w:tcW w:type="dxa" w:w="3331"/>
            <w:vAlign w:val="top"/>
          </w:tcPr>
          <w:p>
            <w:pPr>
              <w:spacing w:after="20"/>
            </w:pPr>
            <w:r>
              <w:rPr>
                <w:sz w:val="18"/>
              </w:rPr>
              <w:t>Avoids invalid raw score comparison between incompatible embedding spaces/dimensions.</w:t>
            </w:r>
          </w:p>
        </w:tc>
      </w:tr>
      <w:tr>
        <w:tc>
          <w:tcPr>
            <w:tcW w:type="dxa" w:w="3331"/>
            <w:vAlign w:val="top"/>
          </w:tcPr>
          <w:p>
            <w:pPr>
              <w:spacing w:after="20"/>
            </w:pPr>
            <w:r>
              <w:rPr>
                <w:sz w:val="18"/>
              </w:rPr>
              <w:t>ANN local repair</w:t>
            </w:r>
          </w:p>
        </w:tc>
        <w:tc>
          <w:tcPr>
            <w:tcW w:type="dxa" w:w="3331"/>
            <w:vAlign w:val="top"/>
          </w:tcPr>
          <w:p>
            <w:pPr>
              <w:spacing w:after="20"/>
            </w:pPr>
            <w:r>
              <w:rPr>
                <w:sz w:val="18"/>
              </w:rPr>
              <w:t>Supporting implementation effect</w:t>
            </w:r>
          </w:p>
        </w:tc>
        <w:tc>
          <w:tcPr>
            <w:tcW w:type="dxa" w:w="3331"/>
            <w:vAlign w:val="top"/>
          </w:tcPr>
          <w:p>
            <w:pPr>
              <w:spacing w:after="20"/>
            </w:pPr>
            <w:r>
              <w:rPr>
                <w:sz w:val="18"/>
              </w:rPr>
              <w:t>Already crowded; not independently claimed.</w:t>
            </w:r>
          </w:p>
        </w:tc>
      </w:tr>
      <w:tr>
        <w:tc>
          <w:tcPr>
            <w:tcW w:type="dxa" w:w="3331"/>
            <w:vAlign w:val="top"/>
          </w:tcPr>
          <w:p>
            <w:pPr>
              <w:spacing w:after="20"/>
            </w:pPr>
            <w:r>
              <w:rPr>
                <w:sz w:val="18"/>
              </w:rPr>
              <w:t>ProbeQuorum</w:t>
            </w:r>
          </w:p>
        </w:tc>
        <w:tc>
          <w:tcPr>
            <w:tcW w:type="dxa" w:w="3331"/>
            <w:vAlign w:val="top"/>
          </w:tcPr>
          <w:p>
            <w:pPr>
              <w:spacing w:after="20"/>
            </w:pPr>
            <w:r>
              <w:rPr>
                <w:sz w:val="18"/>
              </w:rPr>
              <w:t>Optional dependent/security embodiment</w:t>
            </w:r>
          </w:p>
        </w:tc>
        <w:tc>
          <w:tcPr>
            <w:tcW w:type="dxa" w:w="3331"/>
            <w:vAlign w:val="top"/>
          </w:tcPr>
          <w:p>
            <w:pPr>
              <w:spacing w:after="20"/>
            </w:pPr>
            <w:r>
              <w:rPr>
                <w:sz w:val="18"/>
              </w:rPr>
              <w:t>Useful for evidence poisoning risk but not core novelty.</w:t>
            </w:r>
          </w:p>
        </w:tc>
      </w:tr>
      <w:tr>
        <w:tc>
          <w:tcPr>
            <w:tcW w:type="dxa" w:w="3331"/>
            <w:vAlign w:val="top"/>
          </w:tcPr>
          <w:p>
            <w:pPr>
              <w:spacing w:after="20"/>
            </w:pPr>
            <w:r>
              <w:rPr>
                <w:sz w:val="18"/>
              </w:rPr>
              <w:t>NCA/local correction</w:t>
            </w:r>
          </w:p>
        </w:tc>
        <w:tc>
          <w:tcPr>
            <w:tcW w:type="dxa" w:w="3331"/>
            <w:vAlign w:val="top"/>
          </w:tcPr>
          <w:p>
            <w:pPr>
              <w:spacing w:after="20"/>
            </w:pPr>
            <w:r>
              <w:rPr>
                <w:sz w:val="18"/>
              </w:rPr>
              <w:t>Outside MVP and independent claim</w:t>
            </w:r>
          </w:p>
        </w:tc>
        <w:tc>
          <w:tcPr>
            <w:tcW w:type="dxa" w:w="3331"/>
            <w:vAlign w:val="top"/>
          </w:tcPr>
          <w:p>
            <w:pPr>
              <w:spacing w:after="20"/>
            </w:pPr>
            <w:r>
              <w:rPr>
                <w:sz w:val="18"/>
              </w:rPr>
              <w:t>Recent localized embedding-patch art raises collision risk.</w:t>
            </w:r>
          </w:p>
        </w:tc>
      </w:tr>
      <w:tr>
        <w:tc>
          <w:tcPr>
            <w:tcW w:type="dxa" w:w="3331"/>
            <w:vAlign w:val="top"/>
          </w:tcPr>
          <w:p>
            <w:pPr>
              <w:spacing w:after="20"/>
            </w:pPr>
            <w:r>
              <w:rPr>
                <w:sz w:val="18"/>
              </w:rPr>
              <w:t>Further architecture ideation</w:t>
            </w:r>
          </w:p>
        </w:tc>
        <w:tc>
          <w:tcPr>
            <w:tcW w:type="dxa" w:w="3331"/>
            <w:vAlign w:val="top"/>
          </w:tcPr>
          <w:p>
            <w:pPr>
              <w:spacing w:after="20"/>
            </w:pPr>
            <w:r>
              <w:rPr>
                <w:sz w:val="18"/>
              </w:rPr>
              <w:t>Frozen</w:t>
            </w:r>
          </w:p>
        </w:tc>
        <w:tc>
          <w:tcPr>
            <w:tcW w:type="dxa" w:w="3331"/>
            <w:vAlign w:val="top"/>
          </w:tcPr>
          <w:p>
            <w:pPr>
              <w:spacing w:after="20"/>
            </w:pPr>
            <w:r>
              <w:rPr>
                <w:sz w:val="18"/>
              </w:rPr>
              <w:t>Future changes must be triggered by measured implementation failure, not novelty chasing.</w:t>
            </w:r>
          </w:p>
        </w:tc>
      </w:tr>
    </w:tbl>
    <w:p/>
    <w:tbl>
      <w:tblPr>
        <w:tblStyle w:val="TableGrid"/>
        <w:tblW w:type="auto" w:w="0"/>
        <w:tblLook w:firstColumn="1" w:firstRow="1" w:lastColumn="0" w:lastRow="0" w:noHBand="0" w:noVBand="1" w:val="04A0"/>
      </w:tblPr>
      <w:tblGrid>
        <w:gridCol w:w="9994"/>
      </w:tblGrid>
      <w:tr>
        <w:tc>
          <w:tcPr>
            <w:tcW w:type="dxa" w:w="9994"/>
            <w:shd w:fill="EAF2F8"/>
          </w:tcPr>
          <w:p>
            <w:r>
              <w:rPr>
                <w:b/>
                <w:sz w:val="21"/>
              </w:rPr>
              <w:t>Freeze Rule</w:t>
              <w:br/>
            </w:r>
            <w:r>
              <w:rPr>
                <w:sz w:val="19"/>
              </w:rPr>
              <w:t>From this point forward, implementation work should test the frozen hypothesis. Do not add blockchain, LLM orchestration, IoT, multi-tenant scheduling, an extra neural network, or another safety wrapper unless a concrete failure mode observed in the prototype requires it.</w:t>
            </w:r>
          </w:p>
        </w:tc>
      </w:tr>
    </w:tbl>
    <w:p/>
    <w:p>
      <w:pPr>
        <w:pStyle w:val="Heading2"/>
      </w:pPr>
      <w:r>
        <w:t>20.1 Final research questions</w:t>
      </w:r>
    </w:p>
    <w:p>
      <w:pPr>
        <w:pStyle w:val="ListBullet"/>
        <w:spacing w:after="40"/>
      </w:pPr>
      <w:r>
        <w:t>Can cross-model retrieval violations be discovered with much less Model-B embedding work than a full corpus backfill?</w:t>
      </w:r>
    </w:p>
    <w:p>
      <w:pPr>
        <w:pStyle w:val="ListBullet"/>
        <w:spacing w:after="40"/>
      </w:pPr>
      <w:r>
        <w:t>Can a witness-driven repair set restore protected retrieval constraints while migrating materially fewer objects than full re-embedding?</w:t>
      </w:r>
    </w:p>
    <w:p>
      <w:pPr>
        <w:pStyle w:val="ListBullet"/>
        <w:spacing w:after="40"/>
      </w:pPr>
      <w:r>
        <w:t>Does preview-state safety gating change at least some migration decisions that a cost-only optimizer would otherwise commit?</w:t>
      </w:r>
    </w:p>
    <w:p>
      <w:pPr>
        <w:pStyle w:val="ListBullet"/>
        <w:spacing w:after="40"/>
      </w:pPr>
      <w:r>
        <w:t>Can mixed A/B serving preserve useful retrieval quality without comparing incompatible raw scores?</w:t>
      </w:r>
    </w:p>
    <w:p>
      <w:pPr>
        <w:pStyle w:val="ListBullet"/>
        <w:spacing w:after="40"/>
      </w:pPr>
      <w:r>
        <w:t>Does the system provide a measurable technical benefit in embedding forward passes, bytes written, ANN work, migration latency, and/or peak storage?</w:t>
      </w:r>
    </w:p>
    <w:p>
      <w:pPr>
        <w:pStyle w:val="ListBullet"/>
        <w:spacing w:after="40"/>
      </w:pPr>
      <w:r>
        <w:t>Do the benefits persist across more than one dataset and more than one model pair?</w:t>
      </w:r>
    </w:p>
    <w:p>
      <w:pPr>
        <w:pStyle w:val="Heading2"/>
      </w:pPr>
      <w:r>
        <w:t>20.2 What would invalidate the project premise</w:t>
      </w:r>
    </w:p>
    <w:p>
      <w:pPr>
        <w:spacing w:after="120" w:line="259" w:lineRule="auto"/>
      </w:pPr>
      <w:r>
        <w:t>The project should be killed or materially narrowed if the experiments show that one of the following is structurally true rather than a tuning issue: candidate acquisition requires encoding most of the corpus under Model B; selective repair usually migrates nearly as much as full migration; mixed-space fusion destroys too much retrieval quality; the safety barrier almost never changes the action selected by a cost-only baseline; or ANN maintenance propagates so widely that local repair offers no measurable systems benefit.</w:t>
      </w:r>
    </w:p>
    <w:p>
      <w:r>
        <w:br w:type="page"/>
      </w:r>
    </w:p>
    <w:p>
      <w:pPr>
        <w:pStyle w:val="Heading1"/>
      </w:pPr>
      <w:r>
        <w:t>21. Precise System Model and Terminology</w:t>
      </w:r>
    </w:p>
    <w:p>
      <w:pPr>
        <w:spacing w:after="120" w:line="259" w:lineRule="auto"/>
      </w:pPr>
      <w:r>
        <w:t>TopoPatch should be implemented using explicit versioned state. The same words must mean the same thing in code, experiment logs, diagrams, and any future patent draft. Ambiguous terminology is especially dangerous in a project involving two embedding spaces, partial migration, temporary candidate states, and multiple forms of retrieval evidence.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Term</w:t>
            </w:r>
          </w:p>
        </w:tc>
        <w:tc>
          <w:tcPr>
            <w:tcW w:type="dxa" w:w="4997"/>
            <w:shd w:fill="1F4E78"/>
            <w:vAlign w:val="center"/>
          </w:tcPr>
          <w:p>
            <w:r>
              <w:rPr>
                <w:b/>
                <w:color w:val="FFFFFF"/>
              </w:rPr>
              <w:t>Definition</w:t>
            </w:r>
          </w:p>
        </w:tc>
      </w:tr>
      <w:tr>
        <w:tc>
          <w:tcPr>
            <w:tcW w:type="dxa" w:w="4997"/>
            <w:vAlign w:val="top"/>
          </w:tcPr>
          <w:p>
            <w:pPr>
              <w:spacing w:after="20"/>
            </w:pPr>
            <w:r>
              <w:rPr>
                <w:sz w:val="18"/>
              </w:rPr>
              <w:t>Model A</w:t>
            </w:r>
          </w:p>
        </w:tc>
        <w:tc>
          <w:tcPr>
            <w:tcW w:type="dxa" w:w="4997"/>
            <w:vAlign w:val="top"/>
          </w:tcPr>
          <w:p>
            <w:pPr>
              <w:spacing w:after="20"/>
            </w:pPr>
            <w:r>
              <w:rPr>
                <w:sz w:val="18"/>
              </w:rPr>
              <w:t>The incumbent embedding model currently used by the durable production vector index.</w:t>
            </w:r>
          </w:p>
        </w:tc>
      </w:tr>
      <w:tr>
        <w:tc>
          <w:tcPr>
            <w:tcW w:type="dxa" w:w="4997"/>
            <w:vAlign w:val="top"/>
          </w:tcPr>
          <w:p>
            <w:pPr>
              <w:spacing w:after="20"/>
            </w:pPr>
            <w:r>
              <w:rPr>
                <w:sz w:val="18"/>
              </w:rPr>
              <w:t>Model B</w:t>
            </w:r>
          </w:p>
        </w:tc>
        <w:tc>
          <w:tcPr>
            <w:tcW w:type="dxa" w:w="4997"/>
            <w:vAlign w:val="top"/>
          </w:tcPr>
          <w:p>
            <w:pPr>
              <w:spacing w:after="20"/>
            </w:pPr>
            <w:r>
              <w:rPr>
                <w:sz w:val="18"/>
              </w:rPr>
              <w:t>The replacement embedding model being evaluated/migrated toward.</w:t>
            </w:r>
          </w:p>
        </w:tc>
      </w:tr>
      <w:tr>
        <w:tc>
          <w:tcPr>
            <w:tcW w:type="dxa" w:w="4997"/>
            <w:vAlign w:val="top"/>
          </w:tcPr>
          <w:p>
            <w:pPr>
              <w:spacing w:after="20"/>
            </w:pPr>
            <w:r>
              <w:rPr>
                <w:sz w:val="18"/>
              </w:rPr>
              <w:t>LegacyIndex_A</w:t>
            </w:r>
          </w:p>
        </w:tc>
        <w:tc>
          <w:tcPr>
            <w:tcW w:type="dxa" w:w="4997"/>
            <w:vAlign w:val="top"/>
          </w:tcPr>
          <w:p>
            <w:pPr>
              <w:spacing w:after="20"/>
            </w:pPr>
            <w:r>
              <w:rPr>
                <w:sz w:val="18"/>
              </w:rPr>
              <w:t>Index containing only objects currently active under Model A.</w:t>
            </w:r>
          </w:p>
        </w:tc>
      </w:tr>
      <w:tr>
        <w:tc>
          <w:tcPr>
            <w:tcW w:type="dxa" w:w="4997"/>
            <w:vAlign w:val="top"/>
          </w:tcPr>
          <w:p>
            <w:pPr>
              <w:spacing w:after="20"/>
            </w:pPr>
            <w:r>
              <w:rPr>
                <w:sz w:val="18"/>
              </w:rPr>
              <w:t>NativeIndex_B</w:t>
            </w:r>
          </w:p>
        </w:tc>
        <w:tc>
          <w:tcPr>
            <w:tcW w:type="dxa" w:w="4997"/>
            <w:vAlign w:val="top"/>
          </w:tcPr>
          <w:p>
            <w:pPr>
              <w:spacing w:after="20"/>
            </w:pPr>
            <w:r>
              <w:rPr>
                <w:sz w:val="18"/>
              </w:rPr>
              <w:t>Index containing only objects durably migrated under Model B.</w:t>
            </w:r>
          </w:p>
        </w:tc>
      </w:tr>
      <w:tr>
        <w:tc>
          <w:tcPr>
            <w:tcW w:type="dxa" w:w="4997"/>
            <w:vAlign w:val="top"/>
          </w:tcPr>
          <w:p>
            <w:pPr>
              <w:spacing w:after="20"/>
            </w:pPr>
            <w:r>
              <w:rPr>
                <w:sz w:val="18"/>
              </w:rPr>
              <w:t>Protected query</w:t>
            </w:r>
          </w:p>
        </w:tc>
        <w:tc>
          <w:tcPr>
            <w:tcW w:type="dxa" w:w="4997"/>
            <w:vAlign w:val="top"/>
          </w:tcPr>
          <w:p>
            <w:pPr>
              <w:spacing w:after="20"/>
            </w:pPr>
            <w:r>
              <w:rPr>
                <w:sz w:val="18"/>
              </w:rPr>
              <w:t>A query with one or more explicit retrieval constraints that must not be violated during migration.</w:t>
            </w:r>
          </w:p>
        </w:tc>
      </w:tr>
      <w:tr>
        <w:tc>
          <w:tcPr>
            <w:tcW w:type="dxa" w:w="4997"/>
            <w:vAlign w:val="top"/>
          </w:tcPr>
          <w:p>
            <w:pPr>
              <w:spacing w:after="20"/>
            </w:pPr>
            <w:r>
              <w:rPr>
                <w:sz w:val="18"/>
              </w:rPr>
              <w:t>Progress query</w:t>
            </w:r>
          </w:p>
        </w:tc>
        <w:tc>
          <w:tcPr>
            <w:tcW w:type="dxa" w:w="4997"/>
            <w:vAlign w:val="top"/>
          </w:tcPr>
          <w:p>
            <w:pPr>
              <w:spacing w:after="20"/>
            </w:pPr>
            <w:r>
              <w:rPr>
                <w:sz w:val="18"/>
              </w:rPr>
              <w:t>A query used to measure movement toward Full-B quality; it need not preserve Model-A behavior.</w:t>
            </w:r>
          </w:p>
        </w:tc>
      </w:tr>
      <w:tr>
        <w:tc>
          <w:tcPr>
            <w:tcW w:type="dxa" w:w="4997"/>
            <w:vAlign w:val="top"/>
          </w:tcPr>
          <w:p>
            <w:pPr>
              <w:spacing w:after="20"/>
            </w:pPr>
            <w:r>
              <w:rPr>
                <w:sz w:val="18"/>
              </w:rPr>
              <w:t>Candidate Envelope</w:t>
            </w:r>
          </w:p>
        </w:tc>
        <w:tc>
          <w:tcPr>
            <w:tcW w:type="dxa" w:w="4997"/>
            <w:vAlign w:val="top"/>
          </w:tcPr>
          <w:p>
            <w:pPr>
              <w:spacing w:after="20"/>
            </w:pPr>
            <w:r>
              <w:rPr>
                <w:sz w:val="18"/>
              </w:rPr>
              <w:t>A bounded set of objects for which exact B-side evidence is materialized to reason about a query without full corpus B encoding.</w:t>
            </w:r>
          </w:p>
        </w:tc>
      </w:tr>
      <w:tr>
        <w:tc>
          <w:tcPr>
            <w:tcW w:type="dxa" w:w="4997"/>
            <w:vAlign w:val="top"/>
          </w:tcPr>
          <w:p>
            <w:pPr>
              <w:spacing w:after="20"/>
            </w:pPr>
            <w:r>
              <w:rPr>
                <w:sz w:val="18"/>
              </w:rPr>
              <w:t>RetrievalViolation</w:t>
            </w:r>
          </w:p>
        </w:tc>
        <w:tc>
          <w:tcPr>
            <w:tcW w:type="dxa" w:w="4997"/>
            <w:vAlign w:val="top"/>
          </w:tcPr>
          <w:p>
            <w:pPr>
              <w:spacing w:after="20"/>
            </w:pPr>
            <w:r>
              <w:rPr>
                <w:sz w:val="18"/>
              </w:rPr>
              <w:t>A machine-readable record that a protected retrieval constraint is currently or predictively violated.</w:t>
            </w:r>
          </w:p>
        </w:tc>
      </w:tr>
      <w:tr>
        <w:tc>
          <w:tcPr>
            <w:tcW w:type="dxa" w:w="4997"/>
            <w:vAlign w:val="top"/>
          </w:tcPr>
          <w:p>
            <w:pPr>
              <w:spacing w:after="20"/>
            </w:pPr>
            <w:r>
              <w:rPr>
                <w:sz w:val="18"/>
              </w:rPr>
              <w:t>Migration witness</w:t>
            </w:r>
          </w:p>
        </w:tc>
        <w:tc>
          <w:tcPr>
            <w:tcW w:type="dxa" w:w="4997"/>
            <w:vAlign w:val="top"/>
          </w:tcPr>
          <w:p>
            <w:pPr>
              <w:spacing w:after="20"/>
            </w:pPr>
            <w:r>
              <w:rPr>
                <w:sz w:val="18"/>
              </w:rPr>
              <w:t>A link between a violation and candidate migration actions with measured/estimated counterfactual effects.</w:t>
            </w:r>
          </w:p>
        </w:tc>
      </w:tr>
      <w:tr>
        <w:tc>
          <w:tcPr>
            <w:tcW w:type="dxa" w:w="4997"/>
            <w:vAlign w:val="top"/>
          </w:tcPr>
          <w:p>
            <w:pPr>
              <w:spacing w:after="20"/>
            </w:pPr>
            <w:r>
              <w:rPr>
                <w:sz w:val="18"/>
              </w:rPr>
              <w:t>MigrationAction</w:t>
            </w:r>
          </w:p>
        </w:tc>
        <w:tc>
          <w:tcPr>
            <w:tcW w:type="dxa" w:w="4997"/>
            <w:vAlign w:val="top"/>
          </w:tcPr>
          <w:p>
            <w:pPr>
              <w:spacing w:after="20"/>
            </w:pPr>
            <w:r>
              <w:rPr>
                <w:sz w:val="18"/>
              </w:rPr>
              <w:t>A proposed technical state transition: B embedding jobs, A removals, B insertions, ANN scope, routing and expected resource cost.</w:t>
            </w:r>
          </w:p>
        </w:tc>
      </w:tr>
      <w:tr>
        <w:tc>
          <w:tcPr>
            <w:tcW w:type="dxa" w:w="4997"/>
            <w:vAlign w:val="top"/>
          </w:tcPr>
          <w:p>
            <w:pPr>
              <w:spacing w:after="20"/>
            </w:pPr>
            <w:r>
              <w:rPr>
                <w:sz w:val="18"/>
              </w:rPr>
              <w:t>PreviewState</w:t>
            </w:r>
          </w:p>
        </w:tc>
        <w:tc>
          <w:tcPr>
            <w:tcW w:type="dxa" w:w="4997"/>
            <w:vAlign w:val="top"/>
          </w:tcPr>
          <w:p>
            <w:pPr>
              <w:spacing w:after="20"/>
            </w:pPr>
            <w:r>
              <w:rPr>
                <w:sz w:val="18"/>
              </w:rPr>
              <w:t>A non-durable mixed A/B retrieval state produced by applying MigrationAction to a snapshot through a copy-on-write/shadow overlay.</w:t>
            </w:r>
          </w:p>
        </w:tc>
      </w:tr>
      <w:tr>
        <w:tc>
          <w:tcPr>
            <w:tcW w:type="dxa" w:w="4997"/>
            <w:vAlign w:val="top"/>
          </w:tcPr>
          <w:p>
            <w:pPr>
              <w:spacing w:after="20"/>
            </w:pPr>
            <w:r>
              <w:rPr>
                <w:sz w:val="18"/>
              </w:rPr>
              <w:t>BarrierEvidence</w:t>
            </w:r>
          </w:p>
        </w:tc>
        <w:tc>
          <w:tcPr>
            <w:tcW w:type="dxa" w:w="4997"/>
            <w:vAlign w:val="top"/>
          </w:tcPr>
          <w:p>
            <w:pPr>
              <w:spacing w:after="20"/>
            </w:pPr>
            <w:r>
              <w:rPr>
                <w:sz w:val="18"/>
              </w:rPr>
              <w:t>Evidence that the preview state satisfies protected retrieval constraints under explicit uncertainty/error terms.</w:t>
            </w:r>
          </w:p>
        </w:tc>
      </w:tr>
      <w:tr>
        <w:tc>
          <w:tcPr>
            <w:tcW w:type="dxa" w:w="4997"/>
            <w:vAlign w:val="top"/>
          </w:tcPr>
          <w:p>
            <w:pPr>
              <w:spacing w:after="20"/>
            </w:pPr>
            <w:r>
              <w:rPr>
                <w:sz w:val="18"/>
              </w:rPr>
              <w:t>Commit</w:t>
            </w:r>
          </w:p>
        </w:tc>
        <w:tc>
          <w:tcPr>
            <w:tcW w:type="dxa" w:w="4997"/>
            <w:vAlign w:val="top"/>
          </w:tcPr>
          <w:p>
            <w:pPr>
              <w:spacing w:after="20"/>
            </w:pPr>
            <w:r>
              <w:rPr>
                <w:sz w:val="18"/>
              </w:rPr>
              <w:t>A transaction that makes an accepted preview delta durable and updates version/routing metadata atomically or with guarded recovery.</w:t>
            </w:r>
          </w:p>
        </w:tc>
      </w:tr>
      <w:tr>
        <w:tc>
          <w:tcPr>
            <w:tcW w:type="dxa" w:w="4997"/>
            <w:vAlign w:val="top"/>
          </w:tcPr>
          <w:p>
            <w:pPr>
              <w:spacing w:after="20"/>
            </w:pPr>
            <w:r>
              <w:rPr>
                <w:sz w:val="18"/>
              </w:rPr>
              <w:t>Fallback</w:t>
            </w:r>
          </w:p>
        </w:tc>
        <w:tc>
          <w:tcPr>
            <w:tcW w:type="dxa" w:w="4997"/>
            <w:vAlign w:val="top"/>
          </w:tcPr>
          <w:p>
            <w:pPr>
              <w:spacing w:after="20"/>
            </w:pPr>
            <w:r>
              <w:rPr>
                <w:sz w:val="18"/>
              </w:rPr>
              <w:t>A known-safe retrieval path used for a query scope when a candidate transition cannot be certified.</w:t>
            </w:r>
          </w:p>
        </w:tc>
      </w:tr>
      <w:tr>
        <w:tc>
          <w:tcPr>
            <w:tcW w:type="dxa" w:w="4997"/>
            <w:vAlign w:val="top"/>
          </w:tcPr>
          <w:p>
            <w:pPr>
              <w:spacing w:after="20"/>
            </w:pPr>
            <w:r>
              <w:rPr>
                <w:sz w:val="18"/>
              </w:rPr>
              <w:t>Migration epoch</w:t>
            </w:r>
          </w:p>
        </w:tc>
        <w:tc>
          <w:tcPr>
            <w:tcW w:type="dxa" w:w="4997"/>
            <w:vAlign w:val="top"/>
          </w:tcPr>
          <w:p>
            <w:pPr>
              <w:spacing w:after="20"/>
            </w:pPr>
            <w:r>
              <w:rPr>
                <w:sz w:val="18"/>
              </w:rPr>
              <w:t>Monotonic identifier for one committed migration step; used for reproducibility, idempotency, stale-work rejection and rollback.</w:t>
            </w:r>
          </w:p>
        </w:tc>
      </w:tr>
    </w:tbl>
    <w:p/>
    <w:p>
      <w:pPr>
        <w:pStyle w:val="Heading2"/>
      </w:pPr>
      <w:r>
        <w:t>21.1 State notation</w:t>
      </w:r>
    </w:p>
    <w:p>
      <w:pPr>
        <w:spacing w:before="80" w:after="140"/>
        <w:ind w:left="259" w:right="259"/>
        <w:shd w:fill="F2F4F7"/>
      </w:pPr>
      <w:r>
        <w:rPr>
          <w:rFonts w:ascii="Consolas" w:hAnsi="Consolas"/>
          <w:sz w:val="18"/>
        </w:rPr>
        <w:t>x_t = {A_ids, B_ids, version_map, index_digests, routing_state, fallback_state, source_snapshot_id, migration_epoch}</w:t>
        <w:br/>
        <w:br/>
        <w:t>u_t = {object_ids, embed_jobs, A_removals, B_insertions, ann_delta, routing_delta, expected_compute, expected_bytes, expected_latency}</w:t>
        <w:br/>
        <w:br/>
        <w:t>x_preview = Preview(x_t, u_t)</w:t>
        <w:br/>
        <w:t>Commit allowed only if Safety(x_preview, evidence) == PASS</w:t>
      </w:r>
    </w:p>
    <w:p>
      <w:pPr>
        <w:pStyle w:val="Heading2"/>
      </w:pPr>
      <w:r>
        <w:t>21.2 Safety versus progress</w:t>
      </w:r>
    </w:p>
    <w:p>
      <w:pPr>
        <w:spacing w:after="120" w:line="259" w:lineRule="auto"/>
      </w:pPr>
      <w:r>
        <w:t>Safety and progress are separate objectives. A protected safety floor describes behavior that must remain acceptable during migration. A progress objective measures how close the current mixed state is to a Full-B reference or to task quality obtained under Model B. Without this separation, a system could incorrectly classify genuine Model-B improvements as failures simply because they differ from Model 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Concept</w:t>
            </w:r>
          </w:p>
        </w:tc>
        <w:tc>
          <w:tcPr>
            <w:tcW w:type="dxa" w:w="4997"/>
            <w:shd w:fill="1F4E78"/>
            <w:vAlign w:val="center"/>
          </w:tcPr>
          <w:p>
            <w:r>
              <w:rPr>
                <w:b/>
                <w:color w:val="FFFFFF"/>
              </w:rPr>
              <w:t>Example</w:t>
            </w:r>
          </w:p>
        </w:tc>
      </w:tr>
      <w:tr>
        <w:tc>
          <w:tcPr>
            <w:tcW w:type="dxa" w:w="4997"/>
            <w:vAlign w:val="top"/>
          </w:tcPr>
          <w:p>
            <w:pPr>
              <w:spacing w:after="20"/>
            </w:pPr>
            <w:r>
              <w:rPr>
                <w:sz w:val="18"/>
              </w:rPr>
              <w:t>Protected safety floor</w:t>
            </w:r>
          </w:p>
        </w:tc>
        <w:tc>
          <w:tcPr>
            <w:tcW w:type="dxa" w:w="4997"/>
            <w:vAlign w:val="top"/>
          </w:tcPr>
          <w:p>
            <w:pPr>
              <w:spacing w:after="20"/>
            </w:pPr>
            <w:r>
              <w:rPr>
                <w:sz w:val="18"/>
              </w:rPr>
              <w:t>A required policy document remains in top-5; protected slice Recall@10 stays above threshold; known harmful document never enters top-k.</w:t>
            </w:r>
          </w:p>
        </w:tc>
      </w:tr>
      <w:tr>
        <w:tc>
          <w:tcPr>
            <w:tcW w:type="dxa" w:w="4997"/>
            <w:vAlign w:val="top"/>
          </w:tcPr>
          <w:p>
            <w:pPr>
              <w:spacing w:after="20"/>
            </w:pPr>
            <w:r>
              <w:rPr>
                <w:sz w:val="18"/>
              </w:rPr>
              <w:t>Progress objective</w:t>
            </w:r>
          </w:p>
        </w:tc>
        <w:tc>
          <w:tcPr>
            <w:tcW w:type="dxa" w:w="4997"/>
            <w:vAlign w:val="top"/>
          </w:tcPr>
          <w:p>
            <w:pPr>
              <w:spacing w:after="20"/>
            </w:pPr>
            <w:r>
              <w:rPr>
                <w:sz w:val="18"/>
              </w:rPr>
              <w:t>nDCG or MRR gap to Full-B; percentage of corpus migrated; percentage of Full-B retrieval gains captured.</w:t>
            </w:r>
          </w:p>
        </w:tc>
      </w:tr>
      <w:tr>
        <w:tc>
          <w:tcPr>
            <w:tcW w:type="dxa" w:w="4997"/>
            <w:vAlign w:val="top"/>
          </w:tcPr>
          <w:p>
            <w:pPr>
              <w:spacing w:after="20"/>
            </w:pPr>
            <w:r>
              <w:rPr>
                <w:sz w:val="18"/>
              </w:rPr>
              <w:t>Technical resource objective</w:t>
            </w:r>
          </w:p>
        </w:tc>
        <w:tc>
          <w:tcPr>
            <w:tcW w:type="dxa" w:w="4997"/>
            <w:vAlign w:val="top"/>
          </w:tcPr>
          <w:p>
            <w:pPr>
              <w:spacing w:after="20"/>
            </w:pPr>
            <w:r>
              <w:rPr>
                <w:sz w:val="18"/>
              </w:rPr>
              <w:t>Charged B forward passes, bytes written, ANN nodes touched, wall-clock migration time, peak duplicate storage.</w:t>
            </w:r>
          </w:p>
        </w:tc>
      </w:tr>
    </w:tbl>
    <w:p/>
    <w:p>
      <w:r>
        <w:br w:type="page"/>
      </w:r>
    </w:p>
    <w:p>
      <w:pPr>
        <w:pStyle w:val="Heading1"/>
      </w:pPr>
      <w:r>
        <w:t>22. End-to-End Architecture: Control Plane and Data Plane</w:t>
      </w:r>
    </w:p>
    <w:p>
      <w:pPr>
        <w:spacing w:after="120" w:line="259" w:lineRule="auto"/>
      </w:pPr>
      <w:r>
        <w:t>The cleanest implementation separates the migration control plane from the retrieval data plane. The data plane serves queries from the currently durable state. The control plane runs probes, constructs witnesses, proposes and previews repairs, evaluates safety, and commits accepted deltas. This separation reduces the chance that experiment code accidentally mutates the state being evaluated.</w:t>
      </w:r>
    </w:p>
    <w:p>
      <w:pPr>
        <w:spacing w:before="80" w:after="140"/>
        <w:ind w:left="259" w:right="259"/>
        <w:shd w:fill="F2F4F7"/>
      </w:pPr>
      <w:r>
        <w:rPr>
          <w:rFonts w:ascii="Consolas" w:hAnsi="Consolas"/>
          <w:sz w:val="18"/>
        </w:rPr>
        <w:t>CONTROL PLANE</w:t>
        <w:br/>
        <w:t xml:space="preserve">  ModelPairRegistry -&gt; Probe Engine -&gt; Candidate Envelope -&gt; Violation Detector</w:t>
        <w:br/>
        <w:t xml:space="preserve">      -&gt; Witness Builder -&gt; Repair Optimizer -&gt; Preview Manager -&gt; Safety Evaluator</w:t>
        <w:br/>
        <w:t xml:space="preserve">      -&gt; Commit Coordinator / Fallback Controller</w:t>
        <w:br/>
        <w:br/>
        <w:t>DATA PLANE</w:t>
        <w:br/>
        <w:t xml:space="preserve">  Query -&gt; Encoder A -&gt; LegacyIndex_A --\</w:t>
        <w:br/>
        <w:t xml:space="preserve">                                    Rank Fusion -&gt; Results</w:t>
        <w:br/>
        <w:t xml:space="preserve">  Query -&gt; Encoder B -&gt; NativeIndex_B --/</w:t>
        <w:br/>
        <w:br/>
        <w:t>PREVIEW PLANE</w:t>
        <w:br/>
        <w:t xml:space="preserve">  durable A/B indexes + non-durable delta overlay -&gt; Preview Router -&gt; protected probes</w:t>
      </w:r>
    </w:p>
    <w:p>
      <w:pPr>
        <w:pStyle w:val="Heading2"/>
      </w:pPr>
      <w:r>
        <w:t>22.1 Mandatory modules</w:t>
      </w:r>
    </w:p>
    <w:p>
      <w:pPr>
        <w:pStyle w:val="ListBullet"/>
        <w:spacing w:after="40"/>
      </w:pPr>
      <w:r>
        <w:t>Model registry and corpus snapshot registry.</w:t>
      </w:r>
    </w:p>
    <w:p>
      <w:pPr>
        <w:pStyle w:val="ListBullet"/>
        <w:spacing w:after="40"/>
      </w:pPr>
      <w:r>
        <w:t>Embedding service abstraction capable of invoking A and B independently.</w:t>
      </w:r>
    </w:p>
    <w:p>
      <w:pPr>
        <w:pStyle w:val="ListBullet"/>
        <w:spacing w:after="40"/>
      </w:pPr>
      <w:r>
        <w:t>Legacy and native vector-index adapters.</w:t>
      </w:r>
    </w:p>
    <w:p>
      <w:pPr>
        <w:pStyle w:val="ListBullet"/>
        <w:spacing w:after="40"/>
      </w:pPr>
      <w:r>
        <w:t>Candidate Envelope engine with evidence accounting.</w:t>
      </w:r>
    </w:p>
    <w:p>
      <w:pPr>
        <w:pStyle w:val="ListBullet"/>
        <w:spacing w:after="40"/>
      </w:pPr>
      <w:r>
        <w:t>Retrieval constraint evaluator.</w:t>
      </w:r>
    </w:p>
    <w:p>
      <w:pPr>
        <w:pStyle w:val="ListBullet"/>
        <w:spacing w:after="40"/>
      </w:pPr>
      <w:r>
        <w:t>Counterfactual witness builder.</w:t>
      </w:r>
    </w:p>
    <w:p>
      <w:pPr>
        <w:pStyle w:val="ListBullet"/>
        <w:spacing w:after="40"/>
      </w:pPr>
      <w:r>
        <w:t>Technical-cost repair solver.</w:t>
      </w:r>
    </w:p>
    <w:p>
      <w:pPr>
        <w:pStyle w:val="ListBullet"/>
        <w:spacing w:after="40"/>
      </w:pPr>
      <w:r>
        <w:t>Preview-state materializer/router.</w:t>
      </w:r>
    </w:p>
    <w:p>
      <w:pPr>
        <w:pStyle w:val="ListBullet"/>
        <w:spacing w:after="40"/>
      </w:pPr>
      <w:r>
        <w:t>Safety evaluator/barrier.</w:t>
      </w:r>
    </w:p>
    <w:p>
      <w:pPr>
        <w:pStyle w:val="ListBullet"/>
        <w:spacing w:after="40"/>
      </w:pPr>
      <w:r>
        <w:t>Transaction/commit coordinator with stale-source detection.</w:t>
      </w:r>
    </w:p>
    <w:p>
      <w:pPr>
        <w:pStyle w:val="ListBullet"/>
        <w:spacing w:after="40"/>
      </w:pPr>
      <w:r>
        <w:t>Metrics/event recorder and reproducibility manifest.</w:t>
      </w:r>
    </w:p>
    <w:p>
      <w:pPr>
        <w:pStyle w:val="Heading2"/>
      </w:pPr>
      <w:r>
        <w:t>22.2 Optional modules</w:t>
      </w:r>
    </w:p>
    <w:p>
      <w:pPr>
        <w:pStyle w:val="ListBullet"/>
        <w:spacing w:after="40"/>
      </w:pPr>
      <w:r>
        <w:t>ProbeQuorum for calibration-evidence integrity.</w:t>
      </w:r>
    </w:p>
    <w:p>
      <w:pPr>
        <w:pStyle w:val="ListBullet"/>
        <w:spacing w:after="40"/>
      </w:pPr>
      <w:r>
        <w:t>Graph-level ANN dependency repair instrumentation.</w:t>
      </w:r>
    </w:p>
    <w:p>
      <w:pPr>
        <w:pStyle w:val="ListBullet"/>
        <w:spacing w:after="40"/>
      </w:pPr>
      <w:r>
        <w:t>Dashboard and interactive visualization.</w:t>
      </w:r>
    </w:p>
    <w:p>
      <w:pPr>
        <w:pStyle w:val="ListBullet"/>
        <w:spacing w:after="40"/>
      </w:pPr>
      <w:r>
        <w:t>Distributed task queue for large embedding batches.</w:t>
      </w:r>
    </w:p>
    <w:p>
      <w:pPr>
        <w:pStyle w:val="ListBullet"/>
        <w:spacing w:after="40"/>
      </w:pPr>
      <w:r>
        <w:t>NCA/local correction research branch after the main claims are validated.</w:t>
      </w:r>
    </w:p>
    <w:p>
      <w:r>
        <w:br w:type="page"/>
      </w:r>
    </w:p>
    <w:p>
      <w:pPr>
        <w:pStyle w:val="Heading1"/>
      </w:pPr>
      <w:r>
        <w:t>23. Stage A Implementation: Cross-Model Retrieval Probing</w:t>
      </w:r>
    </w:p>
    <w:p>
      <w:pPr>
        <w:spacing w:after="120" w:line="259" w:lineRule="auto"/>
      </w:pPr>
      <w:r>
        <w:t>Stage A transforms an intuitive observation—“search changes when the embedding model changes”—into deterministic, machine-readable violations. It must avoid conflating expected quality improvements with protected failures. The stage therefore consumes explicit retrieval constraints, not merely top-k overlap with Model A.</w:t>
      </w:r>
    </w:p>
    <w:p>
      <w:pPr>
        <w:pStyle w:val="Heading2"/>
      </w:pPr>
      <w:r>
        <w:t>23.1 Query classes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Query class</w:t>
            </w:r>
          </w:p>
        </w:tc>
        <w:tc>
          <w:tcPr>
            <w:tcW w:type="dxa" w:w="3331"/>
            <w:shd w:fill="1F4E78"/>
            <w:vAlign w:val="center"/>
          </w:tcPr>
          <w:p>
            <w:r>
              <w:rPr>
                <w:b/>
                <w:color w:val="FFFFFF"/>
              </w:rPr>
              <w:t>Purpose</w:t>
            </w:r>
          </w:p>
        </w:tc>
        <w:tc>
          <w:tcPr>
            <w:tcW w:type="dxa" w:w="3331"/>
            <w:shd w:fill="1F4E78"/>
            <w:vAlign w:val="center"/>
          </w:tcPr>
          <w:p>
            <w:r>
              <w:rPr>
                <w:b/>
                <w:color w:val="FFFFFF"/>
              </w:rPr>
              <w:t>Typical source</w:t>
            </w:r>
          </w:p>
        </w:tc>
      </w:tr>
      <w:tr>
        <w:tc>
          <w:tcPr>
            <w:tcW w:type="dxa" w:w="3331"/>
            <w:vAlign w:val="top"/>
          </w:tcPr>
          <w:p>
            <w:pPr>
              <w:spacing w:after="20"/>
            </w:pPr>
            <w:r>
              <w:rPr>
                <w:sz w:val="18"/>
              </w:rPr>
              <w:t>Protected golden queries</w:t>
            </w:r>
          </w:p>
        </w:tc>
        <w:tc>
          <w:tcPr>
            <w:tcW w:type="dxa" w:w="3331"/>
            <w:vAlign w:val="top"/>
          </w:tcPr>
          <w:p>
            <w:pPr>
              <w:spacing w:after="20"/>
            </w:pPr>
            <w:r>
              <w:rPr>
                <w:sz w:val="18"/>
              </w:rPr>
              <w:t>Must satisfy strict constraints</w:t>
            </w:r>
          </w:p>
        </w:tc>
        <w:tc>
          <w:tcPr>
            <w:tcW w:type="dxa" w:w="3331"/>
            <w:vAlign w:val="top"/>
          </w:tcPr>
          <w:p>
            <w:pPr>
              <w:spacing w:after="20"/>
            </w:pPr>
            <w:r>
              <w:rPr>
                <w:sz w:val="18"/>
              </w:rPr>
              <w:t>Hand-labelled qrels, policy-critical examples, benchmark queries</w:t>
            </w:r>
          </w:p>
        </w:tc>
      </w:tr>
      <w:tr>
        <w:tc>
          <w:tcPr>
            <w:tcW w:type="dxa" w:w="3331"/>
            <w:vAlign w:val="top"/>
          </w:tcPr>
          <w:p>
            <w:pPr>
              <w:spacing w:after="20"/>
            </w:pPr>
            <w:r>
              <w:rPr>
                <w:sz w:val="18"/>
              </w:rPr>
              <w:t>Historical regression queries</w:t>
            </w:r>
          </w:p>
        </w:tc>
        <w:tc>
          <w:tcPr>
            <w:tcW w:type="dxa" w:w="3331"/>
            <w:vAlign w:val="top"/>
          </w:tcPr>
          <w:p>
            <w:pPr>
              <w:spacing w:after="20"/>
            </w:pPr>
            <w:r>
              <w:rPr>
                <w:sz w:val="18"/>
              </w:rPr>
              <w:t>Catch previously observed failures</w:t>
            </w:r>
          </w:p>
        </w:tc>
        <w:tc>
          <w:tcPr>
            <w:tcW w:type="dxa" w:w="3331"/>
            <w:vAlign w:val="top"/>
          </w:tcPr>
          <w:p>
            <w:pPr>
              <w:spacing w:after="20"/>
            </w:pPr>
            <w:r>
              <w:rPr>
                <w:sz w:val="18"/>
              </w:rPr>
              <w:t>Counterexample cache, prior incidents</w:t>
            </w:r>
          </w:p>
        </w:tc>
      </w:tr>
      <w:tr>
        <w:tc>
          <w:tcPr>
            <w:tcW w:type="dxa" w:w="3331"/>
            <w:vAlign w:val="top"/>
          </w:tcPr>
          <w:p>
            <w:pPr>
              <w:spacing w:after="20"/>
            </w:pPr>
            <w:r>
              <w:rPr>
                <w:sz w:val="18"/>
              </w:rPr>
              <w:t>Boundary queries</w:t>
            </w:r>
          </w:p>
        </w:tc>
        <w:tc>
          <w:tcPr>
            <w:tcW w:type="dxa" w:w="3331"/>
            <w:vAlign w:val="top"/>
          </w:tcPr>
          <w:p>
            <w:pPr>
              <w:spacing w:after="20"/>
            </w:pPr>
            <w:r>
              <w:rPr>
                <w:sz w:val="18"/>
              </w:rPr>
              <w:t>Stress ranking margins</w:t>
            </w:r>
          </w:p>
        </w:tc>
        <w:tc>
          <w:tcPr>
            <w:tcW w:type="dxa" w:w="3331"/>
            <w:vAlign w:val="top"/>
          </w:tcPr>
          <w:p>
            <w:pPr>
              <w:spacing w:after="20"/>
            </w:pPr>
            <w:r>
              <w:rPr>
                <w:sz w:val="18"/>
              </w:rPr>
              <w:t>Synthesized or mined close-score queries</w:t>
            </w:r>
          </w:p>
        </w:tc>
      </w:tr>
      <w:tr>
        <w:tc>
          <w:tcPr>
            <w:tcW w:type="dxa" w:w="3331"/>
            <w:vAlign w:val="top"/>
          </w:tcPr>
          <w:p>
            <w:pPr>
              <w:spacing w:after="20"/>
            </w:pPr>
            <w:r>
              <w:rPr>
                <w:sz w:val="18"/>
              </w:rPr>
              <w:t>Progress queries</w:t>
            </w:r>
          </w:p>
        </w:tc>
        <w:tc>
          <w:tcPr>
            <w:tcW w:type="dxa" w:w="3331"/>
            <w:vAlign w:val="top"/>
          </w:tcPr>
          <w:p>
            <w:pPr>
              <w:spacing w:after="20"/>
            </w:pPr>
            <w:r>
              <w:rPr>
                <w:sz w:val="18"/>
              </w:rPr>
              <w:t>Measure movement toward B quality</w:t>
            </w:r>
          </w:p>
        </w:tc>
        <w:tc>
          <w:tcPr>
            <w:tcW w:type="dxa" w:w="3331"/>
            <w:vAlign w:val="top"/>
          </w:tcPr>
          <w:p>
            <w:pPr>
              <w:spacing w:after="20"/>
            </w:pPr>
            <w:r>
              <w:rPr>
                <w:sz w:val="18"/>
              </w:rPr>
              <w:t>Held-out benchmark/query log sample</w:t>
            </w:r>
          </w:p>
        </w:tc>
      </w:tr>
      <w:tr>
        <w:tc>
          <w:tcPr>
            <w:tcW w:type="dxa" w:w="3331"/>
            <w:vAlign w:val="top"/>
          </w:tcPr>
          <w:p>
            <w:pPr>
              <w:spacing w:after="20"/>
            </w:pPr>
            <w:r>
              <w:rPr>
                <w:sz w:val="18"/>
              </w:rPr>
              <w:t>Audit queries</w:t>
            </w:r>
          </w:p>
        </w:tc>
        <w:tc>
          <w:tcPr>
            <w:tcW w:type="dxa" w:w="3331"/>
            <w:vAlign w:val="top"/>
          </w:tcPr>
          <w:p>
            <w:pPr>
              <w:spacing w:after="20"/>
            </w:pPr>
            <w:r>
              <w:rPr>
                <w:sz w:val="18"/>
              </w:rPr>
              <w:t>Estimate Candidate Envelope miss rate</w:t>
            </w:r>
          </w:p>
        </w:tc>
        <w:tc>
          <w:tcPr>
            <w:tcW w:type="dxa" w:w="3331"/>
            <w:vAlign w:val="top"/>
          </w:tcPr>
          <w:p>
            <w:pPr>
              <w:spacing w:after="20"/>
            </w:pPr>
            <w:r>
              <w:rPr>
                <w:sz w:val="18"/>
              </w:rPr>
              <w:t>Random or stratified samples</w:t>
            </w:r>
          </w:p>
        </w:tc>
      </w:tr>
    </w:tbl>
    <w:p/>
    <w:p>
      <w:pPr>
        <w:pStyle w:val="Heading2"/>
      </w:pPr>
      <w:r>
        <w:t>23.2 Violation types</w:t>
      </w:r>
    </w:p>
    <w:p>
      <w:pPr>
        <w:pStyle w:val="ListBullet"/>
        <w:spacing w:after="40"/>
      </w:pPr>
      <w:r>
        <w:t>Protected member drop: required document falls outside an allowed rank.</w:t>
      </w:r>
    </w:p>
    <w:p>
      <w:pPr>
        <w:pStyle w:val="ListBullet"/>
        <w:spacing w:after="40"/>
      </w:pPr>
      <w:r>
        <w:t>Prohibited member entry: known-bad item enters the protected result set.</w:t>
      </w:r>
    </w:p>
    <w:p>
      <w:pPr>
        <w:pStyle w:val="ListBullet"/>
        <w:spacing w:after="40"/>
      </w:pPr>
      <w:r>
        <w:t>Pairwise inversion: ordering between two protected items reverses.</w:t>
      </w:r>
    </w:p>
    <w:p>
      <w:pPr>
        <w:pStyle w:val="ListBullet"/>
        <w:spacing w:after="40"/>
      </w:pPr>
      <w:r>
        <w:t>Margin collapse: protected result remains top-k but loses required separation from outside competitors.</w:t>
      </w:r>
    </w:p>
    <w:p>
      <w:pPr>
        <w:pStyle w:val="ListBullet"/>
        <w:spacing w:after="40"/>
      </w:pPr>
      <w:r>
        <w:t>Slice regression: aggregate Recall@k/nDCG on a protected slice drops below an allowed floor.</w:t>
      </w:r>
    </w:p>
    <w:p>
      <w:pPr>
        <w:pStyle w:val="ListBullet"/>
        <w:spacing w:after="40"/>
      </w:pPr>
      <w:r>
        <w:t>Task-specific failure: downstream business/agent rule tied to retrieval output is violated.</w:t>
      </w:r>
    </w:p>
    <w:p>
      <w:pPr>
        <w:pStyle w:val="Heading2"/>
      </w:pPr>
      <w:r>
        <w:t>23.3 RetrievalViolation schema</w:t>
      </w:r>
    </w:p>
    <w:p>
      <w:pPr>
        <w:spacing w:before="80" w:after="140"/>
        <w:ind w:left="259" w:right="259"/>
        <w:shd w:fill="F2F4F7"/>
      </w:pPr>
      <w:r>
        <w:rPr>
          <w:rFonts w:ascii="Consolas" w:hAnsi="Consolas"/>
          <w:sz w:val="18"/>
        </w:rPr>
        <w:t>RetrievalViolation {</w:t>
        <w:br/>
        <w:t xml:space="preserve">  violation_id: UUID</w:t>
        <w:br/>
        <w:t xml:space="preserve">  query_id: str</w:t>
        <w:br/>
        <w:t xml:space="preserve">  query_slice: str</w:t>
        <w:br/>
        <w:t xml:space="preserve">  invariant_type: enum</w:t>
        <w:br/>
        <w:t xml:space="preserve">  reference_evidence: list[Result]</w:t>
        <w:br/>
        <w:t xml:space="preserve">  candidate_evidence: list[Result]</w:t>
        <w:br/>
        <w:t xml:space="preserve">  protected_items: list[str]</w:t>
        <w:br/>
        <w:t xml:space="preserve">  violated_items: list[str]</w:t>
        <w:br/>
        <w:t xml:space="preserve">  rank_delta: float | null</w:t>
        <w:br/>
        <w:t xml:space="preserve">  margin_delta: float | null</w:t>
        <w:br/>
        <w:t xml:space="preserve">  severity: float</w:t>
        <w:br/>
        <w:t xml:space="preserve">  candidate_envelope_id: str</w:t>
        <w:br/>
        <w:t xml:space="preserve">  evidence_confidence: float</w:t>
        <w:br/>
        <w:t xml:space="preserve">  created_at: timestamp</w:t>
        <w:br/>
        <w:t>}</w:t>
      </w:r>
    </w:p>
    <w:p>
      <w:pPr>
        <w:pStyle w:val="Heading2"/>
      </w:pPr>
      <w:r>
        <w:t>23.4 Acceptance rules</w:t>
      </w:r>
    </w:p>
    <w:p>
      <w:pPr>
        <w:spacing w:after="120" w:line="259" w:lineRule="auto"/>
      </w:pPr>
      <w:r>
        <w:t>Stage A must be deterministic for a fixed snapshot, model pair, index configuration and random seed. Every violation record must be reproducible from an experiment manifest. The evaluator must log whether evidence came from exact Full-B ground truth, candidate-envelope approximation, ANN retrieval, or a preview overlay. This prevents later benchmark leakage and lets the patent evidence distinguish algorithmic work from offline evaluation-only work.</w:t>
      </w:r>
    </w:p>
    <w:p>
      <w:r>
        <w:br w:type="page"/>
      </w:r>
    </w:p>
    <w:p>
      <w:pPr>
        <w:pStyle w:val="Heading1"/>
      </w:pPr>
      <w:r>
        <w:t>24. Candidate Envelope: Feasibility-Critical Evidence Acquisition</w:t>
      </w:r>
    </w:p>
    <w:p>
      <w:pPr>
        <w:spacing w:after="120" w:line="259" w:lineRule="auto"/>
      </w:pPr>
      <w:r>
        <w:t>Candidate Envelope exists because the obvious method for determining the true Model-B top-k—encode every document with B and build a full B index—already pays the cost TopoPatch is trying to avoid. Candidate Envelope is therefore an evidence-acquisition strategy, not a guarantee oracle and not the patent nucleus. Recent practical systems such as EmbedFlow reinforce that progressive candidate materialization is an active implementation area; TopoPatch should treat this component conservatively and fail closed.</w:t>
      </w:r>
    </w:p>
    <w:p>
      <w:pPr>
        <w:pStyle w:val="Heading2"/>
      </w:pPr>
      <w:r>
        <w:t>24.1 Candidate sources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Source</w:t>
            </w:r>
          </w:p>
        </w:tc>
        <w:tc>
          <w:tcPr>
            <w:tcW w:type="dxa" w:w="3331"/>
            <w:shd w:fill="1F4E78"/>
            <w:vAlign w:val="center"/>
          </w:tcPr>
          <w:p>
            <w:r>
              <w:rPr>
                <w:b/>
                <w:color w:val="FFFFFF"/>
              </w:rPr>
              <w:t>Strength</w:t>
            </w:r>
          </w:p>
        </w:tc>
        <w:tc>
          <w:tcPr>
            <w:tcW w:type="dxa" w:w="3331"/>
            <w:shd w:fill="1F4E78"/>
            <w:vAlign w:val="center"/>
          </w:tcPr>
          <w:p>
            <w:r>
              <w:rPr>
                <w:b/>
                <w:color w:val="FFFFFF"/>
              </w:rPr>
              <w:t>Weakness</w:t>
            </w:r>
          </w:p>
        </w:tc>
      </w:tr>
      <w:tr>
        <w:tc>
          <w:tcPr>
            <w:tcW w:type="dxa" w:w="3331"/>
            <w:vAlign w:val="top"/>
          </w:tcPr>
          <w:p>
            <w:pPr>
              <w:spacing w:after="20"/>
            </w:pPr>
            <w:r>
              <w:rPr>
                <w:sz w:val="18"/>
              </w:rPr>
              <w:t>Legacy A top-L</w:t>
            </w:r>
          </w:p>
        </w:tc>
        <w:tc>
          <w:tcPr>
            <w:tcW w:type="dxa" w:w="3331"/>
            <w:vAlign w:val="top"/>
          </w:tcPr>
          <w:p>
            <w:pPr>
              <w:spacing w:after="20"/>
            </w:pPr>
            <w:r>
              <w:rPr>
                <w:sz w:val="18"/>
              </w:rPr>
              <w:t>Cheap, strongly related to incumbent retrieval</w:t>
            </w:r>
          </w:p>
        </w:tc>
        <w:tc>
          <w:tcPr>
            <w:tcW w:type="dxa" w:w="3331"/>
            <w:vAlign w:val="top"/>
          </w:tcPr>
          <w:p>
            <w:pPr>
              <w:spacing w:after="20"/>
            </w:pPr>
            <w:r>
              <w:rPr>
                <w:sz w:val="18"/>
              </w:rPr>
              <w:t>May miss items that become strong only under B</w:t>
            </w:r>
          </w:p>
        </w:tc>
      </w:tr>
      <w:tr>
        <w:tc>
          <w:tcPr>
            <w:tcW w:type="dxa" w:w="3331"/>
            <w:vAlign w:val="top"/>
          </w:tcPr>
          <w:p>
            <w:pPr>
              <w:spacing w:after="20"/>
            </w:pPr>
            <w:r>
              <w:rPr>
                <w:sz w:val="18"/>
              </w:rPr>
              <w:t>A-index ANN neighbors of retrieved objects</w:t>
            </w:r>
          </w:p>
        </w:tc>
        <w:tc>
          <w:tcPr>
            <w:tcW w:type="dxa" w:w="3331"/>
            <w:vAlign w:val="top"/>
          </w:tcPr>
          <w:p>
            <w:pPr>
              <w:spacing w:after="20"/>
            </w:pPr>
            <w:r>
              <w:rPr>
                <w:sz w:val="18"/>
              </w:rPr>
              <w:t>Adds local semantic competitors</w:t>
            </w:r>
          </w:p>
        </w:tc>
        <w:tc>
          <w:tcPr>
            <w:tcW w:type="dxa" w:w="3331"/>
            <w:vAlign w:val="top"/>
          </w:tcPr>
          <w:p>
            <w:pPr>
              <w:spacing w:after="20"/>
            </w:pPr>
            <w:r>
              <w:rPr>
                <w:sz w:val="18"/>
              </w:rPr>
              <w:t>Biased toward A topology</w:t>
            </w:r>
          </w:p>
        </w:tc>
      </w:tr>
      <w:tr>
        <w:tc>
          <w:tcPr>
            <w:tcW w:type="dxa" w:w="3331"/>
            <w:vAlign w:val="top"/>
          </w:tcPr>
          <w:p>
            <w:pPr>
              <w:spacing w:after="20"/>
            </w:pPr>
            <w:r>
              <w:rPr>
                <w:sz w:val="18"/>
              </w:rPr>
              <w:t>Lexical/BM25 retrieval</w:t>
            </w:r>
          </w:p>
        </w:tc>
        <w:tc>
          <w:tcPr>
            <w:tcW w:type="dxa" w:w="3331"/>
            <w:vAlign w:val="top"/>
          </w:tcPr>
          <w:p>
            <w:pPr>
              <w:spacing w:after="20"/>
            </w:pPr>
            <w:r>
              <w:rPr>
                <w:sz w:val="18"/>
              </w:rPr>
              <w:t>Independent failure mode; catches lexical competitors</w:t>
            </w:r>
          </w:p>
        </w:tc>
        <w:tc>
          <w:tcPr>
            <w:tcW w:type="dxa" w:w="3331"/>
            <w:vAlign w:val="top"/>
          </w:tcPr>
          <w:p>
            <w:pPr>
              <w:spacing w:after="20"/>
            </w:pPr>
            <w:r>
              <w:rPr>
                <w:sz w:val="18"/>
              </w:rPr>
              <w:t>May miss semantic-only B neighbors</w:t>
            </w:r>
          </w:p>
        </w:tc>
      </w:tr>
      <w:tr>
        <w:tc>
          <w:tcPr>
            <w:tcW w:type="dxa" w:w="3331"/>
            <w:vAlign w:val="top"/>
          </w:tcPr>
          <w:p>
            <w:pPr>
              <w:spacing w:after="20"/>
            </w:pPr>
            <w:r>
              <w:rPr>
                <w:sz w:val="18"/>
              </w:rPr>
              <w:t>Cluster/centroid representatives</w:t>
            </w:r>
          </w:p>
        </w:tc>
        <w:tc>
          <w:tcPr>
            <w:tcW w:type="dxa" w:w="3331"/>
            <w:vAlign w:val="top"/>
          </w:tcPr>
          <w:p>
            <w:pPr>
              <w:spacing w:after="20"/>
            </w:pPr>
            <w:r>
              <w:rPr>
                <w:sz w:val="18"/>
              </w:rPr>
              <w:t>Broadens coverage cheaply</w:t>
            </w:r>
          </w:p>
        </w:tc>
        <w:tc>
          <w:tcPr>
            <w:tcW w:type="dxa" w:w="3331"/>
            <w:vAlign w:val="top"/>
          </w:tcPr>
          <w:p>
            <w:pPr>
              <w:spacing w:after="20"/>
            </w:pPr>
            <w:r>
              <w:rPr>
                <w:sz w:val="18"/>
              </w:rPr>
              <w:t>Approximate, sensitive to clustering quality</w:t>
            </w:r>
          </w:p>
        </w:tc>
      </w:tr>
      <w:tr>
        <w:tc>
          <w:tcPr>
            <w:tcW w:type="dxa" w:w="3331"/>
            <w:vAlign w:val="top"/>
          </w:tcPr>
          <w:p>
            <w:pPr>
              <w:spacing w:after="20"/>
            </w:pPr>
            <w:r>
              <w:rPr>
                <w:sz w:val="18"/>
              </w:rPr>
              <w:t>Cached B vectors</w:t>
            </w:r>
          </w:p>
        </w:tc>
        <w:tc>
          <w:tcPr>
            <w:tcW w:type="dxa" w:w="3331"/>
            <w:vAlign w:val="top"/>
          </w:tcPr>
          <w:p>
            <w:pPr>
              <w:spacing w:after="20"/>
            </w:pPr>
            <w:r>
              <w:rPr>
                <w:sz w:val="18"/>
              </w:rPr>
              <w:t>Free once materialized by prior probes</w:t>
            </w:r>
          </w:p>
        </w:tc>
        <w:tc>
          <w:tcPr>
            <w:tcW w:type="dxa" w:w="3331"/>
            <w:vAlign w:val="top"/>
          </w:tcPr>
          <w:p>
            <w:pPr>
              <w:spacing w:after="20"/>
            </w:pPr>
            <w:r>
              <w:rPr>
                <w:sz w:val="18"/>
              </w:rPr>
              <w:t>Coverage grows unevenly</w:t>
            </w:r>
          </w:p>
        </w:tc>
      </w:tr>
      <w:tr>
        <w:tc>
          <w:tcPr>
            <w:tcW w:type="dxa" w:w="3331"/>
            <w:vAlign w:val="top"/>
          </w:tcPr>
          <w:p>
            <w:pPr>
              <w:spacing w:after="20"/>
            </w:pPr>
            <w:r>
              <w:rPr>
                <w:sz w:val="18"/>
              </w:rPr>
              <w:t>Random/stratified audit sample</w:t>
            </w:r>
          </w:p>
        </w:tc>
        <w:tc>
          <w:tcPr>
            <w:tcW w:type="dxa" w:w="3331"/>
            <w:vAlign w:val="top"/>
          </w:tcPr>
          <w:p>
            <w:pPr>
              <w:spacing w:after="20"/>
            </w:pPr>
            <w:r>
              <w:rPr>
                <w:sz w:val="18"/>
              </w:rPr>
              <w:t>Supports miss-rate estimation</w:t>
            </w:r>
          </w:p>
        </w:tc>
        <w:tc>
          <w:tcPr>
            <w:tcW w:type="dxa" w:w="3331"/>
            <w:vAlign w:val="top"/>
          </w:tcPr>
          <w:p>
            <w:pPr>
              <w:spacing w:after="20"/>
            </w:pPr>
            <w:r>
              <w:rPr>
                <w:sz w:val="18"/>
              </w:rPr>
              <w:t>Consumes extra B calls</w:t>
            </w:r>
          </w:p>
        </w:tc>
      </w:tr>
      <w:tr>
        <w:tc>
          <w:tcPr>
            <w:tcW w:type="dxa" w:w="3331"/>
            <w:vAlign w:val="top"/>
          </w:tcPr>
          <w:p>
            <w:pPr>
              <w:spacing w:after="20"/>
            </w:pPr>
            <w:r>
              <w:rPr>
                <w:sz w:val="18"/>
              </w:rPr>
              <w:t>Full-B shadow reference</w:t>
            </w:r>
          </w:p>
        </w:tc>
        <w:tc>
          <w:tcPr>
            <w:tcW w:type="dxa" w:w="3331"/>
            <w:vAlign w:val="top"/>
          </w:tcPr>
          <w:p>
            <w:pPr>
              <w:spacing w:after="20"/>
            </w:pPr>
            <w:r>
              <w:rPr>
                <w:sz w:val="18"/>
              </w:rPr>
              <w:t>Exact for research/evaluation</w:t>
            </w:r>
          </w:p>
        </w:tc>
        <w:tc>
          <w:tcPr>
            <w:tcW w:type="dxa" w:w="3331"/>
            <w:vAlign w:val="top"/>
          </w:tcPr>
          <w:p>
            <w:pPr>
              <w:spacing w:after="20"/>
            </w:pPr>
            <w:r>
              <w:rPr>
                <w:sz w:val="18"/>
              </w:rPr>
              <w:t>Not charged to algorithm; too expensive as normal production path</w:t>
            </w:r>
          </w:p>
        </w:tc>
      </w:tr>
    </w:tbl>
    <w:p/>
    <w:p>
      <w:pPr>
        <w:pStyle w:val="Heading2"/>
      </w:pPr>
      <w:r>
        <w:t>24.2 Expansion algorithm</w:t>
      </w:r>
    </w:p>
    <w:p>
      <w:pPr>
        <w:spacing w:before="80" w:after="140"/>
        <w:ind w:left="259" w:right="259"/>
        <w:shd w:fill="F2F4F7"/>
      </w:pPr>
      <w:r>
        <w:rPr>
          <w:rFonts w:ascii="Consolas" w:hAnsi="Consolas"/>
          <w:sz w:val="18"/>
        </w:rPr>
        <w:t>def build_envelope(q, budget, state):</w:t>
        <w:br/>
        <w:t xml:space="preserve">    E = set(topL_A(q))</w:t>
        <w:br/>
        <w:t xml:space="preserve">    E |= legacy_graph_neighbors(E)</w:t>
        <w:br/>
        <w:t xml:space="preserve">    E |= lexical_candidates(q)</w:t>
        <w:br/>
        <w:t xml:space="preserve">    E |= representative_candidates(q)</w:t>
        <w:br/>
        <w:br/>
        <w:t xml:space="preserve">    while True:</w:t>
        <w:br/>
        <w:t xml:space="preserve">        new = E - state.b_cached_ids</w:t>
        <w:br/>
        <w:t xml:space="preserve">        materialize_B(new, charge=True)</w:t>
        <w:br/>
        <w:t xml:space="preserve">        result = score_B_candidates(q, E)</w:t>
        <w:br/>
        <w:t xml:space="preserve">        bound = estimate_exclusion_uncertainty(q, E, result)</w:t>
        <w:br/>
        <w:t xml:space="preserve">        audit = optional_audit_sample(q)</w:t>
        <w:br/>
        <w:br/>
        <w:t xml:space="preserve">        if bound &lt;= required_bound and audit.acceptable:</w:t>
        <w:br/>
        <w:t xml:space="preserve">            return Envelope(status="RESOLVED", candidates=E, residual=bound)</w:t>
        <w:br/>
        <w:t xml:space="preserve">        if budget_exhausted():</w:t>
        <w:br/>
        <w:t xml:space="preserve">            return Envelope(status="UNBOUNDED", candidates=E, residual=bound)</w:t>
        <w:br/>
        <w:t xml:space="preserve">        E |= expand_by_uncertainty(q, E, result)</w:t>
      </w:r>
    </w:p>
    <w:p>
      <w:pPr>
        <w:pStyle w:val="Heading2"/>
      </w:pPr>
      <w:r>
        <w:t>24.3 Research ground truth discipline</w:t>
      </w:r>
    </w:p>
    <w:p>
      <w:pPr>
        <w:spacing w:after="120" w:line="259" w:lineRule="auto"/>
      </w:pPr>
      <w:r>
        <w:t>For evaluation only, create a complete Model-B index once so that envelope misses can be measured exactly. Those Full-B embeddings are evaluation infrastructure and must not be counted as algorithm work. Report two cost ledgers: algorithmic charged B embeddings and offline ground-truth B embeddings. Mixing these ledgers would invalidate the main cost claim.</w:t>
      </w:r>
    </w:p>
    <w:p>
      <w:pPr>
        <w:pStyle w:val="Heading2"/>
      </w:pPr>
      <w:r>
        <w:t>24.4 Failure handling</w:t>
      </w:r>
    </w:p>
    <w:p>
      <w:pPr>
        <w:spacing w:after="120" w:line="259" w:lineRule="auto"/>
      </w:pPr>
      <w:r>
        <w:t>If Candidate Envelope is UNBOUNDED for a protected query, TopoPatch must not silently treat the incomplete B candidate set as safe. The allowed responses are: expand evidence; route that query slice to a full/shadow B evaluation path; keep the scope on legacy fallback; or stop the migration experiment. This fail-closed rule is part of enablement quality even if it is not claimed as novelty.</w:t>
      </w:r>
    </w:p>
    <w:p>
      <w:r>
        <w:br w:type="page"/>
      </w:r>
    </w:p>
    <w:p>
      <w:pPr>
        <w:pStyle w:val="Heading1"/>
      </w:pPr>
      <w:r>
        <w:t>25. Stage B Implementation: Counterfactual Migration-Action Witnesses</w:t>
      </w:r>
    </w:p>
    <w:p>
      <w:pPr>
        <w:spacing w:after="120" w:line="259" w:lineRule="auto"/>
      </w:pPr>
      <w:r>
        <w:t>The witness structure is useful only if it changes the optimizer’s action space. A weak implementation would create a graph saying that certain documents are “related” to a failure. The frozen implementation instead estimates what happens to the protected retrieval constraint if a candidate object or small candidate action is migrated. That turns the graph from an explanation artifact into a repair-control data structure.</w:t>
      </w:r>
    </w:p>
    <w:p>
      <w:pPr>
        <w:pStyle w:val="Heading2"/>
      </w:pPr>
      <w:r>
        <w:t>25.1 Candidate action generation</w:t>
      </w:r>
    </w:p>
    <w:p>
      <w:pPr>
        <w:spacing w:after="120" w:line="259" w:lineRule="auto"/>
      </w:pPr>
      <w:r>
        <w:t>For each violation, begin with objects that are present near the relevant ranking boundary: dropped protected items, newly entering competitors, near-boundary items from Candidate Envelope, and local ANN neighbors whose membership changes when a selected object moves to B. Generate singleton candidate migrations first. If singleton effects are insufficient, create small action bundles using pairwise or greedy expansion rather than enumerating all combinations.</w:t>
      </w:r>
    </w:p>
    <w:p>
      <w:pPr>
        <w:pStyle w:val="Heading2"/>
      </w:pPr>
      <w:r>
        <w:t>25.2 Counterfactual effect measurements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Effect field</w:t>
            </w:r>
          </w:p>
        </w:tc>
        <w:tc>
          <w:tcPr>
            <w:tcW w:type="dxa" w:w="4997"/>
            <w:shd w:fill="1F4E78"/>
            <w:vAlign w:val="center"/>
          </w:tcPr>
          <w:p>
            <w:r>
              <w:rPr>
                <w:b/>
                <w:color w:val="FFFFFF"/>
              </w:rPr>
              <w:t>Meaning</w:t>
            </w:r>
          </w:p>
        </w:tc>
      </w:tr>
      <w:tr>
        <w:tc>
          <w:tcPr>
            <w:tcW w:type="dxa" w:w="4997"/>
            <w:vAlign w:val="top"/>
          </w:tcPr>
          <w:p>
            <w:pPr>
              <w:spacing w:after="20"/>
            </w:pPr>
            <w:r>
              <w:rPr>
                <w:sz w:val="18"/>
              </w:rPr>
              <w:t>delta_rank</w:t>
            </w:r>
          </w:p>
        </w:tc>
        <w:tc>
          <w:tcPr>
            <w:tcW w:type="dxa" w:w="4997"/>
            <w:vAlign w:val="top"/>
          </w:tcPr>
          <w:p>
            <w:pPr>
              <w:spacing w:after="20"/>
            </w:pPr>
            <w:r>
              <w:rPr>
                <w:sz w:val="18"/>
              </w:rPr>
              <w:t>Change in protected item rank when candidate action is previewed.</w:t>
            </w:r>
          </w:p>
        </w:tc>
      </w:tr>
      <w:tr>
        <w:tc>
          <w:tcPr>
            <w:tcW w:type="dxa" w:w="4997"/>
            <w:vAlign w:val="top"/>
          </w:tcPr>
          <w:p>
            <w:pPr>
              <w:spacing w:after="20"/>
            </w:pPr>
            <w:r>
              <w:rPr>
                <w:sz w:val="18"/>
              </w:rPr>
              <w:t>delta_margin</w:t>
            </w:r>
          </w:p>
        </w:tc>
        <w:tc>
          <w:tcPr>
            <w:tcW w:type="dxa" w:w="4997"/>
            <w:vAlign w:val="top"/>
          </w:tcPr>
          <w:p>
            <w:pPr>
              <w:spacing w:after="20"/>
            </w:pPr>
            <w:r>
              <w:rPr>
                <w:sz w:val="18"/>
              </w:rPr>
              <w:t>Change in the protected-vs-competitor separation margin.</w:t>
            </w:r>
          </w:p>
        </w:tc>
      </w:tr>
      <w:tr>
        <w:tc>
          <w:tcPr>
            <w:tcW w:type="dxa" w:w="4997"/>
            <w:vAlign w:val="top"/>
          </w:tcPr>
          <w:p>
            <w:pPr>
              <w:spacing w:after="20"/>
            </w:pPr>
            <w:r>
              <w:rPr>
                <w:sz w:val="18"/>
              </w:rPr>
              <w:t>resolves_violation</w:t>
            </w:r>
          </w:p>
        </w:tc>
        <w:tc>
          <w:tcPr>
            <w:tcW w:type="dxa" w:w="4997"/>
            <w:vAlign w:val="top"/>
          </w:tcPr>
          <w:p>
            <w:pPr>
              <w:spacing w:after="20"/>
            </w:pPr>
            <w:r>
              <w:rPr>
                <w:sz w:val="18"/>
              </w:rPr>
              <w:t>Whether the preview satisfies the specific constraint.</w:t>
            </w:r>
          </w:p>
        </w:tc>
      </w:tr>
      <w:tr>
        <w:tc>
          <w:tcPr>
            <w:tcW w:type="dxa" w:w="4997"/>
            <w:vAlign w:val="top"/>
          </w:tcPr>
          <w:p>
            <w:pPr>
              <w:spacing w:after="20"/>
            </w:pPr>
            <w:r>
              <w:rPr>
                <w:sz w:val="18"/>
              </w:rPr>
              <w:t>new_violation_count</w:t>
            </w:r>
          </w:p>
        </w:tc>
        <w:tc>
          <w:tcPr>
            <w:tcW w:type="dxa" w:w="4997"/>
            <w:vAlign w:val="top"/>
          </w:tcPr>
          <w:p>
            <w:pPr>
              <w:spacing w:after="20"/>
            </w:pPr>
            <w:r>
              <w:rPr>
                <w:sz w:val="18"/>
              </w:rPr>
              <w:t>Whether the action repairs one failure but creates others.</w:t>
            </w:r>
          </w:p>
        </w:tc>
      </w:tr>
      <w:tr>
        <w:tc>
          <w:tcPr>
            <w:tcW w:type="dxa" w:w="4997"/>
            <w:vAlign w:val="top"/>
          </w:tcPr>
          <w:p>
            <w:pPr>
              <w:spacing w:after="20"/>
            </w:pPr>
            <w:r>
              <w:rPr>
                <w:sz w:val="18"/>
              </w:rPr>
              <w:t>ann_scope_estimate</w:t>
            </w:r>
          </w:p>
        </w:tc>
        <w:tc>
          <w:tcPr>
            <w:tcW w:type="dxa" w:w="4997"/>
            <w:vAlign w:val="top"/>
          </w:tcPr>
          <w:p>
            <w:pPr>
              <w:spacing w:after="20"/>
            </w:pPr>
            <w:r>
              <w:rPr>
                <w:sz w:val="18"/>
              </w:rPr>
              <w:t>Estimated graph/index work induced by the candidate move.</w:t>
            </w:r>
          </w:p>
        </w:tc>
      </w:tr>
      <w:tr>
        <w:tc>
          <w:tcPr>
            <w:tcW w:type="dxa" w:w="4997"/>
            <w:vAlign w:val="top"/>
          </w:tcPr>
          <w:p>
            <w:pPr>
              <w:spacing w:after="20"/>
            </w:pPr>
            <w:r>
              <w:rPr>
                <w:sz w:val="18"/>
              </w:rPr>
              <w:t>confidence</w:t>
            </w:r>
          </w:p>
        </w:tc>
        <w:tc>
          <w:tcPr>
            <w:tcW w:type="dxa" w:w="4997"/>
            <w:vAlign w:val="top"/>
          </w:tcPr>
          <w:p>
            <w:pPr>
              <w:spacing w:after="20"/>
            </w:pPr>
            <w:r>
              <w:rPr>
                <w:sz w:val="18"/>
              </w:rPr>
              <w:t>Confidence of the effect estimate given envelope/ANN uncertainty.</w:t>
            </w:r>
          </w:p>
        </w:tc>
      </w:tr>
      <w:tr>
        <w:tc>
          <w:tcPr>
            <w:tcW w:type="dxa" w:w="4997"/>
            <w:vAlign w:val="top"/>
          </w:tcPr>
          <w:p>
            <w:pPr>
              <w:spacing w:after="20"/>
            </w:pPr>
            <w:r>
              <w:rPr>
                <w:sz w:val="18"/>
              </w:rPr>
              <w:t>evaluation_mode</w:t>
            </w:r>
          </w:p>
        </w:tc>
        <w:tc>
          <w:tcPr>
            <w:tcW w:type="dxa" w:w="4997"/>
            <w:vAlign w:val="top"/>
          </w:tcPr>
          <w:p>
            <w:pPr>
              <w:spacing w:after="20"/>
            </w:pPr>
            <w:r>
              <w:rPr>
                <w:sz w:val="18"/>
              </w:rPr>
              <w:t>Exact, preview exact over known candidates, bounded, or statistical.</w:t>
            </w:r>
          </w:p>
        </w:tc>
      </w:tr>
    </w:tbl>
    <w:p/>
    <w:p>
      <w:pPr>
        <w:pStyle w:val="Heading2"/>
      </w:pPr>
      <w:r>
        <w:t>25.3 WitnessHyperedge schema</w:t>
      </w:r>
    </w:p>
    <w:p>
      <w:pPr>
        <w:spacing w:before="80" w:after="140"/>
        <w:ind w:left="259" w:right="259"/>
        <w:shd w:fill="F2F4F7"/>
      </w:pPr>
      <w:r>
        <w:rPr>
          <w:rFonts w:ascii="Consolas" w:hAnsi="Consolas"/>
          <w:sz w:val="18"/>
        </w:rPr>
        <w:t>WitnessHyperedge {</w:t>
        <w:br/>
        <w:t xml:space="preserve">  violation_id</w:t>
        <w:br/>
        <w:t xml:space="preserve">  candidate_actions: [</w:t>
        <w:br/>
        <w:t xml:space="preserve">    { action_id, object_ids, delta_rank, delta_margin,</w:t>
        <w:br/>
        <w:t xml:space="preserve">      resolves_violation, new_violation_count,</w:t>
        <w:br/>
        <w:t xml:space="preserve">      ann_scope_estimate, confidence, evaluation_mode }</w:t>
        <w:br/>
        <w:t xml:space="preserve">  ]</w:t>
        <w:br/>
        <w:t xml:space="preserve">  candidate_envelope_id</w:t>
        <w:br/>
        <w:t xml:space="preserve">  last_updated_epoch</w:t>
        <w:br/>
        <w:t>}</w:t>
      </w:r>
    </w:p>
    <w:p>
      <w:pPr>
        <w:pStyle w:val="Heading2"/>
      </w:pPr>
      <w:r>
        <w:t>25.4 Complexity control</w:t>
      </w:r>
    </w:p>
    <w:p>
      <w:pPr>
        <w:spacing w:after="120" w:line="259" w:lineRule="auto"/>
      </w:pPr>
      <w:r>
        <w:t>Naive counterfactual evaluation can become expensive. Use staged evaluation: cheap score-based approximations first, then preview exactness for the most promising actions. Cap action bundle size, cache per-query scores, and reuse B embeddings already materialized by Candidate Envelope. The experiment should report witness-construction cost separately from actual migration cost so that savings are not hidden by expensive decision logic.</w:t>
      </w:r>
    </w:p>
    <w:p>
      <w:r>
        <w:br w:type="page"/>
      </w:r>
    </w:p>
    <w:p>
      <w:pPr>
        <w:pStyle w:val="Heading1"/>
      </w:pPr>
      <w:r>
        <w:t>26. Stage C Implementation: Barrier-Constrained Repair Optimization</w:t>
      </w:r>
    </w:p>
    <w:p>
      <w:pPr>
        <w:spacing w:after="120" w:line="259" w:lineRule="auto"/>
      </w:pPr>
      <w:r>
        <w:t>Stage C selects a repair that is cheap in machine resources while respecting witness coverage and preview-state safety. The optimization algorithm itself is not the invention; greedy weighted set cover, integer linear programming, branch-and-bound, or heuristic search are implementation choices. The critical point is what the solver consumes and what technical state transition it emits.</w:t>
      </w:r>
    </w:p>
    <w:p>
      <w:pPr>
        <w:pStyle w:val="Heading2"/>
      </w:pPr>
      <w:r>
        <w:t>26.1 Cost function</w:t>
      </w:r>
    </w:p>
    <w:p>
      <w:pPr>
        <w:spacing w:before="80" w:after="140"/>
        <w:ind w:left="259" w:right="259"/>
        <w:shd w:fill="F2F4F7"/>
      </w:pPr>
      <w:r>
        <w:rPr>
          <w:rFonts w:ascii="Consolas" w:hAnsi="Consolas"/>
          <w:sz w:val="18"/>
        </w:rPr>
        <w:t>C(u) = w1 * B_forward_passes(u)</w:t>
        <w:br/>
        <w:t xml:space="preserve">     + w2 * bytes_written(u)</w:t>
        <w:br/>
        <w:t xml:space="preserve">     + w3 * estimated_ANN_mutations(u)</w:t>
        <w:br/>
        <w:t xml:space="preserve">     + w4 * embedding_latency(u)</w:t>
        <w:br/>
        <w:t xml:space="preserve">     + w5 * temporary_storage(u)</w:t>
        <w:br/>
        <w:t xml:space="preserve">     + w6 * fallback_penalty(u)</w:t>
      </w:r>
    </w:p>
    <w:p>
      <w:pPr>
        <w:spacing w:after="120" w:line="259" w:lineRule="auto"/>
      </w:pPr>
      <w:r>
        <w:t>Weights are engineering policy, not money. Normalize resource terms before weighting so a unit change in bytes does not dominate a unit change in forward passes by scale alone. Keep at least one experiment with a transparent lexicographic objective, for example minimize charged B calls first, then bytes, then ANN touches, to show that results are not an artifact of one tuned scalar weighting.</w:t>
      </w:r>
    </w:p>
    <w:p>
      <w:pPr>
        <w:pStyle w:val="Heading2"/>
      </w:pPr>
      <w:r>
        <w:t>26.2 Constraints</w:t>
      </w:r>
    </w:p>
    <w:p>
      <w:pPr>
        <w:pStyle w:val="ListBullet"/>
        <w:spacing w:after="40"/>
      </w:pPr>
      <w:r>
        <w:t>Every active protected violation is either covered by a candidate action or explicitly assigned to safe fallback.</w:t>
      </w:r>
    </w:p>
    <w:p>
      <w:pPr>
        <w:pStyle w:val="ListBullet"/>
        <w:spacing w:after="40"/>
      </w:pPr>
      <w:r>
        <w:t>All object migrations refer to the same source snapshot/version used to generate their B embeddings.</w:t>
      </w:r>
    </w:p>
    <w:p>
      <w:pPr>
        <w:pStyle w:val="ListBullet"/>
        <w:spacing w:after="40"/>
      </w:pPr>
      <w:r>
        <w:t>The preview-state safety evaluator must pass before durable commit.</w:t>
      </w:r>
    </w:p>
    <w:p>
      <w:pPr>
        <w:pStyle w:val="ListBullet"/>
        <w:spacing w:after="40"/>
      </w:pPr>
      <w:r>
        <w:t>Optional budgets may cap B calls, bytes, ANN work, or wall-clock latency per migration epoch.</w:t>
      </w:r>
    </w:p>
    <w:p>
      <w:pPr>
        <w:pStyle w:val="ListBullet"/>
        <w:spacing w:after="40"/>
      </w:pPr>
      <w:r>
        <w:t>An object already durably migrated to B is not returned to A during normal monotonic progression.</w:t>
      </w:r>
    </w:p>
    <w:p>
      <w:pPr>
        <w:pStyle w:val="Heading2"/>
      </w:pPr>
      <w:r>
        <w:t>26.3 MVP solver</w:t>
      </w:r>
    </w:p>
    <w:p>
      <w:pPr>
        <w:spacing w:after="120" w:line="259" w:lineRule="auto"/>
      </w:pPr>
      <w:r>
        <w:t>Start with greedy weighted set cover because it is easy to debug and explain. Rank candidate actions by expected protected-violation improvement divided by technical cost, but penalize actions that create new violations. After constructing a candidate set, hand it to the preview manager and barrier. If rejected, incorporate the new counterexample and rerun. For small benchmark subsets, use ILP as an oracle to estimate how far the greedy solver is from the exact optimum.</w:t>
      </w:r>
    </w:p>
    <w:p>
      <w:r>
        <w:br w:type="page"/>
      </w:r>
    </w:p>
    <w:p>
      <w:pPr>
        <w:pStyle w:val="Heading1"/>
      </w:pPr>
      <w:r>
        <w:t>27. Ephemeral Preview State: The Concrete Pre-Commit Mechanism</w:t>
      </w:r>
    </w:p>
    <w:p>
      <w:pPr>
        <w:spacing w:after="120" w:line="259" w:lineRule="auto"/>
      </w:pPr>
      <w:r>
        <w:t>This is the most important v4.1 solidification. The system should not merely predict a scalar “future quality.” It should materialize a non-durable retrieval state that represents what the system would actually serve if the action were committed. The preview can be implemented with copy-on-write metadata plus a small B-vector overlay; it does not require cloning the entire database.</w:t>
      </w:r>
    </w:p>
    <w:p>
      <w:pPr>
        <w:pStyle w:val="Heading2"/>
      </w:pPr>
      <w:r>
        <w:t>27.1 PreviewStateDelta</w:t>
      </w:r>
    </w:p>
    <w:p>
      <w:pPr>
        <w:spacing w:before="80" w:after="140"/>
        <w:ind w:left="259" w:right="259"/>
        <w:shd w:fill="F2F4F7"/>
      </w:pPr>
      <w:r>
        <w:rPr>
          <w:rFonts w:ascii="Consolas" w:hAnsi="Consolas"/>
          <w:sz w:val="18"/>
        </w:rPr>
        <w:t>PreviewStateDelta {</w:t>
        <w:br/>
        <w:t xml:space="preserve">  preview_id</w:t>
        <w:br/>
        <w:t xml:space="preserve">  source_snapshot_id</w:t>
        <w:br/>
        <w:t xml:space="preserve">  base_migration_epoch</w:t>
        <w:br/>
        <w:t xml:space="preserve">  tentative_A_removals: set[object_id]</w:t>
        <w:br/>
        <w:t xml:space="preserve">  tentative_B_insertions: map[object_id, vector_ref]</w:t>
        <w:br/>
        <w:t xml:space="preserve">  tentative_version_map: map[object_id, model_version]</w:t>
        <w:br/>
        <w:t xml:space="preserve">  tentative_ann_delta: GraphDelta | PartitionDelta | None</w:t>
        <w:br/>
        <w:t xml:space="preserve">  tentative_routing_state</w:t>
        <w:br/>
        <w:t xml:space="preserve">  fallback_change</w:t>
        <w:br/>
        <w:t xml:space="preserve">  estimated_resource_cost</w:t>
        <w:br/>
        <w:t xml:space="preserve">  content_hashes</w:t>
        <w:br/>
        <w:t xml:space="preserve">  created_at</w:t>
        <w:br/>
        <w:t>}</w:t>
      </w:r>
    </w:p>
    <w:p>
      <w:pPr>
        <w:pStyle w:val="Heading2"/>
      </w:pPr>
      <w:r>
        <w:t>27.2 Preview execution</w:t>
      </w:r>
    </w:p>
    <w:p>
      <w:pPr>
        <w:spacing w:before="80" w:after="140"/>
        <w:ind w:left="259" w:right="259"/>
        <w:shd w:fill="F2F4F7"/>
      </w:pPr>
      <w:r>
        <w:rPr>
          <w:rFonts w:ascii="Consolas" w:hAnsi="Consolas"/>
          <w:sz w:val="18"/>
        </w:rPr>
        <w:t>def preview_query(q, delta, durable_state):</w:t>
        <w:br/>
        <w:t xml:space="preserve">    # A path excludes tentative removals</w:t>
        <w:br/>
        <w:t xml:space="preserve">    a_results = search_A(encode_A(q), mask=delta.tentative_A_removals)</w:t>
        <w:br/>
        <w:br/>
        <w:t xml:space="preserve">    # B path includes durable B plus tentative B overlay</w:t>
        <w:br/>
        <w:t xml:space="preserve">    b_results = search_B_overlay(encode_B(q), durable_B, delta.tentative_B_insertions)</w:t>
        <w:br/>
        <w:br/>
        <w:t xml:space="preserve">    return rank_fuse(a_results, b_results)</w:t>
      </w:r>
    </w:p>
    <w:p>
      <w:pPr>
        <w:pStyle w:val="Heading2"/>
      </w:pPr>
      <w:r>
        <w:t>27.3 Why preview state matters</w:t>
      </w:r>
    </w:p>
    <w:p>
      <w:pPr>
        <w:spacing w:after="120" w:line="259" w:lineRule="auto"/>
      </w:pPr>
      <w:r>
        <w:t>A preview can reveal interactions that a per-object score estimate misses: two individually beneficial migrations may reorder a protected top-k when combined; an A removal may expose a different legacy competitor; a B insertion may change deduplication/fusion behavior; or ANN approximation may alter the final served ordering. By testing the composed state, the safety decision is tied to a concrete database/index transition rather than to independent local predictions.</w:t>
      </w:r>
    </w:p>
    <w:p>
      <w:pPr>
        <w:pStyle w:val="Heading2"/>
      </w:pPr>
      <w:r>
        <w:t>27.4 Implementation options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Option</w:t>
            </w:r>
          </w:p>
        </w:tc>
        <w:tc>
          <w:tcPr>
            <w:tcW w:type="dxa" w:w="3331"/>
            <w:shd w:fill="1F4E78"/>
            <w:vAlign w:val="center"/>
          </w:tcPr>
          <w:p>
            <w:r>
              <w:rPr>
                <w:b/>
                <w:color w:val="FFFFFF"/>
              </w:rPr>
              <w:t>MVP suitability</w:t>
            </w:r>
          </w:p>
        </w:tc>
        <w:tc>
          <w:tcPr>
            <w:tcW w:type="dxa" w:w="3331"/>
            <w:shd w:fill="1F4E78"/>
            <w:vAlign w:val="center"/>
          </w:tcPr>
          <w:p>
            <w:r>
              <w:rPr>
                <w:b/>
                <w:color w:val="FFFFFF"/>
              </w:rPr>
              <w:t>Description</w:t>
            </w:r>
          </w:p>
        </w:tc>
      </w:tr>
      <w:tr>
        <w:tc>
          <w:tcPr>
            <w:tcW w:type="dxa" w:w="3331"/>
            <w:vAlign w:val="top"/>
          </w:tcPr>
          <w:p>
            <w:pPr>
              <w:spacing w:after="20"/>
            </w:pPr>
            <w:r>
              <w:rPr>
                <w:sz w:val="18"/>
              </w:rPr>
              <w:t>In-memory overlay</w:t>
            </w:r>
          </w:p>
        </w:tc>
        <w:tc>
          <w:tcPr>
            <w:tcW w:type="dxa" w:w="3331"/>
            <w:vAlign w:val="top"/>
          </w:tcPr>
          <w:p>
            <w:pPr>
              <w:spacing w:after="20"/>
            </w:pPr>
            <w:r>
              <w:rPr>
                <w:sz w:val="18"/>
              </w:rPr>
              <w:t>Excellent</w:t>
            </w:r>
          </w:p>
        </w:tc>
        <w:tc>
          <w:tcPr>
            <w:tcW w:type="dxa" w:w="3331"/>
            <w:vAlign w:val="top"/>
          </w:tcPr>
          <w:p>
            <w:pPr>
              <w:spacing w:after="20"/>
            </w:pPr>
            <w:r>
              <w:rPr>
                <w:sz w:val="18"/>
              </w:rPr>
              <w:t>Python dictionaries/arrays mask A IDs and add B vectors; flat search or FAISS subset search.</w:t>
            </w:r>
          </w:p>
        </w:tc>
      </w:tr>
      <w:tr>
        <w:tc>
          <w:tcPr>
            <w:tcW w:type="dxa" w:w="3331"/>
            <w:vAlign w:val="top"/>
          </w:tcPr>
          <w:p>
            <w:pPr>
              <w:spacing w:after="20"/>
            </w:pPr>
            <w:r>
              <w:rPr>
                <w:sz w:val="18"/>
              </w:rPr>
              <w:t>Copy-on-write shadow collection</w:t>
            </w:r>
          </w:p>
        </w:tc>
        <w:tc>
          <w:tcPr>
            <w:tcW w:type="dxa" w:w="3331"/>
            <w:vAlign w:val="top"/>
          </w:tcPr>
          <w:p>
            <w:pPr>
              <w:spacing w:after="20"/>
            </w:pPr>
            <w:r>
              <w:rPr>
                <w:sz w:val="18"/>
              </w:rPr>
              <w:t>Good</w:t>
            </w:r>
          </w:p>
        </w:tc>
        <w:tc>
          <w:tcPr>
            <w:tcW w:type="dxa" w:w="3331"/>
            <w:vAlign w:val="top"/>
          </w:tcPr>
          <w:p>
            <w:pPr>
              <w:spacing w:after="20"/>
            </w:pPr>
            <w:r>
              <w:rPr>
                <w:sz w:val="18"/>
              </w:rPr>
              <w:t>Qdrant or DB-level shadow namespace contains only tentative B delta and routing metadata.</w:t>
            </w:r>
          </w:p>
        </w:tc>
      </w:tr>
      <w:tr>
        <w:tc>
          <w:tcPr>
            <w:tcW w:type="dxa" w:w="3331"/>
            <w:vAlign w:val="top"/>
          </w:tcPr>
          <w:p>
            <w:pPr>
              <w:spacing w:after="20"/>
            </w:pPr>
            <w:r>
              <w:rPr>
                <w:sz w:val="18"/>
              </w:rPr>
              <w:t>Transaction/snapshot isolation</w:t>
            </w:r>
          </w:p>
        </w:tc>
        <w:tc>
          <w:tcPr>
            <w:tcW w:type="dxa" w:w="3331"/>
            <w:vAlign w:val="top"/>
          </w:tcPr>
          <w:p>
            <w:pPr>
              <w:spacing w:after="20"/>
            </w:pPr>
            <w:r>
              <w:rPr>
                <w:sz w:val="18"/>
              </w:rPr>
              <w:t>Production-oriented</w:t>
            </w:r>
          </w:p>
        </w:tc>
        <w:tc>
          <w:tcPr>
            <w:tcW w:type="dxa" w:w="3331"/>
            <w:vAlign w:val="top"/>
          </w:tcPr>
          <w:p>
            <w:pPr>
              <w:spacing w:after="20"/>
            </w:pPr>
            <w:r>
              <w:rPr>
                <w:sz w:val="18"/>
              </w:rPr>
              <w:t>Preview reads from snapshot and tentative writes are isolated until commit.</w:t>
            </w:r>
          </w:p>
        </w:tc>
      </w:tr>
      <w:tr>
        <w:tc>
          <w:tcPr>
            <w:tcW w:type="dxa" w:w="3331"/>
            <w:vAlign w:val="top"/>
          </w:tcPr>
          <w:p>
            <w:pPr>
              <w:spacing w:after="20"/>
            </w:pPr>
            <w:r>
              <w:rPr>
                <w:sz w:val="18"/>
              </w:rPr>
              <w:t>Full cloned index</w:t>
            </w:r>
          </w:p>
        </w:tc>
        <w:tc>
          <w:tcPr>
            <w:tcW w:type="dxa" w:w="3331"/>
            <w:vAlign w:val="top"/>
          </w:tcPr>
          <w:p>
            <w:pPr>
              <w:spacing w:after="20"/>
            </w:pPr>
            <w:r>
              <w:rPr>
                <w:sz w:val="18"/>
              </w:rPr>
              <w:t>Poor for scale</w:t>
            </w:r>
          </w:p>
        </w:tc>
        <w:tc>
          <w:tcPr>
            <w:tcW w:type="dxa" w:w="3331"/>
            <w:vAlign w:val="top"/>
          </w:tcPr>
          <w:p>
            <w:pPr>
              <w:spacing w:after="20"/>
            </w:pPr>
            <w:r>
              <w:rPr>
                <w:sz w:val="18"/>
              </w:rPr>
              <w:t>Simple conceptually but defeats the resource objective; use only for tiny tests.</w:t>
            </w:r>
          </w:p>
        </w:tc>
      </w:tr>
    </w:tbl>
    <w:p/>
    <w:p>
      <w:r>
        <w:br w:type="page"/>
      </w:r>
    </w:p>
    <w:p>
      <w:pPr>
        <w:pStyle w:val="Heading1"/>
      </w:pPr>
      <w:r>
        <w:t>28. Stage F Implementation: Retrieval-Safety Barrier</w:t>
      </w:r>
    </w:p>
    <w:p>
      <w:pPr>
        <w:spacing w:after="120" w:line="259" w:lineRule="auto"/>
      </w:pPr>
      <w:r>
        <w:t>The safety barrier is an action-admissibility mechanism, not a post-hoc dashboard metric. It evaluates the ephemeral preview state and must be capable of rejecting a candidate action that a cheaper cost-only optimizer would otherwise choose. If it never changes decisions, it is not load-bearing and should not be used as a central patent argument.</w:t>
      </w:r>
    </w:p>
    <w:p>
      <w:pPr>
        <w:pStyle w:val="Heading2"/>
      </w:pPr>
      <w:r>
        <w:t>28.1 Protected constraints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Constraint type</w:t>
            </w:r>
          </w:p>
        </w:tc>
        <w:tc>
          <w:tcPr>
            <w:tcW w:type="dxa" w:w="4997"/>
            <w:shd w:fill="1F4E78"/>
            <w:vAlign w:val="center"/>
          </w:tcPr>
          <w:p>
            <w:r>
              <w:rPr>
                <w:b/>
                <w:color w:val="FFFFFF"/>
              </w:rPr>
              <w:t>Example test</w:t>
            </w:r>
          </w:p>
        </w:tc>
      </w:tr>
      <w:tr>
        <w:tc>
          <w:tcPr>
            <w:tcW w:type="dxa" w:w="4997"/>
            <w:vAlign w:val="top"/>
          </w:tcPr>
          <w:p>
            <w:pPr>
              <w:spacing w:after="20"/>
            </w:pPr>
            <w:r>
              <w:rPr>
                <w:sz w:val="18"/>
              </w:rPr>
              <w:t>Top-k membership</w:t>
            </w:r>
          </w:p>
        </w:tc>
        <w:tc>
          <w:tcPr>
            <w:tcW w:type="dxa" w:w="4997"/>
            <w:vAlign w:val="top"/>
          </w:tcPr>
          <w:p>
            <w:pPr>
              <w:spacing w:after="20"/>
            </w:pPr>
            <w:r>
              <w:rPr>
                <w:sz w:val="18"/>
              </w:rPr>
              <w:t>required_doc in preview_results[:5]</w:t>
            </w:r>
          </w:p>
        </w:tc>
      </w:tr>
      <w:tr>
        <w:tc>
          <w:tcPr>
            <w:tcW w:type="dxa" w:w="4997"/>
            <w:vAlign w:val="top"/>
          </w:tcPr>
          <w:p>
            <w:pPr>
              <w:spacing w:after="20"/>
            </w:pPr>
            <w:r>
              <w:rPr>
                <w:sz w:val="18"/>
              </w:rPr>
              <w:t>Maximum rank</w:t>
            </w:r>
          </w:p>
        </w:tc>
        <w:tc>
          <w:tcPr>
            <w:tcW w:type="dxa" w:w="4997"/>
            <w:vAlign w:val="top"/>
          </w:tcPr>
          <w:p>
            <w:pPr>
              <w:spacing w:after="20"/>
            </w:pPr>
            <w:r>
              <w:rPr>
                <w:sz w:val="18"/>
              </w:rPr>
              <w:t>rank(required_doc) &lt;= 5</w:t>
            </w:r>
          </w:p>
        </w:tc>
      </w:tr>
      <w:tr>
        <w:tc>
          <w:tcPr>
            <w:tcW w:type="dxa" w:w="4997"/>
            <w:vAlign w:val="top"/>
          </w:tcPr>
          <w:p>
            <w:pPr>
              <w:spacing w:after="20"/>
            </w:pPr>
            <w:r>
              <w:rPr>
                <w:sz w:val="18"/>
              </w:rPr>
              <w:t>Exclusion</w:t>
            </w:r>
          </w:p>
        </w:tc>
        <w:tc>
          <w:tcPr>
            <w:tcW w:type="dxa" w:w="4997"/>
            <w:vAlign w:val="top"/>
          </w:tcPr>
          <w:p>
            <w:pPr>
              <w:spacing w:after="20"/>
            </w:pPr>
            <w:r>
              <w:rPr>
                <w:sz w:val="18"/>
              </w:rPr>
              <w:t>forbidden_doc not in preview_results[:10]</w:t>
            </w:r>
          </w:p>
        </w:tc>
      </w:tr>
      <w:tr>
        <w:tc>
          <w:tcPr>
            <w:tcW w:type="dxa" w:w="4997"/>
            <w:vAlign w:val="top"/>
          </w:tcPr>
          <w:p>
            <w:pPr>
              <w:spacing w:after="20"/>
            </w:pPr>
            <w:r>
              <w:rPr>
                <w:sz w:val="18"/>
              </w:rPr>
              <w:t>Pairwise order</w:t>
            </w:r>
          </w:p>
        </w:tc>
        <w:tc>
          <w:tcPr>
            <w:tcW w:type="dxa" w:w="4997"/>
            <w:vAlign w:val="top"/>
          </w:tcPr>
          <w:p>
            <w:pPr>
              <w:spacing w:after="20"/>
            </w:pPr>
            <w:r>
              <w:rPr>
                <w:sz w:val="18"/>
              </w:rPr>
              <w:t>rank(policy_doc) &lt; rank_blog_doc</w:t>
            </w:r>
          </w:p>
        </w:tc>
      </w:tr>
      <w:tr>
        <w:tc>
          <w:tcPr>
            <w:tcW w:type="dxa" w:w="4997"/>
            <w:vAlign w:val="top"/>
          </w:tcPr>
          <w:p>
            <w:pPr>
              <w:spacing w:after="20"/>
            </w:pPr>
            <w:r>
              <w:rPr>
                <w:sz w:val="18"/>
              </w:rPr>
              <w:t>Margin</w:t>
            </w:r>
          </w:p>
        </w:tc>
        <w:tc>
          <w:tcPr>
            <w:tcW w:type="dxa" w:w="4997"/>
            <w:vAlign w:val="top"/>
          </w:tcPr>
          <w:p>
            <w:pPr>
              <w:spacing w:after="20"/>
            </w:pPr>
            <w:r>
              <w:rPr>
                <w:sz w:val="18"/>
              </w:rPr>
              <w:t>score/rank separation &gt;= beta after uncertainty adjustment</w:t>
            </w:r>
          </w:p>
        </w:tc>
      </w:tr>
      <w:tr>
        <w:tc>
          <w:tcPr>
            <w:tcW w:type="dxa" w:w="4997"/>
            <w:vAlign w:val="top"/>
          </w:tcPr>
          <w:p>
            <w:pPr>
              <w:spacing w:after="20"/>
            </w:pPr>
            <w:r>
              <w:rPr>
                <w:sz w:val="18"/>
              </w:rPr>
              <w:t>Slice quality</w:t>
            </w:r>
          </w:p>
        </w:tc>
        <w:tc>
          <w:tcPr>
            <w:tcW w:type="dxa" w:w="4997"/>
            <w:vAlign w:val="top"/>
          </w:tcPr>
          <w:p>
            <w:pPr>
              <w:spacing w:after="20"/>
            </w:pPr>
            <w:r>
              <w:rPr>
                <w:sz w:val="18"/>
              </w:rPr>
              <w:t>lower confidence bound Recall@10 &gt;= configured floor</w:t>
            </w:r>
          </w:p>
        </w:tc>
      </w:tr>
      <w:tr>
        <w:tc>
          <w:tcPr>
            <w:tcW w:type="dxa" w:w="4997"/>
            <w:vAlign w:val="top"/>
          </w:tcPr>
          <w:p>
            <w:pPr>
              <w:spacing w:after="20"/>
            </w:pPr>
            <w:r>
              <w:rPr>
                <w:sz w:val="18"/>
              </w:rPr>
              <w:t>Task rule</w:t>
            </w:r>
          </w:p>
        </w:tc>
        <w:tc>
          <w:tcPr>
            <w:tcW w:type="dxa" w:w="4997"/>
            <w:vAlign w:val="top"/>
          </w:tcPr>
          <w:p>
            <w:pPr>
              <w:spacing w:after="20"/>
            </w:pPr>
            <w:r>
              <w:rPr>
                <w:sz w:val="18"/>
              </w:rPr>
              <w:t>retrieved evidence set satisfies downstream deterministic requirement</w:t>
            </w:r>
          </w:p>
        </w:tc>
      </w:tr>
    </w:tbl>
    <w:p/>
    <w:p>
      <w:pPr>
        <w:pStyle w:val="Heading2"/>
      </w:pPr>
      <w:r>
        <w:t>28.2 Example conservative margin</w:t>
      </w:r>
    </w:p>
    <w:p>
      <w:pPr>
        <w:spacing w:before="80" w:after="140"/>
        <w:ind w:left="259" w:right="259"/>
        <w:shd w:fill="F2F4F7"/>
      </w:pPr>
      <w:r>
        <w:rPr>
          <w:rFonts w:ascii="Consolas" w:hAnsi="Consolas"/>
          <w:sz w:val="18"/>
        </w:rPr>
        <w:t>m_q(x) = observed_protected_margin</w:t>
        <w:br/>
        <w:t xml:space="preserve">         - candidate_envelope_uncertainty</w:t>
        <w:br/>
        <w:t xml:space="preserve">         - fusion_uncertainty</w:t>
        <w:br/>
        <w:t xml:space="preserve">         - ANN_approximation_error</w:t>
        <w:br/>
        <w:t xml:space="preserve">         - model/evaluation_error</w:t>
        <w:br/>
        <w:br/>
        <w:t>h_q(x) = m_q(x) - beta_q</w:t>
        <w:br/>
        <w:t>H(x) = min_q h_q(x)</w:t>
        <w:br/>
        <w:br/>
        <w:t>Admissible only if H(x) &gt;= 0 for the protected scope.</w:t>
      </w:r>
    </w:p>
    <w:p>
      <w:pPr>
        <w:pStyle w:val="Heading2"/>
      </w:pPr>
      <w:r>
        <w:t>28.3 Exact, bounded and statistical modes</w:t>
      </w:r>
    </w:p>
    <w:p>
      <w:pPr>
        <w:spacing w:after="120" w:line="259" w:lineRule="auto"/>
      </w:pPr>
      <w:r>
        <w:t>An exact mode may compute the relevant ranking on a fully known benchmark subset. A bounded mode subtracts conservative error terms from the observed margin. A statistical mode uses lower confidence bounds over a protected query slice. The implementation should expose which mode produced each BarrierEvidence record; do not merge them into one opaque “confidence score.”</w:t>
      </w:r>
    </w:p>
    <w:p>
      <w:pPr>
        <w:pStyle w:val="Heading2"/>
      </w:pPr>
      <w:r>
        <w:t>28.4 Progress objective</w:t>
      </w:r>
    </w:p>
    <w:p>
      <w:pPr>
        <w:spacing w:after="120" w:line="259" w:lineRule="auto"/>
      </w:pPr>
      <w:r>
        <w:t>In parallel, compute progress toward Full-B quality. For example, ProgressGap = nDCG_fullB - nDCG_preview on a held-out progress set. A state may be safe but have poor progress, in which case the optimizer should continue migration rather than cut over. Conversely, a state may look close to Full-B but violate one protected constraint and therefore remain inadmissible.</w:t>
      </w:r>
    </w:p>
    <w:p>
      <w:r>
        <w:br w:type="page"/>
      </w:r>
    </w:p>
    <w:p>
      <w:pPr>
        <w:pStyle w:val="Heading1"/>
      </w:pPr>
      <w:r>
        <w:t>29. Dual-Native-Space Serving During Partial Migration</w:t>
      </w:r>
    </w:p>
    <w:p>
      <w:pPr>
        <w:spacing w:after="120" w:line="259" w:lineRule="auto"/>
      </w:pPr>
      <w:r>
        <w:t>Model-A and Model-B embeddings may have different dimensions, normalization conventions, training objectives, and score distributions. Raw cross-model cosine or L2 scores therefore cannot be treated as directly comparable. TopoPatch keeps each representation in its native sub-index and combines result order rather than raw distance.</w:t>
      </w:r>
    </w:p>
    <w:p>
      <w:pPr>
        <w:pStyle w:val="Heading2"/>
      </w:pPr>
      <w:r>
        <w:t>29.1 Query path</w:t>
      </w:r>
    </w:p>
    <w:p>
      <w:pPr>
        <w:spacing w:before="80" w:after="140"/>
        <w:ind w:left="259" w:right="259"/>
        <w:shd w:fill="F2F4F7"/>
      </w:pPr>
      <w:r>
        <w:rPr>
          <w:rFonts w:ascii="Consolas" w:hAnsi="Consolas"/>
          <w:sz w:val="18"/>
        </w:rPr>
        <w:t>q_A = E_A(query)</w:t>
        <w:br/>
        <w:t>q_B = E_B(query)</w:t>
        <w:br/>
        <w:br/>
        <w:t>R_A = LegacyIndex_A.search(q_A, k_A)</w:t>
        <w:br/>
        <w:t>R_B = NativeIndex_B.search(q_B, k_B)</w:t>
        <w:br/>
        <w:br/>
        <w:t>R = reciprocal_rank_fusion(R_A, R_B)</w:t>
        <w:br/>
        <w:t>R = deduplicate_by_object_id(R)</w:t>
        <w:br/>
        <w:t>return top_k(R)</w:t>
      </w:r>
    </w:p>
    <w:p>
      <w:pPr>
        <w:pStyle w:val="Heading2"/>
      </w:pPr>
      <w:r>
        <w:t>29.2 RRF baseline</w:t>
      </w:r>
    </w:p>
    <w:p>
      <w:pPr>
        <w:spacing w:after="120" w:line="259" w:lineRule="auto"/>
      </w:pPr>
      <w:r>
        <w:t>Reciprocal Rank Fusion is a sensible baseline because it combines rank positions rather than assuming score calibration across spaces. It is supporting infrastructure, not a novelty claim. The experiments should also include simple interleaving or normalized-rank fusion to test whether results depend critically on one fusion method.</w:t>
      </w:r>
    </w:p>
    <w:p>
      <w:pPr>
        <w:pStyle w:val="Heading2"/>
      </w:pPr>
      <w:r>
        <w:t>29.3 Object identity and deduplication</w:t>
      </w:r>
    </w:p>
    <w:p>
      <w:pPr>
        <w:spacing w:after="120" w:line="259" w:lineRule="auto"/>
      </w:pPr>
      <w:r>
        <w:t>During migration, the same logical object must not appear twice merely because A and B representations coexist in different stores. A version map decides which representation is active. Preview mode may temporarily expose a tentative B representation while masking the A representation of the same object. Fusion must deduplicate by stable object_id before top-k truncation.</w:t>
      </w:r>
    </w:p>
    <w:p>
      <w:r>
        <w:br w:type="page"/>
      </w:r>
    </w:p>
    <w:p>
      <w:pPr>
        <w:pStyle w:val="Heading1"/>
      </w:pPr>
      <w:r>
        <w:t>30. Stage D/E Implementation: Durable Migration and ANN Repair</w:t>
      </w:r>
    </w:p>
    <w:p>
      <w:pPr>
        <w:spacing w:after="120" w:line="259" w:lineRule="auto"/>
      </w:pPr>
      <w:r>
        <w:t>After a preview is admitted, the system performs the actual embedding and index mutation. The implementation must preserve source consistency, idempotency, and recoverability. These production details are not the main inventive step, but leaving them vague creates enablement and reproducibility problems.</w:t>
      </w:r>
    </w:p>
    <w:p>
      <w:pPr>
        <w:pStyle w:val="Heading2"/>
      </w:pPr>
      <w:r>
        <w:t>30.1 Source-version binding</w:t>
      </w:r>
    </w:p>
    <w:p>
      <w:pPr>
        <w:spacing w:before="80" w:after="140"/>
        <w:ind w:left="259" w:right="259"/>
        <w:shd w:fill="F2F4F7"/>
      </w:pPr>
      <w:r>
        <w:rPr>
          <w:rFonts w:ascii="Consolas" w:hAnsi="Consolas"/>
          <w:sz w:val="18"/>
        </w:rPr>
        <w:t>EmbeddingJob {</w:t>
        <w:br/>
        <w:t xml:space="preserve">  object_id</w:t>
        <w:br/>
        <w:t xml:space="preserve">  source_version</w:t>
        <w:br/>
        <w:t xml:space="preserve">  source_content_hash</w:t>
        <w:br/>
        <w:t xml:space="preserve">  model_B_version</w:t>
        <w:br/>
        <w:t xml:space="preserve">  migration_epoch</w:t>
        <w:br/>
        <w:t xml:space="preserve">  idempotency_key</w:t>
        <w:br/>
        <w:t>}</w:t>
        <w:br/>
        <w:br/>
        <w:t>Before commit:</w:t>
        <w:br/>
        <w:t xml:space="preserve">  assert current_source_version(object_id) == job.source_version</w:t>
        <w:br/>
        <w:t xml:space="preserve">  assert current_content_hash(object_id) == job.source_content_hash</w:t>
      </w:r>
    </w:p>
    <w:p>
      <w:pPr>
        <w:pStyle w:val="Heading2"/>
      </w:pPr>
      <w:r>
        <w:t>30.2 Atomic commit order</w:t>
      </w:r>
    </w:p>
    <w:p>
      <w:pPr>
        <w:pStyle w:val="ListNumber"/>
        <w:spacing w:after="40"/>
      </w:pPr>
      <w:r>
        <w:t>Validate source versions and model/version registry.</w:t>
      </w:r>
    </w:p>
    <w:p>
      <w:pPr>
        <w:pStyle w:val="ListNumber"/>
        <w:spacing w:after="40"/>
      </w:pPr>
      <w:r>
        <w:t>Ensure all required B vectors are materialized and checksummed.</w:t>
      </w:r>
    </w:p>
    <w:p>
      <w:pPr>
        <w:pStyle w:val="ListNumber"/>
        <w:spacing w:after="40"/>
      </w:pPr>
      <w:r>
        <w:t>Begin migration transaction or acquire commit guard for the epoch.</w:t>
      </w:r>
    </w:p>
    <w:p>
      <w:pPr>
        <w:pStyle w:val="ListNumber"/>
        <w:spacing w:after="40"/>
      </w:pPr>
      <w:r>
        <w:t>Insert/update B representations and B-index metadata.</w:t>
      </w:r>
    </w:p>
    <w:p>
      <w:pPr>
        <w:pStyle w:val="ListNumber"/>
        <w:spacing w:after="40"/>
      </w:pPr>
      <w:r>
        <w:t>Apply bounded ANN/partition repair where the selected backend requires it.</w:t>
      </w:r>
    </w:p>
    <w:p>
      <w:pPr>
        <w:pStyle w:val="ListNumber"/>
        <w:spacing w:after="40"/>
      </w:pPr>
      <w:r>
        <w:t>Update object version map and routing state.</w:t>
      </w:r>
    </w:p>
    <w:p>
      <w:pPr>
        <w:pStyle w:val="ListNumber"/>
        <w:spacing w:after="40"/>
      </w:pPr>
      <w:r>
        <w:t>Disable/remove corresponding A memberships only after B state is queryable.</w:t>
      </w:r>
    </w:p>
    <w:p>
      <w:pPr>
        <w:pStyle w:val="ListNumber"/>
        <w:spacing w:after="40"/>
      </w:pPr>
      <w:r>
        <w:t>Write commit manifest and durable evidence digest.</w:t>
      </w:r>
    </w:p>
    <w:p>
      <w:pPr>
        <w:pStyle w:val="ListNumber"/>
        <w:spacing w:after="40"/>
      </w:pPr>
      <w:r>
        <w:t>Release guard and re-run affected/held-out probes.</w:t>
      </w:r>
    </w:p>
    <w:p>
      <w:pPr>
        <w:pStyle w:val="Heading2"/>
      </w:pPr>
      <w:r>
        <w:t>30.3 ANN backends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Backend</w:t>
            </w:r>
          </w:p>
        </w:tc>
        <w:tc>
          <w:tcPr>
            <w:tcW w:type="dxa" w:w="3331"/>
            <w:shd w:fill="1F4E78"/>
            <w:vAlign w:val="center"/>
          </w:tcPr>
          <w:p>
            <w:r>
              <w:rPr>
                <w:b/>
                <w:color w:val="FFFFFF"/>
              </w:rPr>
              <w:t>Use in project</w:t>
            </w:r>
          </w:p>
        </w:tc>
        <w:tc>
          <w:tcPr>
            <w:tcW w:type="dxa" w:w="3331"/>
            <w:shd w:fill="1F4E78"/>
            <w:vAlign w:val="center"/>
          </w:tcPr>
          <w:p>
            <w:r>
              <w:rPr>
                <w:b/>
                <w:color w:val="FFFFFF"/>
              </w:rPr>
              <w:t>Notes</w:t>
            </w:r>
          </w:p>
        </w:tc>
      </w:tr>
      <w:tr>
        <w:tc>
          <w:tcPr>
            <w:tcW w:type="dxa" w:w="3331"/>
            <w:vAlign w:val="top"/>
          </w:tcPr>
          <w:p>
            <w:pPr>
              <w:spacing w:after="20"/>
            </w:pPr>
            <w:r>
              <w:rPr>
                <w:sz w:val="18"/>
              </w:rPr>
              <w:t>Exact NumPy/flat search</w:t>
            </w:r>
          </w:p>
        </w:tc>
        <w:tc>
          <w:tcPr>
            <w:tcW w:type="dxa" w:w="3331"/>
            <w:vAlign w:val="top"/>
          </w:tcPr>
          <w:p>
            <w:pPr>
              <w:spacing w:after="20"/>
            </w:pPr>
            <w:r>
              <w:rPr>
                <w:sz w:val="18"/>
              </w:rPr>
              <w:t>Ground-truth logic</w:t>
            </w:r>
          </w:p>
        </w:tc>
        <w:tc>
          <w:tcPr>
            <w:tcW w:type="dxa" w:w="3331"/>
            <w:vAlign w:val="top"/>
          </w:tcPr>
          <w:p>
            <w:pPr>
              <w:spacing w:after="20"/>
            </w:pPr>
            <w:r>
              <w:rPr>
                <w:sz w:val="18"/>
              </w:rPr>
              <w:t>Simplifies correctness before ANN approximation enters.</w:t>
            </w:r>
          </w:p>
        </w:tc>
      </w:tr>
      <w:tr>
        <w:tc>
          <w:tcPr>
            <w:tcW w:type="dxa" w:w="3331"/>
            <w:vAlign w:val="top"/>
          </w:tcPr>
          <w:p>
            <w:pPr>
              <w:spacing w:after="20"/>
            </w:pPr>
            <w:r>
              <w:rPr>
                <w:sz w:val="18"/>
              </w:rPr>
              <w:t>FAISS FlatIP/L2</w:t>
            </w:r>
          </w:p>
        </w:tc>
        <w:tc>
          <w:tcPr>
            <w:tcW w:type="dxa" w:w="3331"/>
            <w:vAlign w:val="top"/>
          </w:tcPr>
          <w:p>
            <w:pPr>
              <w:spacing w:after="20"/>
            </w:pPr>
            <w:r>
              <w:rPr>
                <w:sz w:val="18"/>
              </w:rPr>
              <w:t>MVP baseline</w:t>
            </w:r>
          </w:p>
        </w:tc>
        <w:tc>
          <w:tcPr>
            <w:tcW w:type="dxa" w:w="3331"/>
            <w:vAlign w:val="top"/>
          </w:tcPr>
          <w:p>
            <w:pPr>
              <w:spacing w:after="20"/>
            </w:pPr>
            <w:r>
              <w:rPr>
                <w:sz w:val="18"/>
              </w:rPr>
              <w:t>Simple local, reproducible and fast enough for 50k-200k vectors.</w:t>
            </w:r>
          </w:p>
        </w:tc>
      </w:tr>
      <w:tr>
        <w:tc>
          <w:tcPr>
            <w:tcW w:type="dxa" w:w="3331"/>
            <w:vAlign w:val="top"/>
          </w:tcPr>
          <w:p>
            <w:pPr>
              <w:spacing w:after="20"/>
            </w:pPr>
            <w:r>
              <w:rPr>
                <w:sz w:val="18"/>
              </w:rPr>
              <w:t>FAISS HNSW</w:t>
            </w:r>
          </w:p>
        </w:tc>
        <w:tc>
          <w:tcPr>
            <w:tcW w:type="dxa" w:w="3331"/>
            <w:vAlign w:val="top"/>
          </w:tcPr>
          <w:p>
            <w:pPr>
              <w:spacing w:after="20"/>
            </w:pPr>
            <w:r>
              <w:rPr>
                <w:sz w:val="18"/>
              </w:rPr>
              <w:t>ANN experiment</w:t>
            </w:r>
          </w:p>
        </w:tc>
        <w:tc>
          <w:tcPr>
            <w:tcW w:type="dxa" w:w="3331"/>
            <w:vAlign w:val="top"/>
          </w:tcPr>
          <w:p>
            <w:pPr>
              <w:spacing w:after="20"/>
            </w:pPr>
            <w:r>
              <w:rPr>
                <w:sz w:val="18"/>
              </w:rPr>
              <w:t>Lets you instrument graph behavior without external service complexity.</w:t>
            </w:r>
          </w:p>
        </w:tc>
      </w:tr>
      <w:tr>
        <w:tc>
          <w:tcPr>
            <w:tcW w:type="dxa" w:w="3331"/>
            <w:vAlign w:val="top"/>
          </w:tcPr>
          <w:p>
            <w:pPr>
              <w:spacing w:after="20"/>
            </w:pPr>
            <w:r>
              <w:rPr>
                <w:sz w:val="18"/>
              </w:rPr>
              <w:t>Qdrant HNSW</w:t>
            </w:r>
          </w:p>
        </w:tc>
        <w:tc>
          <w:tcPr>
            <w:tcW w:type="dxa" w:w="3331"/>
            <w:vAlign w:val="top"/>
          </w:tcPr>
          <w:p>
            <w:pPr>
              <w:spacing w:after="20"/>
            </w:pPr>
            <w:r>
              <w:rPr>
                <w:sz w:val="18"/>
              </w:rPr>
              <w:t>Production-like experiment</w:t>
            </w:r>
          </w:p>
        </w:tc>
        <w:tc>
          <w:tcPr>
            <w:tcW w:type="dxa" w:w="3331"/>
            <w:vAlign w:val="top"/>
          </w:tcPr>
          <w:p>
            <w:pPr>
              <w:spacing w:after="20"/>
            </w:pPr>
            <w:r>
              <w:rPr>
                <w:sz w:val="18"/>
              </w:rPr>
              <w:t>Useful for named vectors, API realism, storage/latency measurements.</w:t>
            </w:r>
          </w:p>
        </w:tc>
      </w:tr>
      <w:tr>
        <w:tc>
          <w:tcPr>
            <w:tcW w:type="dxa" w:w="3331"/>
            <w:vAlign w:val="top"/>
          </w:tcPr>
          <w:p>
            <w:pPr>
              <w:spacing w:after="20"/>
            </w:pPr>
            <w:r>
              <w:rPr>
                <w:sz w:val="18"/>
              </w:rPr>
              <w:t>DiskANN/SPANN-like system</w:t>
            </w:r>
          </w:p>
        </w:tc>
        <w:tc>
          <w:tcPr>
            <w:tcW w:type="dxa" w:w="3331"/>
            <w:vAlign w:val="top"/>
          </w:tcPr>
          <w:p>
            <w:pPr>
              <w:spacing w:after="20"/>
            </w:pPr>
            <w:r>
              <w:rPr>
                <w:sz w:val="18"/>
              </w:rPr>
              <w:t>Future scale work</w:t>
            </w:r>
          </w:p>
        </w:tc>
        <w:tc>
          <w:tcPr>
            <w:tcW w:type="dxa" w:w="3331"/>
            <w:vAlign w:val="top"/>
          </w:tcPr>
          <w:p>
            <w:pPr>
              <w:spacing w:after="20"/>
            </w:pPr>
            <w:r>
              <w:rPr>
                <w:sz w:val="18"/>
              </w:rPr>
              <w:t>Not required for initial patent-enablement prototype.</w:t>
            </w:r>
          </w:p>
        </w:tc>
      </w:tr>
    </w:tbl>
    <w:p/>
    <w:p>
      <w:pPr>
        <w:pStyle w:val="Heading2"/>
      </w:pPr>
      <w:r>
        <w:t>30.4 Dependency-cone measurement</w:t>
      </w:r>
    </w:p>
    <w:p>
      <w:pPr>
        <w:spacing w:after="120" w:line="259" w:lineRule="auto"/>
      </w:pPr>
      <w:r>
        <w:t>If using an instrumentable graph, define the dependency cone operationally: migrated node, outgoing/incoming neighbor candidates, affected entry paths, and any nodes reinsertion touches. Report the number of nodes/edges/partitions examined and changed. If the backend hides graph internals, report API-level update count, index-build CPU time and latency instead of pretending to know exact topology changes.</w:t>
      </w:r>
    </w:p>
    <w:p>
      <w:r>
        <w:br w:type="page"/>
      </w:r>
    </w:p>
    <w:p>
      <w:pPr>
        <w:pStyle w:val="Heading1"/>
      </w:pPr>
      <w:r>
        <w:t>31. Migration Transaction Model, Concurrency, Rollback and Recovery</w:t>
      </w:r>
    </w:p>
    <w:p>
      <w:pPr>
        <w:spacing w:after="120" w:line="259" w:lineRule="auto"/>
      </w:pPr>
      <w:r>
        <w:t>A real vector index may receive inserts, updates and deletes while migration is running. The research MVP can freeze the corpus, but the specification should include a production embodiment that prevents stale B embeddings from overwriting newer source content and ensures migration epochs are reproducible.</w:t>
      </w:r>
    </w:p>
    <w:p>
      <w:pPr>
        <w:pStyle w:val="Heading2"/>
      </w:pPr>
      <w:r>
        <w:t>31.1 Monotonic normal progression</w:t>
      </w:r>
    </w:p>
    <w:p>
      <w:pPr>
        <w:spacing w:after="120" w:line="259" w:lineRule="auto"/>
      </w:pPr>
      <w:r>
        <w:t>For ordinary A→B migration, define B_t ⊆ B_{t+1}. Once an object has a valid, committed B representation for the active source version, the optimizer does not return it to A. This prevents oscillation and simplifies cost accounting. A reversal is an explicit rollback to a prior migration epoch, not normal optimization behavior.</w:t>
      </w:r>
    </w:p>
    <w:p>
      <w:pPr>
        <w:pStyle w:val="Heading2"/>
      </w:pPr>
      <w:r>
        <w:t>31.2 Concurrent source updates</w:t>
      </w:r>
    </w:p>
    <w:p>
      <w:pPr>
        <w:spacing w:after="120" w:line="259" w:lineRule="auto"/>
      </w:pPr>
      <w:r>
        <w:t>Choose one of three production strategies: source-version validation at commit; dual-write new/updated source objects into both A and B during the migration window; or consume a change-log/CDC stream and requeue any source object changed after its B embedding was computed. The project MVP should implement source-version validation even if the corpus is otherwise frozen because it makes transaction semantics explicit and testable.</w:t>
      </w:r>
    </w:p>
    <w:p>
      <w:pPr>
        <w:pStyle w:val="Heading2"/>
      </w:pPr>
      <w:r>
        <w:t>31.3 Rollback manifest</w:t>
      </w:r>
    </w:p>
    <w:p>
      <w:pPr>
        <w:spacing w:before="80" w:after="140"/>
        <w:ind w:left="259" w:right="259"/>
        <w:shd w:fill="F2F4F7"/>
      </w:pPr>
      <w:r>
        <w:rPr>
          <w:rFonts w:ascii="Consolas" w:hAnsi="Consolas"/>
          <w:sz w:val="18"/>
        </w:rPr>
        <w:t>MigrationCommitManifest {</w:t>
        <w:br/>
        <w:t xml:space="preserve">  migration_epoch</w:t>
        <w:br/>
        <w:t xml:space="preserve">  previous_epoch</w:t>
        <w:br/>
        <w:t xml:space="preserve">  source_snapshot_id</w:t>
        <w:br/>
        <w:t xml:space="preserve">  migrated_object_ids</w:t>
        <w:br/>
        <w:t xml:space="preserve">  prior_version_map_digest</w:t>
        <w:br/>
        <w:t xml:space="preserve">  new_version_map_digest</w:t>
        <w:br/>
        <w:t xml:space="preserve">  A_index_digest_before_after</w:t>
        <w:br/>
        <w:t xml:space="preserve">  B_index_digest_before_after</w:t>
        <w:br/>
        <w:t xml:space="preserve">  routing_digest_before_after</w:t>
        <w:br/>
        <w:t xml:space="preserve">  barrier_evidence_ids</w:t>
        <w:br/>
        <w:t xml:space="preserve">  timestamp</w:t>
        <w:br/>
        <w:t>}</w:t>
      </w:r>
    </w:p>
    <w:p>
      <w:pPr>
        <w:spacing w:after="120" w:line="259" w:lineRule="auto"/>
      </w:pPr>
      <w:r>
        <w:t>Rollback does not need to be a patent feature. It is operational insurance and a reproducibility mechanism. For experiments, support restoring a checkpointed version map and rebuilding the small test indexes deterministically from saved embeddings.</w:t>
      </w:r>
    </w:p>
    <w:p>
      <w:r>
        <w:br w:type="page"/>
      </w:r>
    </w:p>
    <w:p>
      <w:pPr>
        <w:pStyle w:val="Heading1"/>
      </w:pPr>
      <w:r>
        <w:t>32. Database and Persistent Metadata Schema</w:t>
      </w:r>
    </w:p>
    <w:p>
      <w:pPr>
        <w:spacing w:after="120" w:line="259" w:lineRule="auto"/>
      </w:pPr>
      <w:r>
        <w:t>The prototype may use SQLite or PostgreSQL for control-plane metadata while vectors live in FAISS/Qdrant. Keep experiment state relational because it simplifies traceability and joins across queries, violations, witnesses, actions, previews and commits.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Table</w:t>
            </w:r>
          </w:p>
        </w:tc>
        <w:tc>
          <w:tcPr>
            <w:tcW w:type="dxa" w:w="3331"/>
            <w:shd w:fill="1F4E78"/>
            <w:vAlign w:val="center"/>
          </w:tcPr>
          <w:p>
            <w:r>
              <w:rPr>
                <w:b/>
                <w:color w:val="FFFFFF"/>
              </w:rPr>
              <w:t>Key columns</w:t>
            </w:r>
          </w:p>
        </w:tc>
        <w:tc>
          <w:tcPr>
            <w:tcW w:type="dxa" w:w="3331"/>
            <w:shd w:fill="1F4E78"/>
            <w:vAlign w:val="center"/>
          </w:tcPr>
          <w:p>
            <w:r>
              <w:rPr>
                <w:b/>
                <w:color w:val="FFFFFF"/>
              </w:rPr>
              <w:t>Purpose</w:t>
            </w:r>
          </w:p>
        </w:tc>
      </w:tr>
      <w:tr>
        <w:tc>
          <w:tcPr>
            <w:tcW w:type="dxa" w:w="3331"/>
            <w:vAlign w:val="top"/>
          </w:tcPr>
          <w:p>
            <w:pPr>
              <w:spacing w:after="20"/>
            </w:pPr>
            <w:r>
              <w:rPr>
                <w:sz w:val="18"/>
              </w:rPr>
              <w:t>model_pairs</w:t>
            </w:r>
          </w:p>
        </w:tc>
        <w:tc>
          <w:tcPr>
            <w:tcW w:type="dxa" w:w="3331"/>
            <w:vAlign w:val="top"/>
          </w:tcPr>
          <w:p>
            <w:pPr>
              <w:spacing w:after="20"/>
            </w:pPr>
            <w:r>
              <w:rPr>
                <w:sz w:val="18"/>
              </w:rPr>
              <w:t>pair_id, model_a, model_b, dims, metric, tokenizer/hash</w:t>
            </w:r>
          </w:p>
        </w:tc>
        <w:tc>
          <w:tcPr>
            <w:tcW w:type="dxa" w:w="3331"/>
            <w:vAlign w:val="top"/>
          </w:tcPr>
          <w:p>
            <w:pPr>
              <w:spacing w:after="20"/>
            </w:pPr>
            <w:r>
              <w:rPr>
                <w:sz w:val="18"/>
              </w:rPr>
              <w:t>Defines migration pair.</w:t>
            </w:r>
          </w:p>
        </w:tc>
      </w:tr>
      <w:tr>
        <w:tc>
          <w:tcPr>
            <w:tcW w:type="dxa" w:w="3331"/>
            <w:vAlign w:val="top"/>
          </w:tcPr>
          <w:p>
            <w:pPr>
              <w:spacing w:after="20"/>
            </w:pPr>
            <w:r>
              <w:rPr>
                <w:sz w:val="18"/>
              </w:rPr>
              <w:t>corpus_objects</w:t>
            </w:r>
          </w:p>
        </w:tc>
        <w:tc>
          <w:tcPr>
            <w:tcW w:type="dxa" w:w="3331"/>
            <w:vAlign w:val="top"/>
          </w:tcPr>
          <w:p>
            <w:pPr>
              <w:spacing w:after="20"/>
            </w:pPr>
            <w:r>
              <w:rPr>
                <w:sz w:val="18"/>
              </w:rPr>
              <w:t>object_id, source_version, content_hash, payload_ref</w:t>
            </w:r>
          </w:p>
        </w:tc>
        <w:tc>
          <w:tcPr>
            <w:tcW w:type="dxa" w:w="3331"/>
            <w:vAlign w:val="top"/>
          </w:tcPr>
          <w:p>
            <w:pPr>
              <w:spacing w:after="20"/>
            </w:pPr>
            <w:r>
              <w:rPr>
                <w:sz w:val="18"/>
              </w:rPr>
              <w:t>Stable source identity.</w:t>
            </w:r>
          </w:p>
        </w:tc>
      </w:tr>
      <w:tr>
        <w:tc>
          <w:tcPr>
            <w:tcW w:type="dxa" w:w="3331"/>
            <w:vAlign w:val="top"/>
          </w:tcPr>
          <w:p>
            <w:pPr>
              <w:spacing w:after="20"/>
            </w:pPr>
            <w:r>
              <w:rPr>
                <w:sz w:val="18"/>
              </w:rPr>
              <w:t>object_versions</w:t>
            </w:r>
          </w:p>
        </w:tc>
        <w:tc>
          <w:tcPr>
            <w:tcW w:type="dxa" w:w="3331"/>
            <w:vAlign w:val="top"/>
          </w:tcPr>
          <w:p>
            <w:pPr>
              <w:spacing w:after="20"/>
            </w:pPr>
            <w:r>
              <w:rPr>
                <w:sz w:val="18"/>
              </w:rPr>
              <w:t>object_id, active_model, migration_epoch, vector_ref</w:t>
            </w:r>
          </w:p>
        </w:tc>
        <w:tc>
          <w:tcPr>
            <w:tcW w:type="dxa" w:w="3331"/>
            <w:vAlign w:val="top"/>
          </w:tcPr>
          <w:p>
            <w:pPr>
              <w:spacing w:after="20"/>
            </w:pPr>
            <w:r>
              <w:rPr>
                <w:sz w:val="18"/>
              </w:rPr>
              <w:t>A/B membership and provenance.</w:t>
            </w:r>
          </w:p>
        </w:tc>
      </w:tr>
      <w:tr>
        <w:tc>
          <w:tcPr>
            <w:tcW w:type="dxa" w:w="3331"/>
            <w:vAlign w:val="top"/>
          </w:tcPr>
          <w:p>
            <w:pPr>
              <w:spacing w:after="20"/>
            </w:pPr>
            <w:r>
              <w:rPr>
                <w:sz w:val="18"/>
              </w:rPr>
              <w:t>queries</w:t>
            </w:r>
          </w:p>
        </w:tc>
        <w:tc>
          <w:tcPr>
            <w:tcW w:type="dxa" w:w="3331"/>
            <w:vAlign w:val="top"/>
          </w:tcPr>
          <w:p>
            <w:pPr>
              <w:spacing w:after="20"/>
            </w:pPr>
            <w:r>
              <w:rPr>
                <w:sz w:val="18"/>
              </w:rPr>
              <w:t>query_id, slice, text_hash, source, protected_flag</w:t>
            </w:r>
          </w:p>
        </w:tc>
        <w:tc>
          <w:tcPr>
            <w:tcW w:type="dxa" w:w="3331"/>
            <w:vAlign w:val="top"/>
          </w:tcPr>
          <w:p>
            <w:pPr>
              <w:spacing w:after="20"/>
            </w:pPr>
            <w:r>
              <w:rPr>
                <w:sz w:val="18"/>
              </w:rPr>
              <w:t>Probe registry.</w:t>
            </w:r>
          </w:p>
        </w:tc>
      </w:tr>
      <w:tr>
        <w:tc>
          <w:tcPr>
            <w:tcW w:type="dxa" w:w="3331"/>
            <w:vAlign w:val="top"/>
          </w:tcPr>
          <w:p>
            <w:pPr>
              <w:spacing w:after="20"/>
            </w:pPr>
            <w:r>
              <w:rPr>
                <w:sz w:val="18"/>
              </w:rPr>
              <w:t>constraints</w:t>
            </w:r>
          </w:p>
        </w:tc>
        <w:tc>
          <w:tcPr>
            <w:tcW w:type="dxa" w:w="3331"/>
            <w:vAlign w:val="top"/>
          </w:tcPr>
          <w:p>
            <w:pPr>
              <w:spacing w:after="20"/>
            </w:pPr>
            <w:r>
              <w:rPr>
                <w:sz w:val="18"/>
              </w:rPr>
              <w:t>constraint_id, query_id, type, parameters, severity</w:t>
            </w:r>
          </w:p>
        </w:tc>
        <w:tc>
          <w:tcPr>
            <w:tcW w:type="dxa" w:w="3331"/>
            <w:vAlign w:val="top"/>
          </w:tcPr>
          <w:p>
            <w:pPr>
              <w:spacing w:after="20"/>
            </w:pPr>
            <w:r>
              <w:rPr>
                <w:sz w:val="18"/>
              </w:rPr>
              <w:t>Machine-readable safety spec.</w:t>
            </w:r>
          </w:p>
        </w:tc>
      </w:tr>
      <w:tr>
        <w:tc>
          <w:tcPr>
            <w:tcW w:type="dxa" w:w="3331"/>
            <w:vAlign w:val="top"/>
          </w:tcPr>
          <w:p>
            <w:pPr>
              <w:spacing w:after="20"/>
            </w:pPr>
            <w:r>
              <w:rPr>
                <w:sz w:val="18"/>
              </w:rPr>
              <w:t>candidate_envelopes</w:t>
            </w:r>
          </w:p>
        </w:tc>
        <w:tc>
          <w:tcPr>
            <w:tcW w:type="dxa" w:w="3331"/>
            <w:vAlign w:val="top"/>
          </w:tcPr>
          <w:p>
            <w:pPr>
              <w:spacing w:after="20"/>
            </w:pPr>
            <w:r>
              <w:rPr>
                <w:sz w:val="18"/>
              </w:rPr>
              <w:t>envelope_id, query_id, round, residual_uncertainty, status</w:t>
            </w:r>
          </w:p>
        </w:tc>
        <w:tc>
          <w:tcPr>
            <w:tcW w:type="dxa" w:w="3331"/>
            <w:vAlign w:val="top"/>
          </w:tcPr>
          <w:p>
            <w:pPr>
              <w:spacing w:after="20"/>
            </w:pPr>
            <w:r>
              <w:rPr>
                <w:sz w:val="18"/>
              </w:rPr>
              <w:t>Candidate acquisition evidence.</w:t>
            </w:r>
          </w:p>
        </w:tc>
      </w:tr>
      <w:tr>
        <w:tc>
          <w:tcPr>
            <w:tcW w:type="dxa" w:w="3331"/>
            <w:vAlign w:val="top"/>
          </w:tcPr>
          <w:p>
            <w:pPr>
              <w:spacing w:after="20"/>
            </w:pPr>
            <w:r>
              <w:rPr>
                <w:sz w:val="18"/>
              </w:rPr>
              <w:t>violations</w:t>
            </w:r>
          </w:p>
        </w:tc>
        <w:tc>
          <w:tcPr>
            <w:tcW w:type="dxa" w:w="3331"/>
            <w:vAlign w:val="top"/>
          </w:tcPr>
          <w:p>
            <w:pPr>
              <w:spacing w:after="20"/>
            </w:pPr>
            <w:r>
              <w:rPr>
                <w:sz w:val="18"/>
              </w:rPr>
              <w:t>violation_id, query_id, constraint_id, severity, evidence_ref</w:t>
            </w:r>
          </w:p>
        </w:tc>
        <w:tc>
          <w:tcPr>
            <w:tcW w:type="dxa" w:w="3331"/>
            <w:vAlign w:val="top"/>
          </w:tcPr>
          <w:p>
            <w:pPr>
              <w:spacing w:after="20"/>
            </w:pPr>
            <w:r>
              <w:rPr>
                <w:sz w:val="18"/>
              </w:rPr>
              <w:t>Failures.</w:t>
            </w:r>
          </w:p>
        </w:tc>
      </w:tr>
      <w:tr>
        <w:tc>
          <w:tcPr>
            <w:tcW w:type="dxa" w:w="3331"/>
            <w:vAlign w:val="top"/>
          </w:tcPr>
          <w:p>
            <w:pPr>
              <w:spacing w:after="20"/>
            </w:pPr>
            <w:r>
              <w:rPr>
                <w:sz w:val="18"/>
              </w:rPr>
              <w:t>witness_actions</w:t>
            </w:r>
          </w:p>
        </w:tc>
        <w:tc>
          <w:tcPr>
            <w:tcW w:type="dxa" w:w="3331"/>
            <w:vAlign w:val="top"/>
          </w:tcPr>
          <w:p>
            <w:pPr>
              <w:spacing w:after="20"/>
            </w:pPr>
            <w:r>
              <w:rPr>
                <w:sz w:val="18"/>
              </w:rPr>
              <w:t>violation_id, action_id, effect fields, confidence</w:t>
            </w:r>
          </w:p>
        </w:tc>
        <w:tc>
          <w:tcPr>
            <w:tcW w:type="dxa" w:w="3331"/>
            <w:vAlign w:val="top"/>
          </w:tcPr>
          <w:p>
            <w:pPr>
              <w:spacing w:after="20"/>
            </w:pPr>
            <w:r>
              <w:rPr>
                <w:sz w:val="18"/>
              </w:rPr>
              <w:t>Counterfactual repair evidence.</w:t>
            </w:r>
          </w:p>
        </w:tc>
      </w:tr>
      <w:tr>
        <w:tc>
          <w:tcPr>
            <w:tcW w:type="dxa" w:w="3331"/>
            <w:vAlign w:val="top"/>
          </w:tcPr>
          <w:p>
            <w:pPr>
              <w:spacing w:after="20"/>
            </w:pPr>
            <w:r>
              <w:rPr>
                <w:sz w:val="18"/>
              </w:rPr>
              <w:t>migration_actions</w:t>
            </w:r>
          </w:p>
        </w:tc>
        <w:tc>
          <w:tcPr>
            <w:tcW w:type="dxa" w:w="3331"/>
            <w:vAlign w:val="top"/>
          </w:tcPr>
          <w:p>
            <w:pPr>
              <w:spacing w:after="20"/>
            </w:pPr>
            <w:r>
              <w:rPr>
                <w:sz w:val="18"/>
              </w:rPr>
              <w:t>action_id, object_ids, costs, ann_scope, status</w:t>
            </w:r>
          </w:p>
        </w:tc>
        <w:tc>
          <w:tcPr>
            <w:tcW w:type="dxa" w:w="3331"/>
            <w:vAlign w:val="top"/>
          </w:tcPr>
          <w:p>
            <w:pPr>
              <w:spacing w:after="20"/>
            </w:pPr>
            <w:r>
              <w:rPr>
                <w:sz w:val="18"/>
              </w:rPr>
              <w:t>Proposed repairs.</w:t>
            </w:r>
          </w:p>
        </w:tc>
      </w:tr>
      <w:tr>
        <w:tc>
          <w:tcPr>
            <w:tcW w:type="dxa" w:w="3331"/>
            <w:vAlign w:val="top"/>
          </w:tcPr>
          <w:p>
            <w:pPr>
              <w:spacing w:after="20"/>
            </w:pPr>
            <w:r>
              <w:rPr>
                <w:sz w:val="18"/>
              </w:rPr>
              <w:t>preview_states</w:t>
            </w:r>
          </w:p>
        </w:tc>
        <w:tc>
          <w:tcPr>
            <w:tcW w:type="dxa" w:w="3331"/>
            <w:vAlign w:val="top"/>
          </w:tcPr>
          <w:p>
            <w:pPr>
              <w:spacing w:after="20"/>
            </w:pPr>
            <w:r>
              <w:rPr>
                <w:sz w:val="18"/>
              </w:rPr>
              <w:t>preview_id, base_epoch, delta_ref, routing_ref, status</w:t>
            </w:r>
          </w:p>
        </w:tc>
        <w:tc>
          <w:tcPr>
            <w:tcW w:type="dxa" w:w="3331"/>
            <w:vAlign w:val="top"/>
          </w:tcPr>
          <w:p>
            <w:pPr>
              <w:spacing w:after="20"/>
            </w:pPr>
            <w:r>
              <w:rPr>
                <w:sz w:val="18"/>
              </w:rPr>
              <w:t>Non-durable candidate states.</w:t>
            </w:r>
          </w:p>
        </w:tc>
      </w:tr>
      <w:tr>
        <w:tc>
          <w:tcPr>
            <w:tcW w:type="dxa" w:w="3331"/>
            <w:vAlign w:val="top"/>
          </w:tcPr>
          <w:p>
            <w:pPr>
              <w:spacing w:after="20"/>
            </w:pPr>
            <w:r>
              <w:rPr>
                <w:sz w:val="18"/>
              </w:rPr>
              <w:t>barrier_evidence</w:t>
            </w:r>
          </w:p>
        </w:tc>
        <w:tc>
          <w:tcPr>
            <w:tcW w:type="dxa" w:w="3331"/>
            <w:vAlign w:val="top"/>
          </w:tcPr>
          <w:p>
            <w:pPr>
              <w:spacing w:after="20"/>
            </w:pPr>
            <w:r>
              <w:rPr>
                <w:sz w:val="18"/>
              </w:rPr>
              <w:t>evidence_id, preview_id, query_slice, lower_bound, pass_fail</w:t>
            </w:r>
          </w:p>
        </w:tc>
        <w:tc>
          <w:tcPr>
            <w:tcW w:type="dxa" w:w="3331"/>
            <w:vAlign w:val="top"/>
          </w:tcPr>
          <w:p>
            <w:pPr>
              <w:spacing w:after="20"/>
            </w:pPr>
            <w:r>
              <w:rPr>
                <w:sz w:val="18"/>
              </w:rPr>
              <w:t>Safety evidence.</w:t>
            </w:r>
          </w:p>
        </w:tc>
      </w:tr>
      <w:tr>
        <w:tc>
          <w:tcPr>
            <w:tcW w:type="dxa" w:w="3331"/>
            <w:vAlign w:val="top"/>
          </w:tcPr>
          <w:p>
            <w:pPr>
              <w:spacing w:after="20"/>
            </w:pPr>
            <w:r>
              <w:rPr>
                <w:sz w:val="18"/>
              </w:rPr>
              <w:t>commits</w:t>
            </w:r>
          </w:p>
        </w:tc>
        <w:tc>
          <w:tcPr>
            <w:tcW w:type="dxa" w:w="3331"/>
            <w:vAlign w:val="top"/>
          </w:tcPr>
          <w:p>
            <w:pPr>
              <w:spacing w:after="20"/>
            </w:pPr>
            <w:r>
              <w:rPr>
                <w:sz w:val="18"/>
              </w:rPr>
              <w:t>epoch, preview_id, manifest_ref, committed_at</w:t>
            </w:r>
          </w:p>
        </w:tc>
        <w:tc>
          <w:tcPr>
            <w:tcW w:type="dxa" w:w="3331"/>
            <w:vAlign w:val="top"/>
          </w:tcPr>
          <w:p>
            <w:pPr>
              <w:spacing w:after="20"/>
            </w:pPr>
            <w:r>
              <w:rPr>
                <w:sz w:val="18"/>
              </w:rPr>
              <w:t>Durable transitions.</w:t>
            </w:r>
          </w:p>
        </w:tc>
      </w:tr>
      <w:tr>
        <w:tc>
          <w:tcPr>
            <w:tcW w:type="dxa" w:w="3331"/>
            <w:vAlign w:val="top"/>
          </w:tcPr>
          <w:p>
            <w:pPr>
              <w:spacing w:after="20"/>
            </w:pPr>
            <w:r>
              <w:rPr>
                <w:sz w:val="18"/>
              </w:rPr>
              <w:t>counterexamples</w:t>
            </w:r>
          </w:p>
        </w:tc>
        <w:tc>
          <w:tcPr>
            <w:tcW w:type="dxa" w:w="3331"/>
            <w:vAlign w:val="top"/>
          </w:tcPr>
          <w:p>
            <w:pPr>
              <w:spacing w:after="20"/>
            </w:pPr>
            <w:r>
              <w:rPr>
                <w:sz w:val="18"/>
              </w:rPr>
              <w:t>query_id, first_seen_epoch, last_seen_epoch, tags</w:t>
            </w:r>
          </w:p>
        </w:tc>
        <w:tc>
          <w:tcPr>
            <w:tcW w:type="dxa" w:w="3331"/>
            <w:vAlign w:val="top"/>
          </w:tcPr>
          <w:p>
            <w:pPr>
              <w:spacing w:after="20"/>
            </w:pPr>
            <w:r>
              <w:rPr>
                <w:sz w:val="18"/>
              </w:rPr>
              <w:t>Persistent regression corpus.</w:t>
            </w:r>
          </w:p>
        </w:tc>
      </w:tr>
    </w:tbl>
    <w:p/>
    <w:p>
      <w:pPr>
        <w:pStyle w:val="Heading2"/>
      </w:pPr>
      <w:r>
        <w:t>32.1 Vector storage</w:t>
      </w:r>
    </w:p>
    <w:p>
      <w:pPr>
        <w:spacing w:after="120" w:line="259" w:lineRule="auto"/>
      </w:pPr>
      <w:r>
        <w:t>Store large vector arrays outside relational rows. For a local MVP, NumPy .npy/.npz files or memory-mapped arrays are simple. For FAISS, persist indexes plus a sidecar mapping from FAISS internal IDs to stable object IDs. For Qdrant, use payload metadata for object_id, source_version, model_version and migration_epoch. Never use position in an array as the only identity because partial updates change ordering.</w:t>
      </w:r>
    </w:p>
    <w:p>
      <w:r>
        <w:br w:type="page"/>
      </w:r>
    </w:p>
    <w:p>
      <w:pPr>
        <w:pStyle w:val="Heading1"/>
      </w:pPr>
      <w:r>
        <w:t>33. Backend Service/API Specification</w:t>
      </w:r>
    </w:p>
    <w:p>
      <w:pPr>
        <w:spacing w:after="120" w:line="259" w:lineRule="auto"/>
      </w:pPr>
      <w:r>
        <w:t>A clean backend API separates experiments from the dashboard. The first implementation can be a FastAPI service over local Python modules. The UI should never directly mutate vector indexes; all state transitions pass through the migration controller.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Method</w:t>
            </w:r>
          </w:p>
        </w:tc>
        <w:tc>
          <w:tcPr>
            <w:tcW w:type="dxa" w:w="3331"/>
            <w:shd w:fill="1F4E78"/>
            <w:vAlign w:val="center"/>
          </w:tcPr>
          <w:p>
            <w:r>
              <w:rPr>
                <w:b/>
                <w:color w:val="FFFFFF"/>
              </w:rPr>
              <w:t>Endpoint</w:t>
            </w:r>
          </w:p>
        </w:tc>
        <w:tc>
          <w:tcPr>
            <w:tcW w:type="dxa" w:w="3331"/>
            <w:shd w:fill="1F4E78"/>
            <w:vAlign w:val="center"/>
          </w:tcPr>
          <w:p>
            <w:r>
              <w:rPr>
                <w:b/>
                <w:color w:val="FFFFFF"/>
              </w:rPr>
              <w:t>Purpose</w:t>
            </w:r>
          </w:p>
        </w:tc>
      </w:tr>
      <w:tr>
        <w:tc>
          <w:tcPr>
            <w:tcW w:type="dxa" w:w="3331"/>
            <w:vAlign w:val="top"/>
          </w:tcPr>
          <w:p>
            <w:pPr>
              <w:spacing w:after="20"/>
            </w:pPr>
            <w:r>
              <w:rPr>
                <w:sz w:val="18"/>
              </w:rPr>
              <w:t>POST</w:t>
            </w:r>
          </w:p>
        </w:tc>
        <w:tc>
          <w:tcPr>
            <w:tcW w:type="dxa" w:w="3331"/>
            <w:vAlign w:val="top"/>
          </w:tcPr>
          <w:p>
            <w:pPr>
              <w:spacing w:after="20"/>
            </w:pPr>
            <w:r>
              <w:rPr>
                <w:sz w:val="18"/>
              </w:rPr>
              <w:t>/experiments</w:t>
            </w:r>
          </w:p>
        </w:tc>
        <w:tc>
          <w:tcPr>
            <w:tcW w:type="dxa" w:w="3331"/>
            <w:vAlign w:val="top"/>
          </w:tcPr>
          <w:p>
            <w:pPr>
              <w:spacing w:after="20"/>
            </w:pPr>
            <w:r>
              <w:rPr>
                <w:sz w:val="18"/>
              </w:rPr>
              <w:t>Create model-pair/corpus experiment.</w:t>
            </w:r>
          </w:p>
        </w:tc>
      </w:tr>
      <w:tr>
        <w:tc>
          <w:tcPr>
            <w:tcW w:type="dxa" w:w="3331"/>
            <w:vAlign w:val="top"/>
          </w:tcPr>
          <w:p>
            <w:pPr>
              <w:spacing w:after="20"/>
            </w:pPr>
            <w:r>
              <w:rPr>
                <w:sz w:val="18"/>
              </w:rPr>
              <w:t>POST</w:t>
            </w:r>
          </w:p>
        </w:tc>
        <w:tc>
          <w:tcPr>
            <w:tcW w:type="dxa" w:w="3331"/>
            <w:vAlign w:val="top"/>
          </w:tcPr>
          <w:p>
            <w:pPr>
              <w:spacing w:after="20"/>
            </w:pPr>
            <w:r>
              <w:rPr>
                <w:sz w:val="18"/>
              </w:rPr>
              <w:t>/experiments/{id}/ground-truth</w:t>
            </w:r>
          </w:p>
        </w:tc>
        <w:tc>
          <w:tcPr>
            <w:tcW w:type="dxa" w:w="3331"/>
            <w:vAlign w:val="top"/>
          </w:tcPr>
          <w:p>
            <w:pPr>
              <w:spacing w:after="20"/>
            </w:pPr>
            <w:r>
              <w:rPr>
                <w:sz w:val="18"/>
              </w:rPr>
              <w:t>Build evaluation-only Full-A/Full-B references.</w:t>
            </w:r>
          </w:p>
        </w:tc>
      </w:tr>
      <w:tr>
        <w:tc>
          <w:tcPr>
            <w:tcW w:type="dxa" w:w="3331"/>
            <w:vAlign w:val="top"/>
          </w:tcPr>
          <w:p>
            <w:pPr>
              <w:spacing w:after="20"/>
            </w:pPr>
            <w:r>
              <w:rPr>
                <w:sz w:val="18"/>
              </w:rPr>
              <w:t>POST</w:t>
            </w:r>
          </w:p>
        </w:tc>
        <w:tc>
          <w:tcPr>
            <w:tcW w:type="dxa" w:w="3331"/>
            <w:vAlign w:val="top"/>
          </w:tcPr>
          <w:p>
            <w:pPr>
              <w:spacing w:after="20"/>
            </w:pPr>
            <w:r>
              <w:rPr>
                <w:sz w:val="18"/>
              </w:rPr>
              <w:t>/experiments/{id}/probe</w:t>
            </w:r>
          </w:p>
        </w:tc>
        <w:tc>
          <w:tcPr>
            <w:tcW w:type="dxa" w:w="3331"/>
            <w:vAlign w:val="top"/>
          </w:tcPr>
          <w:p>
            <w:pPr>
              <w:spacing w:after="20"/>
            </w:pPr>
            <w:r>
              <w:rPr>
                <w:sz w:val="18"/>
              </w:rPr>
              <w:t>Run Stage A + Candidate Envelope.</w:t>
            </w:r>
          </w:p>
        </w:tc>
      </w:tr>
      <w:tr>
        <w:tc>
          <w:tcPr>
            <w:tcW w:type="dxa" w:w="3331"/>
            <w:vAlign w:val="top"/>
          </w:tcPr>
          <w:p>
            <w:pPr>
              <w:spacing w:after="20"/>
            </w:pPr>
            <w:r>
              <w:rPr>
                <w:sz w:val="18"/>
              </w:rPr>
              <w:t>GET</w:t>
            </w:r>
          </w:p>
        </w:tc>
        <w:tc>
          <w:tcPr>
            <w:tcW w:type="dxa" w:w="3331"/>
            <w:vAlign w:val="top"/>
          </w:tcPr>
          <w:p>
            <w:pPr>
              <w:spacing w:after="20"/>
            </w:pPr>
            <w:r>
              <w:rPr>
                <w:sz w:val="18"/>
              </w:rPr>
              <w:t>/experiments/{id}/violations</w:t>
            </w:r>
          </w:p>
        </w:tc>
        <w:tc>
          <w:tcPr>
            <w:tcW w:type="dxa" w:w="3331"/>
            <w:vAlign w:val="top"/>
          </w:tcPr>
          <w:p>
            <w:pPr>
              <w:spacing w:after="20"/>
            </w:pPr>
            <w:r>
              <w:rPr>
                <w:sz w:val="18"/>
              </w:rPr>
              <w:t>Inspect machine-readable failures.</w:t>
            </w:r>
          </w:p>
        </w:tc>
      </w:tr>
      <w:tr>
        <w:tc>
          <w:tcPr>
            <w:tcW w:type="dxa" w:w="3331"/>
            <w:vAlign w:val="top"/>
          </w:tcPr>
          <w:p>
            <w:pPr>
              <w:spacing w:after="20"/>
            </w:pPr>
            <w:r>
              <w:rPr>
                <w:sz w:val="18"/>
              </w:rPr>
              <w:t>POST</w:t>
            </w:r>
          </w:p>
        </w:tc>
        <w:tc>
          <w:tcPr>
            <w:tcW w:type="dxa" w:w="3331"/>
            <w:vAlign w:val="top"/>
          </w:tcPr>
          <w:p>
            <w:pPr>
              <w:spacing w:after="20"/>
            </w:pPr>
            <w:r>
              <w:rPr>
                <w:sz w:val="18"/>
              </w:rPr>
              <w:t>/experiments/{id}/witnesses</w:t>
            </w:r>
          </w:p>
        </w:tc>
        <w:tc>
          <w:tcPr>
            <w:tcW w:type="dxa" w:w="3331"/>
            <w:vAlign w:val="top"/>
          </w:tcPr>
          <w:p>
            <w:pPr>
              <w:spacing w:after="20"/>
            </w:pPr>
            <w:r>
              <w:rPr>
                <w:sz w:val="18"/>
              </w:rPr>
              <w:t>Build/update witness hypergraph.</w:t>
            </w:r>
          </w:p>
        </w:tc>
      </w:tr>
      <w:tr>
        <w:tc>
          <w:tcPr>
            <w:tcW w:type="dxa" w:w="3331"/>
            <w:vAlign w:val="top"/>
          </w:tcPr>
          <w:p>
            <w:pPr>
              <w:spacing w:after="20"/>
            </w:pPr>
            <w:r>
              <w:rPr>
                <w:sz w:val="18"/>
              </w:rPr>
              <w:t>POST</w:t>
            </w:r>
          </w:p>
        </w:tc>
        <w:tc>
          <w:tcPr>
            <w:tcW w:type="dxa" w:w="3331"/>
            <w:vAlign w:val="top"/>
          </w:tcPr>
          <w:p>
            <w:pPr>
              <w:spacing w:after="20"/>
            </w:pPr>
            <w:r>
              <w:rPr>
                <w:sz w:val="18"/>
              </w:rPr>
              <w:t>/experiments/{id}/actions/propose</w:t>
            </w:r>
          </w:p>
        </w:tc>
        <w:tc>
          <w:tcPr>
            <w:tcW w:type="dxa" w:w="3331"/>
            <w:vAlign w:val="top"/>
          </w:tcPr>
          <w:p>
            <w:pPr>
              <w:spacing w:after="20"/>
            </w:pPr>
            <w:r>
              <w:rPr>
                <w:sz w:val="18"/>
              </w:rPr>
              <w:t>Run repair solver.</w:t>
            </w:r>
          </w:p>
        </w:tc>
      </w:tr>
      <w:tr>
        <w:tc>
          <w:tcPr>
            <w:tcW w:type="dxa" w:w="3331"/>
            <w:vAlign w:val="top"/>
          </w:tcPr>
          <w:p>
            <w:pPr>
              <w:spacing w:after="20"/>
            </w:pPr>
            <w:r>
              <w:rPr>
                <w:sz w:val="18"/>
              </w:rPr>
              <w:t>POST</w:t>
            </w:r>
          </w:p>
        </w:tc>
        <w:tc>
          <w:tcPr>
            <w:tcW w:type="dxa" w:w="3331"/>
            <w:vAlign w:val="top"/>
          </w:tcPr>
          <w:p>
            <w:pPr>
              <w:spacing w:after="20"/>
            </w:pPr>
            <w:r>
              <w:rPr>
                <w:sz w:val="18"/>
              </w:rPr>
              <w:t>/experiments/{id}/actions/{action}/preview</w:t>
            </w:r>
          </w:p>
        </w:tc>
        <w:tc>
          <w:tcPr>
            <w:tcW w:type="dxa" w:w="3331"/>
            <w:vAlign w:val="top"/>
          </w:tcPr>
          <w:p>
            <w:pPr>
              <w:spacing w:after="20"/>
            </w:pPr>
            <w:r>
              <w:rPr>
                <w:sz w:val="18"/>
              </w:rPr>
              <w:t>Materialize ephemeral preview state.</w:t>
            </w:r>
          </w:p>
        </w:tc>
      </w:tr>
      <w:tr>
        <w:tc>
          <w:tcPr>
            <w:tcW w:type="dxa" w:w="3331"/>
            <w:vAlign w:val="top"/>
          </w:tcPr>
          <w:p>
            <w:pPr>
              <w:spacing w:after="20"/>
            </w:pPr>
            <w:r>
              <w:rPr>
                <w:sz w:val="18"/>
              </w:rPr>
              <w:t>POST</w:t>
            </w:r>
          </w:p>
        </w:tc>
        <w:tc>
          <w:tcPr>
            <w:tcW w:type="dxa" w:w="3331"/>
            <w:vAlign w:val="top"/>
          </w:tcPr>
          <w:p>
            <w:pPr>
              <w:spacing w:after="20"/>
            </w:pPr>
            <w:r>
              <w:rPr>
                <w:sz w:val="18"/>
              </w:rPr>
              <w:t>/experiments/{id}/previews/{preview}/evaluate</w:t>
            </w:r>
          </w:p>
        </w:tc>
        <w:tc>
          <w:tcPr>
            <w:tcW w:type="dxa" w:w="3331"/>
            <w:vAlign w:val="top"/>
          </w:tcPr>
          <w:p>
            <w:pPr>
              <w:spacing w:after="20"/>
            </w:pPr>
            <w:r>
              <w:rPr>
                <w:sz w:val="18"/>
              </w:rPr>
              <w:t>Run safety barrier.</w:t>
            </w:r>
          </w:p>
        </w:tc>
      </w:tr>
      <w:tr>
        <w:tc>
          <w:tcPr>
            <w:tcW w:type="dxa" w:w="3331"/>
            <w:vAlign w:val="top"/>
          </w:tcPr>
          <w:p>
            <w:pPr>
              <w:spacing w:after="20"/>
            </w:pPr>
            <w:r>
              <w:rPr>
                <w:sz w:val="18"/>
              </w:rPr>
              <w:t>POST</w:t>
            </w:r>
          </w:p>
        </w:tc>
        <w:tc>
          <w:tcPr>
            <w:tcW w:type="dxa" w:w="3331"/>
            <w:vAlign w:val="top"/>
          </w:tcPr>
          <w:p>
            <w:pPr>
              <w:spacing w:after="20"/>
            </w:pPr>
            <w:r>
              <w:rPr>
                <w:sz w:val="18"/>
              </w:rPr>
              <w:t>/experiments/{id}/previews/{preview}/commit</w:t>
            </w:r>
          </w:p>
        </w:tc>
        <w:tc>
          <w:tcPr>
            <w:tcW w:type="dxa" w:w="3331"/>
            <w:vAlign w:val="top"/>
          </w:tcPr>
          <w:p>
            <w:pPr>
              <w:spacing w:after="20"/>
            </w:pPr>
            <w:r>
              <w:rPr>
                <w:sz w:val="18"/>
              </w:rPr>
              <w:t>Guarded durable migration.</w:t>
            </w:r>
          </w:p>
        </w:tc>
      </w:tr>
      <w:tr>
        <w:tc>
          <w:tcPr>
            <w:tcW w:type="dxa" w:w="3331"/>
            <w:vAlign w:val="top"/>
          </w:tcPr>
          <w:p>
            <w:pPr>
              <w:spacing w:after="20"/>
            </w:pPr>
            <w:r>
              <w:rPr>
                <w:sz w:val="18"/>
              </w:rPr>
              <w:t>POST</w:t>
            </w:r>
          </w:p>
        </w:tc>
        <w:tc>
          <w:tcPr>
            <w:tcW w:type="dxa" w:w="3331"/>
            <w:vAlign w:val="top"/>
          </w:tcPr>
          <w:p>
            <w:pPr>
              <w:spacing w:after="20"/>
            </w:pPr>
            <w:r>
              <w:rPr>
                <w:sz w:val="18"/>
              </w:rPr>
              <w:t>/experiments/{id}/fallback</w:t>
            </w:r>
          </w:p>
        </w:tc>
        <w:tc>
          <w:tcPr>
            <w:tcW w:type="dxa" w:w="3331"/>
            <w:vAlign w:val="top"/>
          </w:tcPr>
          <w:p>
            <w:pPr>
              <w:spacing w:after="20"/>
            </w:pPr>
            <w:r>
              <w:rPr>
                <w:sz w:val="18"/>
              </w:rPr>
              <w:t>Activate or clear scoped fallback.</w:t>
            </w:r>
          </w:p>
        </w:tc>
      </w:tr>
      <w:tr>
        <w:tc>
          <w:tcPr>
            <w:tcW w:type="dxa" w:w="3331"/>
            <w:vAlign w:val="top"/>
          </w:tcPr>
          <w:p>
            <w:pPr>
              <w:spacing w:after="20"/>
            </w:pPr>
            <w:r>
              <w:rPr>
                <w:sz w:val="18"/>
              </w:rPr>
              <w:t>GET</w:t>
            </w:r>
          </w:p>
        </w:tc>
        <w:tc>
          <w:tcPr>
            <w:tcW w:type="dxa" w:w="3331"/>
            <w:vAlign w:val="top"/>
          </w:tcPr>
          <w:p>
            <w:pPr>
              <w:spacing w:after="20"/>
            </w:pPr>
            <w:r>
              <w:rPr>
                <w:sz w:val="18"/>
              </w:rPr>
              <w:t>/experiments/{id}/metrics</w:t>
            </w:r>
          </w:p>
        </w:tc>
        <w:tc>
          <w:tcPr>
            <w:tcW w:type="dxa" w:w="3331"/>
            <w:vAlign w:val="top"/>
          </w:tcPr>
          <w:p>
            <w:pPr>
              <w:spacing w:after="20"/>
            </w:pPr>
            <w:r>
              <w:rPr>
                <w:sz w:val="18"/>
              </w:rPr>
              <w:t>Retrieve cost, quality and safety metrics.</w:t>
            </w:r>
          </w:p>
        </w:tc>
      </w:tr>
      <w:tr>
        <w:tc>
          <w:tcPr>
            <w:tcW w:type="dxa" w:w="3331"/>
            <w:vAlign w:val="top"/>
          </w:tcPr>
          <w:p>
            <w:pPr>
              <w:spacing w:after="20"/>
            </w:pPr>
            <w:r>
              <w:rPr>
                <w:sz w:val="18"/>
              </w:rPr>
              <w:t>GET</w:t>
            </w:r>
          </w:p>
        </w:tc>
        <w:tc>
          <w:tcPr>
            <w:tcW w:type="dxa" w:w="3331"/>
            <w:vAlign w:val="top"/>
          </w:tcPr>
          <w:p>
            <w:pPr>
              <w:spacing w:after="20"/>
            </w:pPr>
            <w:r>
              <w:rPr>
                <w:sz w:val="18"/>
              </w:rPr>
              <w:t>/experiments/{id}/manifest</w:t>
            </w:r>
          </w:p>
        </w:tc>
        <w:tc>
          <w:tcPr>
            <w:tcW w:type="dxa" w:w="3331"/>
            <w:vAlign w:val="top"/>
          </w:tcPr>
          <w:p>
            <w:pPr>
              <w:spacing w:after="20"/>
            </w:pPr>
            <w:r>
              <w:rPr>
                <w:sz w:val="18"/>
              </w:rPr>
              <w:t>Export reproducibility manifest.</w:t>
            </w:r>
          </w:p>
        </w:tc>
      </w:tr>
    </w:tbl>
    <w:p/>
    <w:p>
      <w:pPr>
        <w:pStyle w:val="Heading2"/>
      </w:pPr>
      <w:r>
        <w:t>33.1 API invariants</w:t>
      </w:r>
    </w:p>
    <w:p>
      <w:pPr>
        <w:pStyle w:val="ListBullet"/>
        <w:spacing w:after="40"/>
      </w:pPr>
      <w:r>
        <w:t>Commit endpoint rejects previews whose barrier decision is not PASS for the current evidence version.</w:t>
      </w:r>
    </w:p>
    <w:p>
      <w:pPr>
        <w:pStyle w:val="ListBullet"/>
        <w:spacing w:after="40"/>
      </w:pPr>
      <w:r>
        <w:t>Commit endpoint rejects previews whose base migration epoch is stale.</w:t>
      </w:r>
    </w:p>
    <w:p>
      <w:pPr>
        <w:pStyle w:val="ListBullet"/>
        <w:spacing w:after="40"/>
      </w:pPr>
      <w:r>
        <w:t>Embedding jobs are idempotent by object/source/model/epoch key.</w:t>
      </w:r>
    </w:p>
    <w:p>
      <w:pPr>
        <w:pStyle w:val="ListBullet"/>
        <w:spacing w:after="40"/>
      </w:pPr>
      <w:r>
        <w:t>Ground-truth endpoints mark all produced B vectors as evaluation-only so they are never counted as charged algorithm work.</w:t>
      </w:r>
    </w:p>
    <w:p>
      <w:pPr>
        <w:pStyle w:val="ListBullet"/>
        <w:spacing w:after="40"/>
      </w:pPr>
      <w:r>
        <w:t>Every mutating response returns a manifest/digest suitable for experiment replay.</w:t>
      </w:r>
    </w:p>
    <w:p>
      <w:r>
        <w:br w:type="page"/>
      </w:r>
    </w:p>
    <w:p>
      <w:pPr>
        <w:pStyle w:val="Heading1"/>
      </w:pPr>
      <w:r>
        <w:t>34. Repository Structure and Module Boundaries</w:t>
      </w:r>
    </w:p>
    <w:p>
      <w:pPr>
        <w:spacing w:before="80" w:after="140"/>
        <w:ind w:left="259" w:right="259"/>
        <w:shd w:fill="F2F4F7"/>
      </w:pPr>
      <w:r>
        <w:rPr>
          <w:rFonts w:ascii="Consolas" w:hAnsi="Consolas"/>
          <w:sz w:val="18"/>
        </w:rPr>
        <w:t>topopatch/</w:t>
        <w:br/>
        <w:t>├── README_PRIVATE.md</w:t>
        <w:br/>
        <w:t>├── pyproject.toml</w:t>
        <w:br/>
        <w:t>├── configs/</w:t>
        <w:br/>
        <w:t>│   ├── experiments/</w:t>
        <w:br/>
        <w:t>│   └── model_pairs/</w:t>
        <w:br/>
        <w:t>├── data/                  # local/private or pointers only</w:t>
        <w:br/>
        <w:t>├── src/topopatch/</w:t>
        <w:br/>
        <w:t>│   ├── models/            # embedding adapters</w:t>
        <w:br/>
        <w:t>│   ├── indexes/           # FAISS/Qdrant adapters</w:t>
        <w:br/>
        <w:t>│   ├── retrieval/         # dual-space search + fusion</w:t>
        <w:br/>
        <w:t>│   ├── envelope/          # Candidate Envelope</w:t>
        <w:br/>
        <w:t>│   ├── constraints/       # protected retrieval DSL/evaluator</w:t>
        <w:br/>
        <w:t>│   ├── probing/           # Stage A</w:t>
        <w:br/>
        <w:t>│   ├── witnesses/         # Stage B</w:t>
        <w:br/>
        <w:t>│   ├── optimizer/         # Stage C</w:t>
        <w:br/>
        <w:t>│   ├── preview/           # ephemeral state materialization</w:t>
        <w:br/>
        <w:t>│   ├── barrier/           # Stage F</w:t>
        <w:br/>
        <w:t>│   ├── migration/         # Stage D + transaction model</w:t>
        <w:br/>
        <w:t>│   ├── ann_repair/        # Stage E experiments</w:t>
        <w:br/>
        <w:t>│   ├── fallback/          # Stage G</w:t>
        <w:br/>
        <w:t>│   ├── metrics/</w:t>
        <w:br/>
        <w:t>│   └── manifests/</w:t>
        <w:br/>
        <w:t>├── api/                   # FastAPI routes/schemas</w:t>
        <w:br/>
        <w:t>├── dashboard/             # Next.js/Tailwind optional UI</w:t>
        <w:br/>
        <w:t>├── experiments/           # reproducible scripts/notebooks</w:t>
        <w:br/>
        <w:t>├── tests/</w:t>
        <w:br/>
        <w:t>│   ├── unit/</w:t>
        <w:br/>
        <w:t>│   ├── integration/</w:t>
        <w:br/>
        <w:t>│   ├── regression/</w:t>
        <w:br/>
        <w:t>│   └── failure_injection/</w:t>
        <w:br/>
        <w:t>├── artifacts_private/     # plots, claim evidence, diagrams</w:t>
        <w:br/>
        <w:t>└── docs_private/          # invention disclosure, patent notes</w:t>
      </w:r>
    </w:p>
    <w:p>
      <w:pPr>
        <w:pStyle w:val="Heading2"/>
      </w:pPr>
      <w:r>
        <w:t>34.1 Engineering rule</w:t>
      </w:r>
    </w:p>
    <w:p>
      <w:pPr>
        <w:spacing w:after="120" w:line="259" w:lineRule="auto"/>
      </w:pPr>
      <w:r>
        <w:t>The algorithmic core must run without the dashboard. A single CLI command should be able to reproduce a complete benchmark from a configuration file. This protects the research from UI coupling and makes it easier to hand the code, manifests and measured evidence to a patent professional or paper reviewer.</w:t>
      </w:r>
    </w:p>
    <w:p>
      <w:r>
        <w:br w:type="page"/>
      </w:r>
    </w:p>
    <w:p>
      <w:pPr>
        <w:pStyle w:val="Heading1"/>
      </w:pPr>
      <w:r>
        <w:t>35. Configuration and Experiment Manifest Design</w:t>
      </w:r>
    </w:p>
    <w:p>
      <w:pPr>
        <w:spacing w:after="120" w:line="259" w:lineRule="auto"/>
      </w:pPr>
      <w:r>
        <w:t>Every benchmark should be reproducible from one immutable manifest. Do not rely on notebook state. Record model revisions, library versions, dataset hashes, index parameters, seeds, machine details and all safety thresholds.</w:t>
      </w:r>
    </w:p>
    <w:p>
      <w:pPr>
        <w:spacing w:before="80" w:after="140"/>
        <w:ind w:left="259" w:right="259"/>
        <w:shd w:fill="F2F4F7"/>
      </w:pPr>
      <w:r>
        <w:rPr>
          <w:rFonts w:ascii="Consolas" w:hAnsi="Consolas"/>
          <w:sz w:val="18"/>
        </w:rPr>
        <w:t>experiment.yaml</w:t>
        <w:br/>
        <w:t>project: topopatch-cmr-v4.1</w:t>
        <w:br/>
        <w:t>dataset:</w:t>
        <w:br/>
        <w:t xml:space="preserve">  name: scifact</w:t>
        <w:br/>
        <w:t xml:space="preserve">  corpus_hash: ...</w:t>
        <w:br/>
        <w:t>models:</w:t>
        <w:br/>
        <w:t xml:space="preserve">  A: sentence-transformers/all-MiniLM-L6-v2@&lt;revision&gt;</w:t>
        <w:br/>
        <w:t xml:space="preserve">  B: &lt;chosen-target-model&gt;@&lt;revision&gt;</w:t>
        <w:br/>
        <w:t>index:</w:t>
        <w:br/>
        <w:t xml:space="preserve">  backend: faiss</w:t>
        <w:br/>
        <w:t xml:space="preserve">  type: flat-ip</w:t>
        <w:br/>
        <w:t xml:space="preserve">  normalize: true</w:t>
        <w:br/>
        <w:t>queries:</w:t>
        <w:br/>
        <w:t xml:space="preserve">  protected_file: ...</w:t>
        <w:br/>
        <w:t xml:space="preserve">  progress_file: ...</w:t>
        <w:br/>
        <w:t>candidate_envelope:</w:t>
        <w:br/>
        <w:t xml:space="preserve">  top_L_A: 100</w:t>
        <w:br/>
        <w:t xml:space="preserve">  lexical_k: 50</w:t>
        <w:br/>
        <w:t xml:space="preserve">  audit_rate: 0.01</w:t>
        <w:br/>
        <w:t>optimizer:</w:t>
        <w:br/>
        <w:t xml:space="preserve">  mode: greedy</w:t>
        <w:br/>
        <w:t>barrier:</w:t>
        <w:br/>
        <w:t xml:space="preserve">  mode: exact_or_bounded</w:t>
        <w:br/>
        <w:t xml:space="preserve">  config: ...</w:t>
        <w:br/>
        <w:t>seeds: [1,2,3,4,5]</w:t>
        <w:br/>
        <w:t>resource_accounting:</w:t>
        <w:br/>
        <w:t xml:space="preserve">  count_ground_truth_B: false</w:t>
      </w:r>
    </w:p>
    <w:p>
      <w:pPr>
        <w:pStyle w:val="Heading2"/>
      </w:pPr>
      <w:r>
        <w:t>35.1 Hash everything that matters</w:t>
      </w:r>
    </w:p>
    <w:p>
      <w:pPr>
        <w:spacing w:after="120" w:line="259" w:lineRule="auto"/>
      </w:pPr>
      <w:r>
        <w:t>At minimum hash the corpus, query sets, qrels, source text, model revision identifiers, generated embeddings, index artifacts and experiment configuration. This prevents a later problem where benchmark numbers cannot be reproduced because a hosted model or dataset silently changed.</w:t>
      </w:r>
    </w:p>
    <w:p>
      <w:r>
        <w:br w:type="page"/>
      </w:r>
    </w:p>
    <w:p>
      <w:pPr>
        <w:pStyle w:val="Heading1"/>
      </w:pPr>
      <w:r>
        <w:t>36. Dataset Strategy</w:t>
      </w:r>
    </w:p>
    <w:p>
      <w:pPr>
        <w:spacing w:after="120" w:line="259" w:lineRule="auto"/>
      </w:pPr>
      <w:r>
        <w:t>The first goal is not to prove billion-scale performance. It is to establish the mechanism with clean ground truth and enough data to create real ranking changes. Use public information-retrieval datasets with qrels so the protected safety floor can be tied to relevance labels rather than to blind preservation of Model A.</w:t>
      </w:r>
    </w:p>
    <w:p>
      <w:pPr>
        <w:pStyle w:val="Heading2"/>
      </w:pPr>
      <w:r>
        <w:t>36.1 Recommended progression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Phase</w:t>
            </w:r>
          </w:p>
        </w:tc>
        <w:tc>
          <w:tcPr>
            <w:tcW w:type="dxa" w:w="3331"/>
            <w:shd w:fill="1F4E78"/>
            <w:vAlign w:val="center"/>
          </w:tcPr>
          <w:p>
            <w:r>
              <w:rPr>
                <w:b/>
                <w:color w:val="FFFFFF"/>
              </w:rPr>
              <w:t>Dataset scale</w:t>
            </w:r>
          </w:p>
        </w:tc>
        <w:tc>
          <w:tcPr>
            <w:tcW w:type="dxa" w:w="3331"/>
            <w:shd w:fill="1F4E78"/>
            <w:vAlign w:val="center"/>
          </w:tcPr>
          <w:p>
            <w:r>
              <w:rPr>
                <w:b/>
                <w:color w:val="FFFFFF"/>
              </w:rPr>
              <w:t>Purpose</w:t>
            </w:r>
          </w:p>
        </w:tc>
      </w:tr>
      <w:tr>
        <w:tc>
          <w:tcPr>
            <w:tcW w:type="dxa" w:w="3331"/>
            <w:vAlign w:val="top"/>
          </w:tcPr>
          <w:p>
            <w:pPr>
              <w:spacing w:after="20"/>
            </w:pPr>
            <w:r>
              <w:rPr>
                <w:sz w:val="18"/>
              </w:rPr>
              <w:t>Smoke test</w:t>
            </w:r>
          </w:p>
        </w:tc>
        <w:tc>
          <w:tcPr>
            <w:tcW w:type="dxa" w:w="3331"/>
            <w:vAlign w:val="top"/>
          </w:tcPr>
          <w:p>
            <w:pPr>
              <w:spacing w:after="20"/>
            </w:pPr>
            <w:r>
              <w:rPr>
                <w:sz w:val="18"/>
              </w:rPr>
              <w:t>1k-5k synthetic or curated docs</w:t>
            </w:r>
          </w:p>
        </w:tc>
        <w:tc>
          <w:tcPr>
            <w:tcW w:type="dxa" w:w="3331"/>
            <w:vAlign w:val="top"/>
          </w:tcPr>
          <w:p>
            <w:pPr>
              <w:spacing w:after="20"/>
            </w:pPr>
            <w:r>
              <w:rPr>
                <w:sz w:val="18"/>
              </w:rPr>
              <w:t>Debug state transitions, IDs, constraints and preview logic.</w:t>
            </w:r>
          </w:p>
        </w:tc>
      </w:tr>
      <w:tr>
        <w:tc>
          <w:tcPr>
            <w:tcW w:type="dxa" w:w="3331"/>
            <w:vAlign w:val="top"/>
          </w:tcPr>
          <w:p>
            <w:pPr>
              <w:spacing w:after="20"/>
            </w:pPr>
            <w:r>
              <w:rPr>
                <w:sz w:val="18"/>
              </w:rPr>
              <w:t>Core benchmark</w:t>
            </w:r>
          </w:p>
        </w:tc>
        <w:tc>
          <w:tcPr>
            <w:tcW w:type="dxa" w:w="3331"/>
            <w:vAlign w:val="top"/>
          </w:tcPr>
          <w:p>
            <w:pPr>
              <w:spacing w:after="20"/>
            </w:pPr>
            <w:r>
              <w:rPr>
                <w:sz w:val="18"/>
              </w:rPr>
              <w:t>BEIR-style 5k-100k corpus</w:t>
            </w:r>
          </w:p>
        </w:tc>
        <w:tc>
          <w:tcPr>
            <w:tcW w:type="dxa" w:w="3331"/>
            <w:vAlign w:val="top"/>
          </w:tcPr>
          <w:p>
            <w:pPr>
              <w:spacing w:after="20"/>
            </w:pPr>
            <w:r>
              <w:rPr>
                <w:sz w:val="18"/>
              </w:rPr>
              <w:t>Measure retrieval quality and selective migration behavior with qrels.</w:t>
            </w:r>
          </w:p>
        </w:tc>
      </w:tr>
      <w:tr>
        <w:tc>
          <w:tcPr>
            <w:tcW w:type="dxa" w:w="3331"/>
            <w:vAlign w:val="top"/>
          </w:tcPr>
          <w:p>
            <w:pPr>
              <w:spacing w:after="20"/>
            </w:pPr>
            <w:r>
              <w:rPr>
                <w:sz w:val="18"/>
              </w:rPr>
              <w:t>Stress benchmark</w:t>
            </w:r>
          </w:p>
        </w:tc>
        <w:tc>
          <w:tcPr>
            <w:tcW w:type="dxa" w:w="3331"/>
            <w:vAlign w:val="top"/>
          </w:tcPr>
          <w:p>
            <w:pPr>
              <w:spacing w:after="20"/>
            </w:pPr>
            <w:r>
              <w:rPr>
                <w:sz w:val="18"/>
              </w:rPr>
              <w:t>100k-1M corpus</w:t>
            </w:r>
          </w:p>
        </w:tc>
        <w:tc>
          <w:tcPr>
            <w:tcW w:type="dxa" w:w="3331"/>
            <w:vAlign w:val="top"/>
          </w:tcPr>
          <w:p>
            <w:pPr>
              <w:spacing w:after="20"/>
            </w:pPr>
            <w:r>
              <w:rPr>
                <w:sz w:val="18"/>
              </w:rPr>
              <w:t>Measure Candidate Envelope cost, cache effects and ANN update overhead.</w:t>
            </w:r>
          </w:p>
        </w:tc>
      </w:tr>
      <w:tr>
        <w:tc>
          <w:tcPr>
            <w:tcW w:type="dxa" w:w="3331"/>
            <w:vAlign w:val="top"/>
          </w:tcPr>
          <w:p>
            <w:pPr>
              <w:spacing w:after="20"/>
            </w:pPr>
            <w:r>
              <w:rPr>
                <w:sz w:val="18"/>
              </w:rPr>
              <w:t>Production-like</w:t>
            </w:r>
          </w:p>
        </w:tc>
        <w:tc>
          <w:tcPr>
            <w:tcW w:type="dxa" w:w="3331"/>
            <w:vAlign w:val="top"/>
          </w:tcPr>
          <w:p>
            <w:pPr>
              <w:spacing w:after="20"/>
            </w:pPr>
            <w:r>
              <w:rPr>
                <w:sz w:val="18"/>
              </w:rPr>
              <w:t>Optional 1M+ with Qdrant/FAISS ANN</w:t>
            </w:r>
          </w:p>
        </w:tc>
        <w:tc>
          <w:tcPr>
            <w:tcW w:type="dxa" w:w="3331"/>
            <w:vAlign w:val="top"/>
          </w:tcPr>
          <w:p>
            <w:pPr>
              <w:spacing w:after="20"/>
            </w:pPr>
            <w:r>
              <w:rPr>
                <w:sz w:val="18"/>
              </w:rPr>
              <w:t>Demonstrate systems behavior after core hypothesis succeeds.</w:t>
            </w:r>
          </w:p>
        </w:tc>
      </w:tr>
    </w:tbl>
    <w:p/>
    <w:p>
      <w:pPr>
        <w:pStyle w:val="Heading2"/>
      </w:pPr>
      <w:r>
        <w:t>36.2 Dataset selection criteria</w:t>
      </w:r>
    </w:p>
    <w:p>
      <w:pPr>
        <w:pStyle w:val="ListBullet"/>
        <w:spacing w:after="40"/>
      </w:pPr>
      <w:r>
        <w:t>Public license suitable for research reproduction.</w:t>
      </w:r>
    </w:p>
    <w:p>
      <w:pPr>
        <w:pStyle w:val="ListBullet"/>
        <w:spacing w:after="40"/>
      </w:pPr>
      <w:r>
        <w:t>Query relevance labels/qrels available.</w:t>
      </w:r>
    </w:p>
    <w:p>
      <w:pPr>
        <w:pStyle w:val="ListBullet"/>
        <w:spacing w:after="40"/>
      </w:pPr>
      <w:r>
        <w:t>Enough semantic diversity that A and B do not produce identical rankings.</w:t>
      </w:r>
    </w:p>
    <w:p>
      <w:pPr>
        <w:pStyle w:val="ListBullet"/>
        <w:spacing w:after="40"/>
      </w:pPr>
      <w:r>
        <w:t>Corpus large enough that full B backfill has meaningful cost relative to selective materialization.</w:t>
      </w:r>
    </w:p>
    <w:p>
      <w:pPr>
        <w:pStyle w:val="ListBullet"/>
        <w:spacing w:after="40"/>
      </w:pPr>
      <w:r>
        <w:t>No private or personal data needed for the patent-enablement prototype.</w:t>
      </w:r>
    </w:p>
    <w:p>
      <w:r>
        <w:br w:type="page"/>
      </w:r>
    </w:p>
    <w:p>
      <w:pPr>
        <w:pStyle w:val="Heading1"/>
      </w:pPr>
      <w:r>
        <w:t>37. Model-Pair Selection Strategy</w:t>
      </w:r>
    </w:p>
    <w:p>
      <w:pPr>
        <w:spacing w:after="120" w:line="259" w:lineRule="auto"/>
      </w:pPr>
      <w:r>
        <w:t>TopoPatch requires model pairs that create a meaningful migration problem. If A and B are almost identical, there may be too few violations to test repair; if they are completely unrelated, partial migration may be impossible and the project will trivially fall back to full migration. Use at least three model-pair regimes.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Regime</w:t>
            </w:r>
          </w:p>
        </w:tc>
        <w:tc>
          <w:tcPr>
            <w:tcW w:type="dxa" w:w="3331"/>
            <w:shd w:fill="1F4E78"/>
            <w:vAlign w:val="center"/>
          </w:tcPr>
          <w:p>
            <w:r>
              <w:rPr>
                <w:b/>
                <w:color w:val="FFFFFF"/>
              </w:rPr>
              <w:t>Purpose</w:t>
            </w:r>
          </w:p>
        </w:tc>
        <w:tc>
          <w:tcPr>
            <w:tcW w:type="dxa" w:w="3331"/>
            <w:shd w:fill="1F4E78"/>
            <w:vAlign w:val="center"/>
          </w:tcPr>
          <w:p>
            <w:r>
              <w:rPr>
                <w:b/>
                <w:color w:val="FFFFFF"/>
              </w:rPr>
              <w:t>Expected behavior</w:t>
            </w:r>
          </w:p>
        </w:tc>
      </w:tr>
      <w:tr>
        <w:tc>
          <w:tcPr>
            <w:tcW w:type="dxa" w:w="3331"/>
            <w:vAlign w:val="top"/>
          </w:tcPr>
          <w:p>
            <w:pPr>
              <w:spacing w:after="20"/>
            </w:pPr>
            <w:r>
              <w:rPr>
                <w:sz w:val="18"/>
              </w:rPr>
              <w:t>Mild drift</w:t>
            </w:r>
          </w:p>
        </w:tc>
        <w:tc>
          <w:tcPr>
            <w:tcW w:type="dxa" w:w="3331"/>
            <w:vAlign w:val="top"/>
          </w:tcPr>
          <w:p>
            <w:pPr>
              <w:spacing w:after="20"/>
            </w:pPr>
            <w:r>
              <w:rPr>
                <w:sz w:val="18"/>
              </w:rPr>
              <w:t>Nearby model revisions/families</w:t>
            </w:r>
          </w:p>
        </w:tc>
        <w:tc>
          <w:tcPr>
            <w:tcW w:type="dxa" w:w="3331"/>
            <w:vAlign w:val="top"/>
          </w:tcPr>
          <w:p>
            <w:pPr>
              <w:spacing w:after="20"/>
            </w:pPr>
            <w:r>
              <w:rPr>
                <w:sz w:val="18"/>
              </w:rPr>
              <w:t>Tests whether TopoPatch avoids unnecessary backfill.</w:t>
            </w:r>
          </w:p>
        </w:tc>
      </w:tr>
      <w:tr>
        <w:tc>
          <w:tcPr>
            <w:tcW w:type="dxa" w:w="3331"/>
            <w:vAlign w:val="top"/>
          </w:tcPr>
          <w:p>
            <w:pPr>
              <w:spacing w:after="20"/>
            </w:pPr>
            <w:r>
              <w:rPr>
                <w:sz w:val="18"/>
              </w:rPr>
              <w:t>Moderate drift</w:t>
            </w:r>
          </w:p>
        </w:tc>
        <w:tc>
          <w:tcPr>
            <w:tcW w:type="dxa" w:w="3331"/>
            <w:vAlign w:val="top"/>
          </w:tcPr>
          <w:p>
            <w:pPr>
              <w:spacing w:after="20"/>
            </w:pPr>
            <w:r>
              <w:rPr>
                <w:sz w:val="18"/>
              </w:rPr>
              <w:t>Different architecture/training data, similar semantic task</w:t>
            </w:r>
          </w:p>
        </w:tc>
        <w:tc>
          <w:tcPr>
            <w:tcW w:type="dxa" w:w="3331"/>
            <w:vAlign w:val="top"/>
          </w:tcPr>
          <w:p>
            <w:pPr>
              <w:spacing w:after="20"/>
            </w:pPr>
            <w:r>
              <w:rPr>
                <w:sz w:val="18"/>
              </w:rPr>
              <w:t>Primary opportunity for selective repair.</w:t>
            </w:r>
          </w:p>
        </w:tc>
      </w:tr>
      <w:tr>
        <w:tc>
          <w:tcPr>
            <w:tcW w:type="dxa" w:w="3331"/>
            <w:vAlign w:val="top"/>
          </w:tcPr>
          <w:p>
            <w:pPr>
              <w:spacing w:after="20"/>
            </w:pPr>
            <w:r>
              <w:rPr>
                <w:sz w:val="18"/>
              </w:rPr>
              <w:t>Severe drift</w:t>
            </w:r>
          </w:p>
        </w:tc>
        <w:tc>
          <w:tcPr>
            <w:tcW w:type="dxa" w:w="3331"/>
            <w:vAlign w:val="top"/>
          </w:tcPr>
          <w:p>
            <w:pPr>
              <w:spacing w:after="20"/>
            </w:pPr>
            <w:r>
              <w:rPr>
                <w:sz w:val="18"/>
              </w:rPr>
              <w:t>Different dimensions/objectives</w:t>
            </w:r>
          </w:p>
        </w:tc>
        <w:tc>
          <w:tcPr>
            <w:tcW w:type="dxa" w:w="3331"/>
            <w:vAlign w:val="top"/>
          </w:tcPr>
          <w:p>
            <w:pPr>
              <w:spacing w:after="20"/>
            </w:pPr>
            <w:r>
              <w:rPr>
                <w:sz w:val="18"/>
              </w:rPr>
              <w:t>Stress test; may require high migration fraction or fallback.</w:t>
            </w:r>
          </w:p>
        </w:tc>
      </w:tr>
    </w:tbl>
    <w:p/>
    <w:p>
      <w:pPr>
        <w:pStyle w:val="Heading2"/>
      </w:pPr>
      <w:r>
        <w:t>37.1 Model identity</w:t>
      </w:r>
    </w:p>
    <w:p>
      <w:pPr>
        <w:spacing w:after="120" w:line="259" w:lineRule="auto"/>
      </w:pPr>
      <w:r>
        <w:t>Pin exact model revisions. Store output dimensionality, normalization assumptions, tokenizer/version where relevant, similarity metric and prompt/instruction template for embedding models that require one. A prompt change can behave like a model change and must be included in the ModelPairRegistry.</w:t>
      </w:r>
    </w:p>
    <w:p>
      <w:r>
        <w:br w:type="page"/>
      </w:r>
    </w:p>
    <w:p>
      <w:pPr>
        <w:pStyle w:val="Heading1"/>
      </w:pPr>
      <w:r>
        <w:t>38. Baselines: What TopoPatch Must Beat or Explain</w:t>
      </w:r>
    </w:p>
    <w:p>
      <w:pPr>
        <w:spacing w:after="120" w:line="259" w:lineRule="auto"/>
      </w:pPr>
      <w:r>
        <w:t>A patent-relevant experiment cannot compare only against “do nothing” and full re-embedding. The surrounding field contains selective reindexing, incremental vector-index updates, backward-compatible embeddings/adapters, and progressive target-vector materialization. The benchmark matrix should therefore test whether TopoPatch contributes more than expected savings from ordinary partial migration.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Baseline</w:t>
            </w:r>
          </w:p>
        </w:tc>
        <w:tc>
          <w:tcPr>
            <w:tcW w:type="dxa" w:w="3331"/>
            <w:shd w:fill="1F4E78"/>
            <w:vAlign w:val="center"/>
          </w:tcPr>
          <w:p>
            <w:r>
              <w:rPr>
                <w:b/>
                <w:color w:val="FFFFFF"/>
              </w:rPr>
              <w:t>Implementation concept</w:t>
            </w:r>
          </w:p>
        </w:tc>
        <w:tc>
          <w:tcPr>
            <w:tcW w:type="dxa" w:w="3331"/>
            <w:shd w:fill="1F4E78"/>
            <w:vAlign w:val="center"/>
          </w:tcPr>
          <w:p>
            <w:r>
              <w:rPr>
                <w:b/>
                <w:color w:val="FFFFFF"/>
              </w:rPr>
              <w:t>Question answered</w:t>
            </w:r>
          </w:p>
        </w:tc>
      </w:tr>
      <w:tr>
        <w:tc>
          <w:tcPr>
            <w:tcW w:type="dxa" w:w="3331"/>
            <w:vAlign w:val="top"/>
          </w:tcPr>
          <w:p>
            <w:pPr>
              <w:spacing w:after="20"/>
            </w:pPr>
            <w:r>
              <w:rPr>
                <w:sz w:val="18"/>
              </w:rPr>
              <w:t>A-only</w:t>
            </w:r>
          </w:p>
        </w:tc>
        <w:tc>
          <w:tcPr>
            <w:tcW w:type="dxa" w:w="3331"/>
            <w:vAlign w:val="top"/>
          </w:tcPr>
          <w:p>
            <w:pPr>
              <w:spacing w:after="20"/>
            </w:pPr>
            <w:r>
              <w:rPr>
                <w:sz w:val="18"/>
              </w:rPr>
              <w:t>Keep incumbent index</w:t>
            </w:r>
          </w:p>
        </w:tc>
        <w:tc>
          <w:tcPr>
            <w:tcW w:type="dxa" w:w="3331"/>
            <w:vAlign w:val="top"/>
          </w:tcPr>
          <w:p>
            <w:pPr>
              <w:spacing w:after="20"/>
            </w:pPr>
            <w:r>
              <w:rPr>
                <w:sz w:val="18"/>
              </w:rPr>
              <w:t>Starting retrieval quality and zero migration cost.</w:t>
            </w:r>
          </w:p>
        </w:tc>
      </w:tr>
      <w:tr>
        <w:tc>
          <w:tcPr>
            <w:tcW w:type="dxa" w:w="3331"/>
            <w:vAlign w:val="top"/>
          </w:tcPr>
          <w:p>
            <w:pPr>
              <w:spacing w:after="20"/>
            </w:pPr>
            <w:r>
              <w:rPr>
                <w:sz w:val="18"/>
              </w:rPr>
              <w:t>Full-B</w:t>
            </w:r>
          </w:p>
        </w:tc>
        <w:tc>
          <w:tcPr>
            <w:tcW w:type="dxa" w:w="3331"/>
            <w:vAlign w:val="top"/>
          </w:tcPr>
          <w:p>
            <w:pPr>
              <w:spacing w:after="20"/>
            </w:pPr>
            <w:r>
              <w:rPr>
                <w:sz w:val="18"/>
              </w:rPr>
              <w:t>Encode all corpus with B, rebuild/search B</w:t>
            </w:r>
          </w:p>
        </w:tc>
        <w:tc>
          <w:tcPr>
            <w:tcW w:type="dxa" w:w="3331"/>
            <w:vAlign w:val="top"/>
          </w:tcPr>
          <w:p>
            <w:pPr>
              <w:spacing w:after="20"/>
            </w:pPr>
            <w:r>
              <w:rPr>
                <w:sz w:val="18"/>
              </w:rPr>
              <w:t>Target quality ceiling and full migration cost.</w:t>
            </w:r>
          </w:p>
        </w:tc>
      </w:tr>
      <w:tr>
        <w:tc>
          <w:tcPr>
            <w:tcW w:type="dxa" w:w="3331"/>
            <w:vAlign w:val="top"/>
          </w:tcPr>
          <w:p>
            <w:pPr>
              <w:spacing w:after="20"/>
            </w:pPr>
            <w:r>
              <w:rPr>
                <w:sz w:val="18"/>
              </w:rPr>
              <w:t>Random partial</w:t>
            </w:r>
          </w:p>
        </w:tc>
        <w:tc>
          <w:tcPr>
            <w:tcW w:type="dxa" w:w="3331"/>
            <w:vAlign w:val="top"/>
          </w:tcPr>
          <w:p>
            <w:pPr>
              <w:spacing w:after="20"/>
            </w:pPr>
            <w:r>
              <w:rPr>
                <w:sz w:val="18"/>
              </w:rPr>
              <w:t>Migrate same number of objects as TopoPatch randomly</w:t>
            </w:r>
          </w:p>
        </w:tc>
        <w:tc>
          <w:tcPr>
            <w:tcW w:type="dxa" w:w="3331"/>
            <w:vAlign w:val="top"/>
          </w:tcPr>
          <w:p>
            <w:pPr>
              <w:spacing w:after="20"/>
            </w:pPr>
            <w:r>
              <w:rPr>
                <w:sz w:val="18"/>
              </w:rPr>
              <w:t>Does witness selection matter?</w:t>
            </w:r>
          </w:p>
        </w:tc>
      </w:tr>
      <w:tr>
        <w:tc>
          <w:tcPr>
            <w:tcW w:type="dxa" w:w="3331"/>
            <w:vAlign w:val="top"/>
          </w:tcPr>
          <w:p>
            <w:pPr>
              <w:spacing w:after="20"/>
            </w:pPr>
            <w:r>
              <w:rPr>
                <w:sz w:val="18"/>
              </w:rPr>
              <w:t>Popularity/traffic partial</w:t>
            </w:r>
          </w:p>
        </w:tc>
        <w:tc>
          <w:tcPr>
            <w:tcW w:type="dxa" w:w="3331"/>
            <w:vAlign w:val="top"/>
          </w:tcPr>
          <w:p>
            <w:pPr>
              <w:spacing w:after="20"/>
            </w:pPr>
            <w:r>
              <w:rPr>
                <w:sz w:val="18"/>
              </w:rPr>
              <w:t>Migrate high-frequency or high-degree objects first</w:t>
            </w:r>
          </w:p>
        </w:tc>
        <w:tc>
          <w:tcPr>
            <w:tcW w:type="dxa" w:w="3331"/>
            <w:vAlign w:val="top"/>
          </w:tcPr>
          <w:p>
            <w:pPr>
              <w:spacing w:after="20"/>
            </w:pPr>
            <w:r>
              <w:rPr>
                <w:sz w:val="18"/>
              </w:rPr>
              <w:t>Does simple heuristic work just as well?</w:t>
            </w:r>
          </w:p>
        </w:tc>
      </w:tr>
      <w:tr>
        <w:tc>
          <w:tcPr>
            <w:tcW w:type="dxa" w:w="3331"/>
            <w:vAlign w:val="top"/>
          </w:tcPr>
          <w:p>
            <w:pPr>
              <w:spacing w:after="20"/>
            </w:pPr>
            <w:r>
              <w:rPr>
                <w:sz w:val="18"/>
              </w:rPr>
              <w:t>Drift-score partial</w:t>
            </w:r>
          </w:p>
        </w:tc>
        <w:tc>
          <w:tcPr>
            <w:tcW w:type="dxa" w:w="3331"/>
            <w:vAlign w:val="top"/>
          </w:tcPr>
          <w:p>
            <w:pPr>
              <w:spacing w:after="20"/>
            </w:pPr>
            <w:r>
              <w:rPr>
                <w:sz w:val="18"/>
              </w:rPr>
              <w:t>Migrate objects/regions with largest A/B drift where measurable</w:t>
            </w:r>
          </w:p>
        </w:tc>
        <w:tc>
          <w:tcPr>
            <w:tcW w:type="dxa" w:w="3331"/>
            <w:vAlign w:val="top"/>
          </w:tcPr>
          <w:p>
            <w:pPr>
              <w:spacing w:after="20"/>
            </w:pPr>
            <w:r>
              <w:rPr>
                <w:sz w:val="18"/>
              </w:rPr>
              <w:t>Does witness logic beat generic drift?</w:t>
            </w:r>
          </w:p>
        </w:tc>
      </w:tr>
      <w:tr>
        <w:tc>
          <w:tcPr>
            <w:tcW w:type="dxa" w:w="3331"/>
            <w:vAlign w:val="top"/>
          </w:tcPr>
          <w:p>
            <w:pPr>
              <w:spacing w:after="20"/>
            </w:pPr>
            <w:r>
              <w:rPr>
                <w:sz w:val="18"/>
              </w:rPr>
              <w:t>Cost-only witness repair</w:t>
            </w:r>
          </w:p>
        </w:tc>
        <w:tc>
          <w:tcPr>
            <w:tcW w:type="dxa" w:w="3331"/>
            <w:vAlign w:val="top"/>
          </w:tcPr>
          <w:p>
            <w:pPr>
              <w:spacing w:after="20"/>
            </w:pPr>
            <w:r>
              <w:rPr>
                <w:sz w:val="18"/>
              </w:rPr>
              <w:t>Same witnesses/optimizer but no barrier</w:t>
            </w:r>
          </w:p>
        </w:tc>
        <w:tc>
          <w:tcPr>
            <w:tcW w:type="dxa" w:w="3331"/>
            <w:vAlign w:val="top"/>
          </w:tcPr>
          <w:p>
            <w:pPr>
              <w:spacing w:after="20"/>
            </w:pPr>
            <w:r>
              <w:rPr>
                <w:sz w:val="18"/>
              </w:rPr>
              <w:t>Does safety gating change actions/results?</w:t>
            </w:r>
          </w:p>
        </w:tc>
      </w:tr>
      <w:tr>
        <w:tc>
          <w:tcPr>
            <w:tcW w:type="dxa" w:w="3331"/>
            <w:vAlign w:val="top"/>
          </w:tcPr>
          <w:p>
            <w:pPr>
              <w:spacing w:after="20"/>
            </w:pPr>
            <w:r>
              <w:rPr>
                <w:sz w:val="18"/>
              </w:rPr>
              <w:t>Progressive candidate materialization</w:t>
            </w:r>
          </w:p>
        </w:tc>
        <w:tc>
          <w:tcPr>
            <w:tcW w:type="dxa" w:w="3331"/>
            <w:vAlign w:val="top"/>
          </w:tcPr>
          <w:p>
            <w:pPr>
              <w:spacing w:after="20"/>
            </w:pPr>
            <w:r>
              <w:rPr>
                <w:sz w:val="18"/>
              </w:rPr>
              <w:t>EmbedFlow-like top-K source candidate -&gt; target score path</w:t>
            </w:r>
          </w:p>
        </w:tc>
        <w:tc>
          <w:tcPr>
            <w:tcW w:type="dxa" w:w="3331"/>
            <w:vAlign w:val="top"/>
          </w:tcPr>
          <w:p>
            <w:pPr>
              <w:spacing w:after="20"/>
            </w:pPr>
            <w:r>
              <w:rPr>
                <w:sz w:val="18"/>
              </w:rPr>
              <w:t>Does TopoPatch add value beyond practical progressive migration?</w:t>
            </w:r>
          </w:p>
        </w:tc>
      </w:tr>
      <w:tr>
        <w:tc>
          <w:tcPr>
            <w:tcW w:type="dxa" w:w="3331"/>
            <w:vAlign w:val="top"/>
          </w:tcPr>
          <w:p>
            <w:pPr>
              <w:spacing w:after="20"/>
            </w:pPr>
            <w:r>
              <w:rPr>
                <w:sz w:val="18"/>
              </w:rPr>
              <w:t>Global adapter</w:t>
            </w:r>
          </w:p>
        </w:tc>
        <w:tc>
          <w:tcPr>
            <w:tcW w:type="dxa" w:w="3331"/>
            <w:vAlign w:val="top"/>
          </w:tcPr>
          <w:p>
            <w:pPr>
              <w:spacing w:after="20"/>
            </w:pPr>
            <w:r>
              <w:rPr>
                <w:sz w:val="18"/>
              </w:rPr>
              <w:t>Drift-Adapter style transformation where feasible</w:t>
            </w:r>
          </w:p>
        </w:tc>
        <w:tc>
          <w:tcPr>
            <w:tcW w:type="dxa" w:w="3331"/>
            <w:vAlign w:val="top"/>
          </w:tcPr>
          <w:p>
            <w:pPr>
              <w:spacing w:after="20"/>
            </w:pPr>
            <w:r>
              <w:rPr>
                <w:sz w:val="18"/>
              </w:rPr>
              <w:t>Can an adapter avoid migration more cheaply?</w:t>
            </w:r>
          </w:p>
        </w:tc>
      </w:tr>
      <w:tr>
        <w:tc>
          <w:tcPr>
            <w:tcW w:type="dxa" w:w="3331"/>
            <w:vAlign w:val="top"/>
          </w:tcPr>
          <w:p>
            <w:pPr>
              <w:spacing w:after="20"/>
            </w:pPr>
            <w:r>
              <w:rPr>
                <w:sz w:val="18"/>
              </w:rPr>
              <w:t>TopoPatch full</w:t>
            </w:r>
          </w:p>
        </w:tc>
        <w:tc>
          <w:tcPr>
            <w:tcW w:type="dxa" w:w="3331"/>
            <w:vAlign w:val="top"/>
          </w:tcPr>
          <w:p>
            <w:pPr>
              <w:spacing w:after="20"/>
            </w:pPr>
            <w:r>
              <w:rPr>
                <w:sz w:val="18"/>
              </w:rPr>
              <w:t>Witness + preview + safety gate + selective commit/fallback</w:t>
            </w:r>
          </w:p>
        </w:tc>
        <w:tc>
          <w:tcPr>
            <w:tcW w:type="dxa" w:w="3331"/>
            <w:vAlign w:val="top"/>
          </w:tcPr>
          <w:p>
            <w:pPr>
              <w:spacing w:after="20"/>
            </w:pPr>
            <w:r>
              <w:rPr>
                <w:sz w:val="18"/>
              </w:rPr>
              <w:t>Proposed system.</w:t>
            </w:r>
          </w:p>
        </w:tc>
      </w:tr>
    </w:tbl>
    <w:p/>
    <w:p>
      <w:pPr>
        <w:pStyle w:val="Heading2"/>
      </w:pPr>
      <w:r>
        <w:t>38.1 Fair-budget comparisons</w:t>
      </w:r>
    </w:p>
    <w:p>
      <w:pPr>
        <w:spacing w:after="120" w:line="259" w:lineRule="auto"/>
      </w:pPr>
      <w:r>
        <w:t>Compare methods at equal charged B-embedding budgets as well as at equal quality targets. A system that looks better only because it computes more B embeddings is not demonstrating efficient selection. Produce curves rather than one point: quality versus B calls, protected violations versus B calls, wall-clock versus B calls, and bytes/ANN work versus achieved quality.</w:t>
      </w:r>
    </w:p>
    <w:p>
      <w:r>
        <w:br w:type="page"/>
      </w:r>
    </w:p>
    <w:p>
      <w:pPr>
        <w:pStyle w:val="Heading1"/>
      </w:pPr>
      <w:r>
        <w:t>39. Metrics and Resource Accounting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Metric</w:t>
            </w:r>
          </w:p>
        </w:tc>
        <w:tc>
          <w:tcPr>
            <w:tcW w:type="dxa" w:w="4997"/>
            <w:shd w:fill="1F4E78"/>
            <w:vAlign w:val="center"/>
          </w:tcPr>
          <w:p>
            <w:r>
              <w:rPr>
                <w:b/>
                <w:color w:val="FFFFFF"/>
              </w:rPr>
              <w:t>Definition / measurement</w:t>
            </w:r>
          </w:p>
        </w:tc>
      </w:tr>
      <w:tr>
        <w:tc>
          <w:tcPr>
            <w:tcW w:type="dxa" w:w="4997"/>
            <w:vAlign w:val="top"/>
          </w:tcPr>
          <w:p>
            <w:pPr>
              <w:spacing w:after="20"/>
            </w:pPr>
            <w:r>
              <w:rPr>
                <w:sz w:val="18"/>
              </w:rPr>
              <w:t>B embedding fraction</w:t>
            </w:r>
          </w:p>
        </w:tc>
        <w:tc>
          <w:tcPr>
            <w:tcW w:type="dxa" w:w="4997"/>
            <w:vAlign w:val="top"/>
          </w:tcPr>
          <w:p>
            <w:pPr>
              <w:spacing w:after="20"/>
            </w:pPr>
            <w:r>
              <w:rPr>
                <w:sz w:val="18"/>
              </w:rPr>
              <w:t>Distinct corpus objects encoded by B as algorithmic work / corpus size.</w:t>
            </w:r>
          </w:p>
        </w:tc>
      </w:tr>
      <w:tr>
        <w:tc>
          <w:tcPr>
            <w:tcW w:type="dxa" w:w="4997"/>
            <w:vAlign w:val="top"/>
          </w:tcPr>
          <w:p>
            <w:pPr>
              <w:spacing w:after="20"/>
            </w:pPr>
            <w:r>
              <w:rPr>
                <w:sz w:val="18"/>
              </w:rPr>
              <w:t>Charged B forward passes</w:t>
            </w:r>
          </w:p>
        </w:tc>
        <w:tc>
          <w:tcPr>
            <w:tcW w:type="dxa" w:w="4997"/>
            <w:vAlign w:val="top"/>
          </w:tcPr>
          <w:p>
            <w:pPr>
              <w:spacing w:after="20"/>
            </w:pPr>
            <w:r>
              <w:rPr>
                <w:sz w:val="18"/>
              </w:rPr>
              <w:t>All target-model calls triggered by TopoPatch decision/migration logic, excluding offline Full-B ground truth.</w:t>
            </w:r>
          </w:p>
        </w:tc>
      </w:tr>
      <w:tr>
        <w:tc>
          <w:tcPr>
            <w:tcW w:type="dxa" w:w="4997"/>
            <w:vAlign w:val="top"/>
          </w:tcPr>
          <w:p>
            <w:pPr>
              <w:spacing w:after="20"/>
            </w:pPr>
            <w:r>
              <w:rPr>
                <w:sz w:val="18"/>
              </w:rPr>
              <w:t>Candidate-envelope miss rate</w:t>
            </w:r>
          </w:p>
        </w:tc>
        <w:tc>
          <w:tcPr>
            <w:tcW w:type="dxa" w:w="4997"/>
            <w:vAlign w:val="top"/>
          </w:tcPr>
          <w:p>
            <w:pPr>
              <w:spacing w:after="20"/>
            </w:pPr>
            <w:r>
              <w:rPr>
                <w:sz w:val="18"/>
              </w:rPr>
              <w:t>True Full-B top-k items absent from the resolved envelope, measured only using research ground truth.</w:t>
            </w:r>
          </w:p>
        </w:tc>
      </w:tr>
      <w:tr>
        <w:tc>
          <w:tcPr>
            <w:tcW w:type="dxa" w:w="4997"/>
            <w:vAlign w:val="top"/>
          </w:tcPr>
          <w:p>
            <w:pPr>
              <w:spacing w:after="20"/>
            </w:pPr>
            <w:r>
              <w:rPr>
                <w:sz w:val="18"/>
              </w:rPr>
              <w:t>Protected violation count</w:t>
            </w:r>
          </w:p>
        </w:tc>
        <w:tc>
          <w:tcPr>
            <w:tcW w:type="dxa" w:w="4997"/>
            <w:vAlign w:val="top"/>
          </w:tcPr>
          <w:p>
            <w:pPr>
              <w:spacing w:after="20"/>
            </w:pPr>
            <w:r>
              <w:rPr>
                <w:sz w:val="18"/>
              </w:rPr>
              <w:t>Number/severity of explicit protected constraints violated after each epoch.</w:t>
            </w:r>
          </w:p>
        </w:tc>
      </w:tr>
      <w:tr>
        <w:tc>
          <w:tcPr>
            <w:tcW w:type="dxa" w:w="4997"/>
            <w:vAlign w:val="top"/>
          </w:tcPr>
          <w:p>
            <w:pPr>
              <w:spacing w:after="20"/>
            </w:pPr>
            <w:r>
              <w:rPr>
                <w:sz w:val="18"/>
              </w:rPr>
              <w:t>Recall@k / nDCG / MRR</w:t>
            </w:r>
          </w:p>
        </w:tc>
        <w:tc>
          <w:tcPr>
            <w:tcW w:type="dxa" w:w="4997"/>
            <w:vAlign w:val="top"/>
          </w:tcPr>
          <w:p>
            <w:pPr>
              <w:spacing w:after="20"/>
            </w:pPr>
            <w:r>
              <w:rPr>
                <w:sz w:val="18"/>
              </w:rPr>
              <w:t>Standard retrieval quality on protected and progress sets.</w:t>
            </w:r>
          </w:p>
        </w:tc>
      </w:tr>
      <w:tr>
        <w:tc>
          <w:tcPr>
            <w:tcW w:type="dxa" w:w="4997"/>
            <w:vAlign w:val="top"/>
          </w:tcPr>
          <w:p>
            <w:pPr>
              <w:spacing w:after="20"/>
            </w:pPr>
            <w:r>
              <w:rPr>
                <w:sz w:val="18"/>
              </w:rPr>
              <w:t>Full-B quality gap</w:t>
            </w:r>
          </w:p>
        </w:tc>
        <w:tc>
          <w:tcPr>
            <w:tcW w:type="dxa" w:w="4997"/>
            <w:vAlign w:val="top"/>
          </w:tcPr>
          <w:p>
            <w:pPr>
              <w:spacing w:after="20"/>
            </w:pPr>
            <w:r>
              <w:rPr>
                <w:sz w:val="18"/>
              </w:rPr>
              <w:t>Quality(Full-B) - Quality(current mixed state).</w:t>
            </w:r>
          </w:p>
        </w:tc>
      </w:tr>
      <w:tr>
        <w:tc>
          <w:tcPr>
            <w:tcW w:type="dxa" w:w="4997"/>
            <w:vAlign w:val="top"/>
          </w:tcPr>
          <w:p>
            <w:pPr>
              <w:spacing w:after="20"/>
            </w:pPr>
            <w:r>
              <w:rPr>
                <w:sz w:val="18"/>
              </w:rPr>
              <w:t>Bytes written</w:t>
            </w:r>
          </w:p>
        </w:tc>
        <w:tc>
          <w:tcPr>
            <w:tcW w:type="dxa" w:w="4997"/>
            <w:vAlign w:val="top"/>
          </w:tcPr>
          <w:p>
            <w:pPr>
              <w:spacing w:after="20"/>
            </w:pPr>
            <w:r>
              <w:rPr>
                <w:sz w:val="18"/>
              </w:rPr>
              <w:t>Vector + metadata + index bytes generated/updated during migration.</w:t>
            </w:r>
          </w:p>
        </w:tc>
      </w:tr>
      <w:tr>
        <w:tc>
          <w:tcPr>
            <w:tcW w:type="dxa" w:w="4997"/>
            <w:vAlign w:val="top"/>
          </w:tcPr>
          <w:p>
            <w:pPr>
              <w:spacing w:after="20"/>
            </w:pPr>
            <w:r>
              <w:rPr>
                <w:sz w:val="18"/>
              </w:rPr>
              <w:t>ANN work</w:t>
            </w:r>
          </w:p>
        </w:tc>
        <w:tc>
          <w:tcPr>
            <w:tcW w:type="dxa" w:w="4997"/>
            <w:vAlign w:val="top"/>
          </w:tcPr>
          <w:p>
            <w:pPr>
              <w:spacing w:after="20"/>
            </w:pPr>
            <w:r>
              <w:rPr>
                <w:sz w:val="18"/>
              </w:rPr>
              <w:t>Nodes/edges/partitions touched or backend update calls and CPU time.</w:t>
            </w:r>
          </w:p>
        </w:tc>
      </w:tr>
      <w:tr>
        <w:tc>
          <w:tcPr>
            <w:tcW w:type="dxa" w:w="4997"/>
            <w:vAlign w:val="top"/>
          </w:tcPr>
          <w:p>
            <w:pPr>
              <w:spacing w:after="20"/>
            </w:pPr>
            <w:r>
              <w:rPr>
                <w:sz w:val="18"/>
              </w:rPr>
              <w:t>Migration latency</w:t>
            </w:r>
          </w:p>
        </w:tc>
        <w:tc>
          <w:tcPr>
            <w:tcW w:type="dxa" w:w="4997"/>
            <w:vAlign w:val="top"/>
          </w:tcPr>
          <w:p>
            <w:pPr>
              <w:spacing w:after="20"/>
            </w:pPr>
            <w:r>
              <w:rPr>
                <w:sz w:val="18"/>
              </w:rPr>
              <w:t>Wall-clock time per epoch and to target quality.</w:t>
            </w:r>
          </w:p>
        </w:tc>
      </w:tr>
      <w:tr>
        <w:tc>
          <w:tcPr>
            <w:tcW w:type="dxa" w:w="4997"/>
            <w:vAlign w:val="top"/>
          </w:tcPr>
          <w:p>
            <w:pPr>
              <w:spacing w:after="20"/>
            </w:pPr>
            <w:r>
              <w:rPr>
                <w:sz w:val="18"/>
              </w:rPr>
              <w:t>Peak duplicate storage</w:t>
            </w:r>
          </w:p>
        </w:tc>
        <w:tc>
          <w:tcPr>
            <w:tcW w:type="dxa" w:w="4997"/>
            <w:vAlign w:val="top"/>
          </w:tcPr>
          <w:p>
            <w:pPr>
              <w:spacing w:after="20"/>
            </w:pPr>
            <w:r>
              <w:rPr>
                <w:sz w:val="18"/>
              </w:rPr>
              <w:t>Maximum A+B temporary storage during transition.</w:t>
            </w:r>
          </w:p>
        </w:tc>
      </w:tr>
      <w:tr>
        <w:tc>
          <w:tcPr>
            <w:tcW w:type="dxa" w:w="4997"/>
            <w:vAlign w:val="top"/>
          </w:tcPr>
          <w:p>
            <w:pPr>
              <w:spacing w:after="20"/>
            </w:pPr>
            <w:r>
              <w:rPr>
                <w:sz w:val="18"/>
              </w:rPr>
              <w:t>Barrier rejection rate</w:t>
            </w:r>
          </w:p>
        </w:tc>
        <w:tc>
          <w:tcPr>
            <w:tcW w:type="dxa" w:w="4997"/>
            <w:vAlign w:val="top"/>
          </w:tcPr>
          <w:p>
            <w:pPr>
              <w:spacing w:after="20"/>
            </w:pPr>
            <w:r>
              <w:rPr>
                <w:sz w:val="18"/>
              </w:rPr>
              <w:t>Fraction of cost-only candidate actions rejected or redirected by safety gate.</w:t>
            </w:r>
          </w:p>
        </w:tc>
      </w:tr>
      <w:tr>
        <w:tc>
          <w:tcPr>
            <w:tcW w:type="dxa" w:w="4997"/>
            <w:vAlign w:val="top"/>
          </w:tcPr>
          <w:p>
            <w:pPr>
              <w:spacing w:after="20"/>
            </w:pPr>
            <w:r>
              <w:rPr>
                <w:sz w:val="18"/>
              </w:rPr>
              <w:t>Fallback usage</w:t>
            </w:r>
          </w:p>
        </w:tc>
        <w:tc>
          <w:tcPr>
            <w:tcW w:type="dxa" w:w="4997"/>
            <w:vAlign w:val="top"/>
          </w:tcPr>
          <w:p>
            <w:pPr>
              <w:spacing w:after="20"/>
            </w:pPr>
            <w:r>
              <w:rPr>
                <w:sz w:val="18"/>
              </w:rPr>
              <w:t>Queries/slices/time spent on safe legacy/shadow path.</w:t>
            </w:r>
          </w:p>
        </w:tc>
      </w:tr>
      <w:tr>
        <w:tc>
          <w:tcPr>
            <w:tcW w:type="dxa" w:w="4997"/>
            <w:vAlign w:val="top"/>
          </w:tcPr>
          <w:p>
            <w:pPr>
              <w:spacing w:after="20"/>
            </w:pPr>
            <w:r>
              <w:rPr>
                <w:sz w:val="18"/>
              </w:rPr>
              <w:t>Decision overhead</w:t>
            </w:r>
          </w:p>
        </w:tc>
        <w:tc>
          <w:tcPr>
            <w:tcW w:type="dxa" w:w="4997"/>
            <w:vAlign w:val="top"/>
          </w:tcPr>
          <w:p>
            <w:pPr>
              <w:spacing w:after="20"/>
            </w:pPr>
            <w:r>
              <w:rPr>
                <w:sz w:val="18"/>
              </w:rPr>
              <w:t>Time/compute spent on envelope, witness, optimization, preview and barrier relative to work avoided.</w:t>
            </w:r>
          </w:p>
        </w:tc>
      </w:tr>
    </w:tbl>
    <w:p/>
    <w:p>
      <w:pPr>
        <w:pStyle w:val="Heading2"/>
      </w:pPr>
      <w:r>
        <w:t>39.1 The key patent evidence ratio</w:t>
      </w:r>
    </w:p>
    <w:p>
      <w:pPr>
        <w:spacing w:before="80" w:after="140"/>
        <w:ind w:left="259" w:right="259"/>
        <w:shd w:fill="F2F4F7"/>
      </w:pPr>
      <w:r>
        <w:rPr>
          <w:rFonts w:ascii="Consolas" w:hAnsi="Consolas"/>
          <w:sz w:val="18"/>
        </w:rPr>
        <w:t>NetBenefit = (FullMigrationWork - TopoPatchMigrationWork) - TopoPatchDecisionOverhead</w:t>
      </w:r>
    </w:p>
    <w:p>
      <w:pPr>
        <w:spacing w:after="120" w:line="259" w:lineRule="auto"/>
      </w:pPr>
      <w:r>
        <w:t>A strong result requires NetBenefit to remain materially positive while the protected safety floor is maintained and useful progress toward Full-B is achieved. Reporting only lower migration work while ignoring a very expensive witness/barrier pipeline would be misleading.</w:t>
      </w:r>
    </w:p>
    <w:p>
      <w:r>
        <w:br w:type="page"/>
      </w:r>
    </w:p>
    <w:p>
      <w:pPr>
        <w:pStyle w:val="Heading1"/>
      </w:pPr>
      <w:r>
        <w:t>40. Statistical Evaluation and Unexpected-Result Evidence</w:t>
      </w:r>
    </w:p>
    <w:p>
      <w:pPr>
        <w:spacing w:after="120" w:line="259" w:lineRule="auto"/>
      </w:pPr>
      <w:r>
        <w:t>The strongest remaining patent weakness is obviousness by combination. Architecture-only arguments have limited headroom. Experimental evidence should therefore be designed from the start to test whether the combination produces behavior that is not merely the predictable sum of selective reindexing plus validation.</w:t>
      </w:r>
    </w:p>
    <w:p>
      <w:pPr>
        <w:pStyle w:val="Heading2"/>
      </w:pPr>
      <w:r>
        <w:t>40.1 Replication</w:t>
      </w:r>
    </w:p>
    <w:p>
      <w:pPr>
        <w:pStyle w:val="ListBullet"/>
        <w:spacing w:after="40"/>
      </w:pPr>
      <w:r>
        <w:t>Run at least 3-5 random seeds for any stochastic component.</w:t>
      </w:r>
    </w:p>
    <w:p>
      <w:pPr>
        <w:pStyle w:val="ListBullet"/>
        <w:spacing w:after="40"/>
      </w:pPr>
      <w:r>
        <w:t>Use multiple query splits and at least two datasets before making general claims.</w:t>
      </w:r>
    </w:p>
    <w:p>
      <w:pPr>
        <w:pStyle w:val="ListBullet"/>
        <w:spacing w:after="40"/>
      </w:pPr>
      <w:r>
        <w:t>Use at least two materially different model pairs.</w:t>
      </w:r>
    </w:p>
    <w:p>
      <w:pPr>
        <w:pStyle w:val="ListBullet"/>
        <w:spacing w:after="40"/>
      </w:pPr>
      <w:r>
        <w:t>Report confidence intervals for quality and cost metrics where sampling is involved.</w:t>
      </w:r>
    </w:p>
    <w:p>
      <w:pPr>
        <w:pStyle w:val="ListBullet"/>
        <w:spacing w:after="40"/>
      </w:pPr>
      <w:r>
        <w:t>Preserve raw per-query results so a later declaration/attorney can audit the aggregate claims.</w:t>
      </w:r>
    </w:p>
    <w:p>
      <w:pPr>
        <w:pStyle w:val="Heading2"/>
      </w:pPr>
      <w:r>
        <w:t>40.2 Most valuable experimental pattern</w:t>
      </w:r>
    </w:p>
    <w:p>
      <w:pPr>
        <w:spacing w:after="120" w:line="259" w:lineRule="auto"/>
      </w:pPr>
      <w:r>
        <w:t>The most probative pattern would be: at the same target-model embedding budget, a straightforward selective or progressive baseline reaches good average quality but violates protected constraints; a cost-only witness repair chooses a cheap unsafe action; barrier-constrained TopoPatch rejects that state and finds a different small repair/fallback; the resulting system preserves the protected floor while still using substantially less B computation and index work than Full-B migration. That demonstrates interaction among the claimed components rather than independent expected benefits.</w:t>
      </w:r>
    </w:p>
    <w:p>
      <w:pPr>
        <w:pStyle w:val="Heading2"/>
      </w:pPr>
      <w:r>
        <w:t>40.3 Avoid fabricated thresholds</w:t>
      </w:r>
    </w:p>
    <w:p>
      <w:pPr>
        <w:spacing w:after="120" w:line="259" w:lineRule="auto"/>
      </w:pPr>
      <w:r>
        <w:t>Do not write “70% cost reduction” or “99% safety” into a patent draft until measured. Instead, define what will be measured and preserve the result. If a later claim needs a range, it should be supported by experiments or a technically justified embodiment, not by a target chosen for marketing.</w:t>
      </w:r>
    </w:p>
    <w:p>
      <w:r>
        <w:br w:type="page"/>
      </w:r>
    </w:p>
    <w:p>
      <w:pPr>
        <w:pStyle w:val="Heading1"/>
      </w:pPr>
      <w:r>
        <w:t>41. Ablation Study Plan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Ablation</w:t>
            </w:r>
          </w:p>
        </w:tc>
        <w:tc>
          <w:tcPr>
            <w:tcW w:type="dxa" w:w="3331"/>
            <w:shd w:fill="1F4E78"/>
            <w:vAlign w:val="center"/>
          </w:tcPr>
          <w:p>
            <w:r>
              <w:rPr>
                <w:b/>
                <w:color w:val="FFFFFF"/>
              </w:rPr>
              <w:t>Removed/changed component</w:t>
            </w:r>
          </w:p>
        </w:tc>
        <w:tc>
          <w:tcPr>
            <w:tcW w:type="dxa" w:w="3331"/>
            <w:shd w:fill="1F4E78"/>
            <w:vAlign w:val="center"/>
          </w:tcPr>
          <w:p>
            <w:r>
              <w:rPr>
                <w:b/>
                <w:color w:val="FFFFFF"/>
              </w:rPr>
              <w:t>What it proves</w:t>
            </w:r>
          </w:p>
        </w:tc>
      </w:tr>
      <w:tr>
        <w:tc>
          <w:tcPr>
            <w:tcW w:type="dxa" w:w="3331"/>
            <w:vAlign w:val="top"/>
          </w:tcPr>
          <w:p>
            <w:pPr>
              <w:spacing w:after="20"/>
            </w:pPr>
            <w:r>
              <w:rPr>
                <w:sz w:val="18"/>
              </w:rPr>
              <w:t>No witness graph</w:t>
            </w:r>
          </w:p>
        </w:tc>
        <w:tc>
          <w:tcPr>
            <w:tcW w:type="dxa" w:w="3331"/>
            <w:vAlign w:val="top"/>
          </w:tcPr>
          <w:p>
            <w:pPr>
              <w:spacing w:after="20"/>
            </w:pPr>
            <w:r>
              <w:rPr>
                <w:sz w:val="18"/>
              </w:rPr>
              <w:t>Use random or drift-based selection</w:t>
            </w:r>
          </w:p>
        </w:tc>
        <w:tc>
          <w:tcPr>
            <w:tcW w:type="dxa" w:w="3331"/>
            <w:vAlign w:val="top"/>
          </w:tcPr>
          <w:p>
            <w:pPr>
              <w:spacing w:after="20"/>
            </w:pPr>
            <w:r>
              <w:rPr>
                <w:sz w:val="18"/>
              </w:rPr>
              <w:t>Whether retrieval counterexamples localize useful repairs.</w:t>
            </w:r>
          </w:p>
        </w:tc>
      </w:tr>
      <w:tr>
        <w:tc>
          <w:tcPr>
            <w:tcW w:type="dxa" w:w="3331"/>
            <w:vAlign w:val="top"/>
          </w:tcPr>
          <w:p>
            <w:pPr>
              <w:spacing w:after="20"/>
            </w:pPr>
            <w:r>
              <w:rPr>
                <w:sz w:val="18"/>
              </w:rPr>
              <w:t>No barrier</w:t>
            </w:r>
          </w:p>
        </w:tc>
        <w:tc>
          <w:tcPr>
            <w:tcW w:type="dxa" w:w="3331"/>
            <w:vAlign w:val="top"/>
          </w:tcPr>
          <w:p>
            <w:pPr>
              <w:spacing w:after="20"/>
            </w:pPr>
            <w:r>
              <w:rPr>
                <w:sz w:val="18"/>
              </w:rPr>
              <w:t>Commit cost-minimal witness repair directly</w:t>
            </w:r>
          </w:p>
        </w:tc>
        <w:tc>
          <w:tcPr>
            <w:tcW w:type="dxa" w:w="3331"/>
            <w:vAlign w:val="top"/>
          </w:tcPr>
          <w:p>
            <w:pPr>
              <w:spacing w:after="20"/>
            </w:pPr>
            <w:r>
              <w:rPr>
                <w:sz w:val="18"/>
              </w:rPr>
              <w:t>Whether safety gating changes action admissibility.</w:t>
            </w:r>
          </w:p>
        </w:tc>
      </w:tr>
      <w:tr>
        <w:tc>
          <w:tcPr>
            <w:tcW w:type="dxa" w:w="3331"/>
            <w:vAlign w:val="top"/>
          </w:tcPr>
          <w:p>
            <w:pPr>
              <w:spacing w:after="20"/>
            </w:pPr>
            <w:r>
              <w:rPr>
                <w:sz w:val="18"/>
              </w:rPr>
              <w:t>No preview overlay</w:t>
            </w:r>
          </w:p>
        </w:tc>
        <w:tc>
          <w:tcPr>
            <w:tcW w:type="dxa" w:w="3331"/>
            <w:vAlign w:val="top"/>
          </w:tcPr>
          <w:p>
            <w:pPr>
              <w:spacing w:after="20"/>
            </w:pPr>
            <w:r>
              <w:rPr>
                <w:sz w:val="18"/>
              </w:rPr>
              <w:t>Evaluate actions with independent score estimates only</w:t>
            </w:r>
          </w:p>
        </w:tc>
        <w:tc>
          <w:tcPr>
            <w:tcW w:type="dxa" w:w="3331"/>
            <w:vAlign w:val="top"/>
          </w:tcPr>
          <w:p>
            <w:pPr>
              <w:spacing w:after="20"/>
            </w:pPr>
            <w:r>
              <w:rPr>
                <w:sz w:val="18"/>
              </w:rPr>
              <w:t>Whether composed-state preview catches interactions.</w:t>
            </w:r>
          </w:p>
        </w:tc>
      </w:tr>
      <w:tr>
        <w:tc>
          <w:tcPr>
            <w:tcW w:type="dxa" w:w="3331"/>
            <w:vAlign w:val="top"/>
          </w:tcPr>
          <w:p>
            <w:pPr>
              <w:spacing w:after="20"/>
            </w:pPr>
            <w:r>
              <w:rPr>
                <w:sz w:val="18"/>
              </w:rPr>
              <w:t>Small vs large envelope</w:t>
            </w:r>
          </w:p>
        </w:tc>
        <w:tc>
          <w:tcPr>
            <w:tcW w:type="dxa" w:w="3331"/>
            <w:vAlign w:val="top"/>
          </w:tcPr>
          <w:p>
            <w:pPr>
              <w:spacing w:after="20"/>
            </w:pPr>
            <w:r>
              <w:rPr>
                <w:sz w:val="18"/>
              </w:rPr>
              <w:t>Vary candidate depth/budget</w:t>
            </w:r>
          </w:p>
        </w:tc>
        <w:tc>
          <w:tcPr>
            <w:tcW w:type="dxa" w:w="3331"/>
            <w:vAlign w:val="top"/>
          </w:tcPr>
          <w:p>
            <w:pPr>
              <w:spacing w:after="20"/>
            </w:pPr>
            <w:r>
              <w:rPr>
                <w:sz w:val="18"/>
              </w:rPr>
              <w:t>Cost versus missed B competitors.</w:t>
            </w:r>
          </w:p>
        </w:tc>
      </w:tr>
      <w:tr>
        <w:tc>
          <w:tcPr>
            <w:tcW w:type="dxa" w:w="3331"/>
            <w:vAlign w:val="top"/>
          </w:tcPr>
          <w:p>
            <w:pPr>
              <w:spacing w:after="20"/>
            </w:pPr>
            <w:r>
              <w:rPr>
                <w:sz w:val="18"/>
              </w:rPr>
              <w:t>No dual-space fusion</w:t>
            </w:r>
          </w:p>
        </w:tc>
        <w:tc>
          <w:tcPr>
            <w:tcW w:type="dxa" w:w="3331"/>
            <w:vAlign w:val="top"/>
          </w:tcPr>
          <w:p>
            <w:pPr>
              <w:spacing w:after="20"/>
            </w:pPr>
            <w:r>
              <w:rPr>
                <w:sz w:val="18"/>
              </w:rPr>
              <w:t>Route all queries through A or B only</w:t>
            </w:r>
          </w:p>
        </w:tc>
        <w:tc>
          <w:tcPr>
            <w:tcW w:type="dxa" w:w="3331"/>
            <w:vAlign w:val="top"/>
          </w:tcPr>
          <w:p>
            <w:pPr>
              <w:spacing w:after="20"/>
            </w:pPr>
            <w:r>
              <w:rPr>
                <w:sz w:val="18"/>
              </w:rPr>
              <w:t>Value/cost of mixed-version serving.</w:t>
            </w:r>
          </w:p>
        </w:tc>
      </w:tr>
      <w:tr>
        <w:tc>
          <w:tcPr>
            <w:tcW w:type="dxa" w:w="3331"/>
            <w:vAlign w:val="top"/>
          </w:tcPr>
          <w:p>
            <w:pPr>
              <w:spacing w:after="20"/>
            </w:pPr>
            <w:r>
              <w:rPr>
                <w:sz w:val="18"/>
              </w:rPr>
              <w:t>Flat vs ANN index</w:t>
            </w:r>
          </w:p>
        </w:tc>
        <w:tc>
          <w:tcPr>
            <w:tcW w:type="dxa" w:w="3331"/>
            <w:vAlign w:val="top"/>
          </w:tcPr>
          <w:p>
            <w:pPr>
              <w:spacing w:after="20"/>
            </w:pPr>
            <w:r>
              <w:rPr>
                <w:sz w:val="18"/>
              </w:rPr>
              <w:t>Exact retrieval vs HNSW/Qdrant</w:t>
            </w:r>
          </w:p>
        </w:tc>
        <w:tc>
          <w:tcPr>
            <w:tcW w:type="dxa" w:w="3331"/>
            <w:vAlign w:val="top"/>
          </w:tcPr>
          <w:p>
            <w:pPr>
              <w:spacing w:after="20"/>
            </w:pPr>
            <w:r>
              <w:rPr>
                <w:sz w:val="18"/>
              </w:rPr>
              <w:t>Effect of approximation/index maintenance.</w:t>
            </w:r>
          </w:p>
        </w:tc>
      </w:tr>
      <w:tr>
        <w:tc>
          <w:tcPr>
            <w:tcW w:type="dxa" w:w="3331"/>
            <w:vAlign w:val="top"/>
          </w:tcPr>
          <w:p>
            <w:pPr>
              <w:spacing w:after="20"/>
            </w:pPr>
            <w:r>
              <w:rPr>
                <w:sz w:val="18"/>
              </w:rPr>
              <w:t>No fallback</w:t>
            </w:r>
          </w:p>
        </w:tc>
        <w:tc>
          <w:tcPr>
            <w:tcW w:type="dxa" w:w="3331"/>
            <w:vAlign w:val="top"/>
          </w:tcPr>
          <w:p>
            <w:pPr>
              <w:spacing w:after="20"/>
            </w:pPr>
            <w:r>
              <w:rPr>
                <w:sz w:val="18"/>
              </w:rPr>
              <w:t>Only expand repairs</w:t>
            </w:r>
          </w:p>
        </w:tc>
        <w:tc>
          <w:tcPr>
            <w:tcW w:type="dxa" w:w="3331"/>
            <w:vAlign w:val="top"/>
          </w:tcPr>
          <w:p>
            <w:pPr>
              <w:spacing w:after="20"/>
            </w:pPr>
            <w:r>
              <w:rPr>
                <w:sz w:val="18"/>
              </w:rPr>
              <w:t>Whether scoped fallback lowers migration work or improves availability.</w:t>
            </w:r>
          </w:p>
        </w:tc>
      </w:tr>
      <w:tr>
        <w:tc>
          <w:tcPr>
            <w:tcW w:type="dxa" w:w="3331"/>
            <w:vAlign w:val="top"/>
          </w:tcPr>
          <w:p>
            <w:pPr>
              <w:spacing w:after="20"/>
            </w:pPr>
            <w:r>
              <w:rPr>
                <w:sz w:val="18"/>
              </w:rPr>
              <w:t>ProbeQuorum on/off</w:t>
            </w:r>
          </w:p>
        </w:tc>
        <w:tc>
          <w:tcPr>
            <w:tcW w:type="dxa" w:w="3331"/>
            <w:vAlign w:val="top"/>
          </w:tcPr>
          <w:p>
            <w:pPr>
              <w:spacing w:after="20"/>
            </w:pPr>
            <w:r>
              <w:rPr>
                <w:sz w:val="18"/>
              </w:rPr>
              <w:t>Adversarially corrupt one probe source</w:t>
            </w:r>
          </w:p>
        </w:tc>
        <w:tc>
          <w:tcPr>
            <w:tcW w:type="dxa" w:w="3331"/>
            <w:vAlign w:val="top"/>
          </w:tcPr>
          <w:p>
            <w:pPr>
              <w:spacing w:after="20"/>
            </w:pPr>
            <w:r>
              <w:rPr>
                <w:sz w:val="18"/>
              </w:rPr>
              <w:t>Security value of optional feature.</w:t>
            </w:r>
          </w:p>
        </w:tc>
      </w:tr>
    </w:tbl>
    <w:p/>
    <w:p>
      <w:pPr>
        <w:spacing w:after="120" w:line="259" w:lineRule="auto"/>
      </w:pPr>
      <w:r>
        <w:t>Ablations are essential for patent reasoning because they show which component actually causes an observed technical effect. If removing the barrier changes nothing, the barrier should not be emphasized in claims. If preview overlay and a cheap analytic approximation always agree, the preview may be useful enablement but not a strong differentiator.</w:t>
      </w:r>
    </w:p>
    <w:p>
      <w:r>
        <w:br w:type="page"/>
      </w:r>
    </w:p>
    <w:p>
      <w:pPr>
        <w:pStyle w:val="Heading1"/>
      </w:pPr>
      <w:r>
        <w:t>42. Failure-Injection and Robustness Test Plan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Failure injected</w:t>
            </w:r>
          </w:p>
        </w:tc>
        <w:tc>
          <w:tcPr>
            <w:tcW w:type="dxa" w:w="4997"/>
            <w:shd w:fill="1F4E78"/>
            <w:vAlign w:val="center"/>
          </w:tcPr>
          <w:p>
            <w:r>
              <w:rPr>
                <w:b/>
                <w:color w:val="FFFFFF"/>
              </w:rPr>
              <w:t>Expected system behavior</w:t>
            </w:r>
          </w:p>
        </w:tc>
      </w:tr>
      <w:tr>
        <w:tc>
          <w:tcPr>
            <w:tcW w:type="dxa" w:w="4997"/>
            <w:vAlign w:val="top"/>
          </w:tcPr>
          <w:p>
            <w:pPr>
              <w:spacing w:after="20"/>
            </w:pPr>
            <w:r>
              <w:rPr>
                <w:sz w:val="18"/>
              </w:rPr>
              <w:t>Candidate Envelope omits true B neighbor</w:t>
            </w:r>
          </w:p>
        </w:tc>
        <w:tc>
          <w:tcPr>
            <w:tcW w:type="dxa" w:w="4997"/>
            <w:vAlign w:val="top"/>
          </w:tcPr>
          <w:p>
            <w:pPr>
              <w:spacing w:after="20"/>
            </w:pPr>
            <w:r>
              <w:rPr>
                <w:sz w:val="18"/>
              </w:rPr>
              <w:t>Uncertainty/audit detects risk or barrier fails; system expands or falls back.</w:t>
            </w:r>
          </w:p>
        </w:tc>
      </w:tr>
      <w:tr>
        <w:tc>
          <w:tcPr>
            <w:tcW w:type="dxa" w:w="4997"/>
            <w:vAlign w:val="top"/>
          </w:tcPr>
          <w:p>
            <w:pPr>
              <w:spacing w:after="20"/>
            </w:pPr>
            <w:r>
              <w:rPr>
                <w:sz w:val="18"/>
              </w:rPr>
              <w:t>Stale source version during embedding</w:t>
            </w:r>
          </w:p>
        </w:tc>
        <w:tc>
          <w:tcPr>
            <w:tcW w:type="dxa" w:w="4997"/>
            <w:vAlign w:val="top"/>
          </w:tcPr>
          <w:p>
            <w:pPr>
              <w:spacing w:after="20"/>
            </w:pPr>
            <w:r>
              <w:rPr>
                <w:sz w:val="18"/>
              </w:rPr>
              <w:t>Commit validation rejects vector and requeues object.</w:t>
            </w:r>
          </w:p>
        </w:tc>
      </w:tr>
      <w:tr>
        <w:tc>
          <w:tcPr>
            <w:tcW w:type="dxa" w:w="4997"/>
            <w:vAlign w:val="top"/>
          </w:tcPr>
          <w:p>
            <w:pPr>
              <w:spacing w:after="20"/>
            </w:pPr>
            <w:r>
              <w:rPr>
                <w:sz w:val="18"/>
              </w:rPr>
              <w:t>B embedding service timeout</w:t>
            </w:r>
          </w:p>
        </w:tc>
        <w:tc>
          <w:tcPr>
            <w:tcW w:type="dxa" w:w="4997"/>
            <w:vAlign w:val="top"/>
          </w:tcPr>
          <w:p>
            <w:pPr>
              <w:spacing w:after="20"/>
            </w:pPr>
            <w:r>
              <w:rPr>
                <w:sz w:val="18"/>
              </w:rPr>
              <w:t>Action remains uncommitted; retry/idempotency preserves state.</w:t>
            </w:r>
          </w:p>
        </w:tc>
      </w:tr>
      <w:tr>
        <w:tc>
          <w:tcPr>
            <w:tcW w:type="dxa" w:w="4997"/>
            <w:vAlign w:val="top"/>
          </w:tcPr>
          <w:p>
            <w:pPr>
              <w:spacing w:after="20"/>
            </w:pPr>
            <w:r>
              <w:rPr>
                <w:sz w:val="18"/>
              </w:rPr>
              <w:t>Partial B-index write failure</w:t>
            </w:r>
          </w:p>
        </w:tc>
        <w:tc>
          <w:tcPr>
            <w:tcW w:type="dxa" w:w="4997"/>
            <w:vAlign w:val="top"/>
          </w:tcPr>
          <w:p>
            <w:pPr>
              <w:spacing w:after="20"/>
            </w:pPr>
            <w:r>
              <w:rPr>
                <w:sz w:val="18"/>
              </w:rPr>
              <w:t>Transaction/manifest prevents version map from claiming object is active under B.</w:t>
            </w:r>
          </w:p>
        </w:tc>
      </w:tr>
      <w:tr>
        <w:tc>
          <w:tcPr>
            <w:tcW w:type="dxa" w:w="4997"/>
            <w:vAlign w:val="top"/>
          </w:tcPr>
          <w:p>
            <w:pPr>
              <w:spacing w:after="20"/>
            </w:pPr>
            <w:r>
              <w:rPr>
                <w:sz w:val="18"/>
              </w:rPr>
              <w:t>Fusion duplicate object</w:t>
            </w:r>
          </w:p>
        </w:tc>
        <w:tc>
          <w:tcPr>
            <w:tcW w:type="dxa" w:w="4997"/>
            <w:vAlign w:val="top"/>
          </w:tcPr>
          <w:p>
            <w:pPr>
              <w:spacing w:after="20"/>
            </w:pPr>
            <w:r>
              <w:rPr>
                <w:sz w:val="18"/>
              </w:rPr>
              <w:t>Deduplicate by stable object ID before top-k.</w:t>
            </w:r>
          </w:p>
        </w:tc>
      </w:tr>
      <w:tr>
        <w:tc>
          <w:tcPr>
            <w:tcW w:type="dxa" w:w="4997"/>
            <w:vAlign w:val="top"/>
          </w:tcPr>
          <w:p>
            <w:pPr>
              <w:spacing w:after="20"/>
            </w:pPr>
            <w:r>
              <w:rPr>
                <w:sz w:val="18"/>
              </w:rPr>
              <w:t>Unsafe cheap repair</w:t>
            </w:r>
          </w:p>
        </w:tc>
        <w:tc>
          <w:tcPr>
            <w:tcW w:type="dxa" w:w="4997"/>
            <w:vAlign w:val="top"/>
          </w:tcPr>
          <w:p>
            <w:pPr>
              <w:spacing w:after="20"/>
            </w:pPr>
            <w:r>
              <w:rPr>
                <w:sz w:val="18"/>
              </w:rPr>
              <w:t>Preview barrier rejects and returns counterexample.</w:t>
            </w:r>
          </w:p>
        </w:tc>
      </w:tr>
      <w:tr>
        <w:tc>
          <w:tcPr>
            <w:tcW w:type="dxa" w:w="4997"/>
            <w:vAlign w:val="top"/>
          </w:tcPr>
          <w:p>
            <w:pPr>
              <w:spacing w:after="20"/>
            </w:pPr>
            <w:r>
              <w:rPr>
                <w:sz w:val="18"/>
              </w:rPr>
              <w:t>ANN update degrades recall</w:t>
            </w:r>
          </w:p>
        </w:tc>
        <w:tc>
          <w:tcPr>
            <w:tcW w:type="dxa" w:w="4997"/>
            <w:vAlign w:val="top"/>
          </w:tcPr>
          <w:p>
            <w:pPr>
              <w:spacing w:after="20"/>
            </w:pPr>
            <w:r>
              <w:rPr>
                <w:sz w:val="18"/>
              </w:rPr>
              <w:t>Held-out probes detect regression; rollback/fallback.</w:t>
            </w:r>
          </w:p>
        </w:tc>
      </w:tr>
      <w:tr>
        <w:tc>
          <w:tcPr>
            <w:tcW w:type="dxa" w:w="4997"/>
            <w:vAlign w:val="top"/>
          </w:tcPr>
          <w:p>
            <w:pPr>
              <w:spacing w:after="20"/>
            </w:pPr>
            <w:r>
              <w:rPr>
                <w:sz w:val="18"/>
              </w:rPr>
              <w:t>Corrupt probe partition</w:t>
            </w:r>
          </w:p>
        </w:tc>
        <w:tc>
          <w:tcPr>
            <w:tcW w:type="dxa" w:w="4997"/>
            <w:vAlign w:val="top"/>
          </w:tcPr>
          <w:p>
            <w:pPr>
              <w:spacing w:after="20"/>
            </w:pPr>
            <w:r>
              <w:rPr>
                <w:sz w:val="18"/>
              </w:rPr>
              <w:t>Optional ProbeQuorum marks evidence fragile/untrusted.</w:t>
            </w:r>
          </w:p>
        </w:tc>
      </w:tr>
      <w:tr>
        <w:tc>
          <w:tcPr>
            <w:tcW w:type="dxa" w:w="4997"/>
            <w:vAlign w:val="top"/>
          </w:tcPr>
          <w:p>
            <w:pPr>
              <w:spacing w:after="20"/>
            </w:pPr>
            <w:r>
              <w:rPr>
                <w:sz w:val="18"/>
              </w:rPr>
              <w:t>Process crash between writes</w:t>
            </w:r>
          </w:p>
        </w:tc>
        <w:tc>
          <w:tcPr>
            <w:tcW w:type="dxa" w:w="4997"/>
            <w:vAlign w:val="top"/>
          </w:tcPr>
          <w:p>
            <w:pPr>
              <w:spacing w:after="20"/>
            </w:pPr>
            <w:r>
              <w:rPr>
                <w:sz w:val="18"/>
              </w:rPr>
              <w:t>Recovery uses commit manifest/epoch to finish or roll back consistently.</w:t>
            </w:r>
          </w:p>
        </w:tc>
      </w:tr>
      <w:tr>
        <w:tc>
          <w:tcPr>
            <w:tcW w:type="dxa" w:w="4997"/>
            <w:vAlign w:val="top"/>
          </w:tcPr>
          <w:p>
            <w:pPr>
              <w:spacing w:after="20"/>
            </w:pPr>
            <w:r>
              <w:rPr>
                <w:sz w:val="18"/>
              </w:rPr>
              <w:t>Different embedding dimensions</w:t>
            </w:r>
          </w:p>
        </w:tc>
        <w:tc>
          <w:tcPr>
            <w:tcW w:type="dxa" w:w="4997"/>
            <w:vAlign w:val="top"/>
          </w:tcPr>
          <w:p>
            <w:pPr>
              <w:spacing w:after="20"/>
            </w:pPr>
            <w:r>
              <w:rPr>
                <w:sz w:val="18"/>
              </w:rPr>
              <w:t>Dual native indexes continue to work; no cross-space raw score comparison.</w:t>
            </w:r>
          </w:p>
        </w:tc>
      </w:tr>
    </w:tbl>
    <w:p/>
    <w:p>
      <w:pPr>
        <w:pStyle w:val="Heading2"/>
      </w:pPr>
      <w:r>
        <w:t>42.1 Property-based tests</w:t>
      </w:r>
    </w:p>
    <w:p>
      <w:pPr>
        <w:pStyle w:val="ListBullet"/>
        <w:spacing w:after="40"/>
      </w:pPr>
      <w:r>
        <w:t>An object has at most one active durable representation version in routing metadata.</w:t>
      </w:r>
    </w:p>
    <w:p>
      <w:pPr>
        <w:pStyle w:val="ListBullet"/>
        <w:spacing w:after="40"/>
      </w:pPr>
      <w:r>
        <w:t>A committed epoch references only B vectors generated from the matching source hash/version.</w:t>
      </w:r>
    </w:p>
    <w:p>
      <w:pPr>
        <w:pStyle w:val="ListBullet"/>
        <w:spacing w:after="40"/>
      </w:pPr>
      <w:r>
        <w:t>A preview cannot be committed after its base epoch becomes stale.</w:t>
      </w:r>
    </w:p>
    <w:p>
      <w:pPr>
        <w:pStyle w:val="ListBullet"/>
        <w:spacing w:after="40"/>
      </w:pPr>
      <w:r>
        <w:t>A barrier FAIL cannot transition directly to a durable commit.</w:t>
      </w:r>
    </w:p>
    <w:p>
      <w:pPr>
        <w:pStyle w:val="ListBullet"/>
        <w:spacing w:after="40"/>
      </w:pPr>
      <w:r>
        <w:t>Ground-truth-only B vectors never enter charged-work accounting.</w:t>
      </w:r>
    </w:p>
    <w:p>
      <w:pPr>
        <w:pStyle w:val="ListBullet"/>
        <w:spacing w:after="40"/>
      </w:pPr>
      <w:r>
        <w:t>Normal migration epochs are monotonic with respect to active B object set unless an explicit rollback operation is invoked.</w:t>
      </w:r>
    </w:p>
    <w:p>
      <w:r>
        <w:br w:type="page"/>
      </w:r>
    </w:p>
    <w:p>
      <w:pPr>
        <w:pStyle w:val="Heading1"/>
      </w:pPr>
      <w:r>
        <w:t>43. Unit, Integration and End-to-End Test Matrix</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Layer</w:t>
            </w:r>
          </w:p>
        </w:tc>
        <w:tc>
          <w:tcPr>
            <w:tcW w:type="dxa" w:w="4997"/>
            <w:shd w:fill="1F4E78"/>
            <w:vAlign w:val="center"/>
          </w:tcPr>
          <w:p>
            <w:r>
              <w:rPr>
                <w:b/>
                <w:color w:val="FFFFFF"/>
              </w:rPr>
              <w:t>Representative tests</w:t>
            </w:r>
          </w:p>
        </w:tc>
      </w:tr>
      <w:tr>
        <w:tc>
          <w:tcPr>
            <w:tcW w:type="dxa" w:w="4997"/>
            <w:vAlign w:val="top"/>
          </w:tcPr>
          <w:p>
            <w:pPr>
              <w:spacing w:after="20"/>
            </w:pPr>
            <w:r>
              <w:rPr>
                <w:sz w:val="18"/>
              </w:rPr>
              <w:t>Embedding adapter</w:t>
            </w:r>
          </w:p>
        </w:tc>
        <w:tc>
          <w:tcPr>
            <w:tcW w:type="dxa" w:w="4997"/>
            <w:vAlign w:val="top"/>
          </w:tcPr>
          <w:p>
            <w:pPr>
              <w:spacing w:after="20"/>
            </w:pPr>
            <w:r>
              <w:rPr>
                <w:sz w:val="18"/>
              </w:rPr>
              <w:t>Dimension, normalization, deterministic batch output, revision pinning.</w:t>
            </w:r>
          </w:p>
        </w:tc>
      </w:tr>
      <w:tr>
        <w:tc>
          <w:tcPr>
            <w:tcW w:type="dxa" w:w="4997"/>
            <w:vAlign w:val="top"/>
          </w:tcPr>
          <w:p>
            <w:pPr>
              <w:spacing w:after="20"/>
            </w:pPr>
            <w:r>
              <w:rPr>
                <w:sz w:val="18"/>
              </w:rPr>
              <w:t>Index adapter</w:t>
            </w:r>
          </w:p>
        </w:tc>
        <w:tc>
          <w:tcPr>
            <w:tcW w:type="dxa" w:w="4997"/>
            <w:vAlign w:val="top"/>
          </w:tcPr>
          <w:p>
            <w:pPr>
              <w:spacing w:after="20"/>
            </w:pPr>
            <w:r>
              <w:rPr>
                <w:sz w:val="18"/>
              </w:rPr>
              <w:t>Add/remove/search/id mapping, persistence, duplicate prevention.</w:t>
            </w:r>
          </w:p>
        </w:tc>
      </w:tr>
      <w:tr>
        <w:tc>
          <w:tcPr>
            <w:tcW w:type="dxa" w:w="4997"/>
            <w:vAlign w:val="top"/>
          </w:tcPr>
          <w:p>
            <w:pPr>
              <w:spacing w:after="20"/>
            </w:pPr>
            <w:r>
              <w:rPr>
                <w:sz w:val="18"/>
              </w:rPr>
              <w:t>Constraint evaluator</w:t>
            </w:r>
          </w:p>
        </w:tc>
        <w:tc>
          <w:tcPr>
            <w:tcW w:type="dxa" w:w="4997"/>
            <w:vAlign w:val="top"/>
          </w:tcPr>
          <w:p>
            <w:pPr>
              <w:spacing w:after="20"/>
            </w:pPr>
            <w:r>
              <w:rPr>
                <w:sz w:val="18"/>
              </w:rPr>
              <w:t>Membership, rank, exclusion, margin, slice-quality constraints.</w:t>
            </w:r>
          </w:p>
        </w:tc>
      </w:tr>
      <w:tr>
        <w:tc>
          <w:tcPr>
            <w:tcW w:type="dxa" w:w="4997"/>
            <w:vAlign w:val="top"/>
          </w:tcPr>
          <w:p>
            <w:pPr>
              <w:spacing w:after="20"/>
            </w:pPr>
            <w:r>
              <w:rPr>
                <w:sz w:val="18"/>
              </w:rPr>
              <w:t>Candidate Envelope</w:t>
            </w:r>
          </w:p>
        </w:tc>
        <w:tc>
          <w:tcPr>
            <w:tcW w:type="dxa" w:w="4997"/>
            <w:vAlign w:val="top"/>
          </w:tcPr>
          <w:p>
            <w:pPr>
              <w:spacing w:after="20"/>
            </w:pPr>
            <w:r>
              <w:rPr>
                <w:sz w:val="18"/>
              </w:rPr>
              <w:t>Expansion, cache reuse, budget exhaustion, audit miss detection.</w:t>
            </w:r>
          </w:p>
        </w:tc>
      </w:tr>
      <w:tr>
        <w:tc>
          <w:tcPr>
            <w:tcW w:type="dxa" w:w="4997"/>
            <w:vAlign w:val="top"/>
          </w:tcPr>
          <w:p>
            <w:pPr>
              <w:spacing w:after="20"/>
            </w:pPr>
            <w:r>
              <w:rPr>
                <w:sz w:val="18"/>
              </w:rPr>
              <w:t>Witness builder</w:t>
            </w:r>
          </w:p>
        </w:tc>
        <w:tc>
          <w:tcPr>
            <w:tcW w:type="dxa" w:w="4997"/>
            <w:vAlign w:val="top"/>
          </w:tcPr>
          <w:p>
            <w:pPr>
              <w:spacing w:after="20"/>
            </w:pPr>
            <w:r>
              <w:rPr>
                <w:sz w:val="18"/>
              </w:rPr>
              <w:t>Counterfactual effect correctness on toy rankings.</w:t>
            </w:r>
          </w:p>
        </w:tc>
      </w:tr>
      <w:tr>
        <w:tc>
          <w:tcPr>
            <w:tcW w:type="dxa" w:w="4997"/>
            <w:vAlign w:val="top"/>
          </w:tcPr>
          <w:p>
            <w:pPr>
              <w:spacing w:after="20"/>
            </w:pPr>
            <w:r>
              <w:rPr>
                <w:sz w:val="18"/>
              </w:rPr>
              <w:t>Optimizer</w:t>
            </w:r>
          </w:p>
        </w:tc>
        <w:tc>
          <w:tcPr>
            <w:tcW w:type="dxa" w:w="4997"/>
            <w:vAlign w:val="top"/>
          </w:tcPr>
          <w:p>
            <w:pPr>
              <w:spacing w:after="20"/>
            </w:pPr>
            <w:r>
              <w:rPr>
                <w:sz w:val="18"/>
              </w:rPr>
              <w:t>Greedy result, exact ILP oracle on small cases, budget constraints.</w:t>
            </w:r>
          </w:p>
        </w:tc>
      </w:tr>
      <w:tr>
        <w:tc>
          <w:tcPr>
            <w:tcW w:type="dxa" w:w="4997"/>
            <w:vAlign w:val="top"/>
          </w:tcPr>
          <w:p>
            <w:pPr>
              <w:spacing w:after="20"/>
            </w:pPr>
            <w:r>
              <w:rPr>
                <w:sz w:val="18"/>
              </w:rPr>
              <w:t>Preview manager</w:t>
            </w:r>
          </w:p>
        </w:tc>
        <w:tc>
          <w:tcPr>
            <w:tcW w:type="dxa" w:w="4997"/>
            <w:vAlign w:val="top"/>
          </w:tcPr>
          <w:p>
            <w:pPr>
              <w:spacing w:after="20"/>
            </w:pPr>
            <w:r>
              <w:rPr>
                <w:sz w:val="18"/>
              </w:rPr>
              <w:t>Mask A IDs, overlay B IDs, version map, composed retrieval.</w:t>
            </w:r>
          </w:p>
        </w:tc>
      </w:tr>
      <w:tr>
        <w:tc>
          <w:tcPr>
            <w:tcW w:type="dxa" w:w="4997"/>
            <w:vAlign w:val="top"/>
          </w:tcPr>
          <w:p>
            <w:pPr>
              <w:spacing w:after="20"/>
            </w:pPr>
            <w:r>
              <w:rPr>
                <w:sz w:val="18"/>
              </w:rPr>
              <w:t>Barrier</w:t>
            </w:r>
          </w:p>
        </w:tc>
        <w:tc>
          <w:tcPr>
            <w:tcW w:type="dxa" w:w="4997"/>
            <w:vAlign w:val="top"/>
          </w:tcPr>
          <w:p>
            <w:pPr>
              <w:spacing w:after="20"/>
            </w:pPr>
            <w:r>
              <w:rPr>
                <w:sz w:val="18"/>
              </w:rPr>
              <w:t>PASS/FAIL boundary, uncertainty subtraction, stale evidence rejection.</w:t>
            </w:r>
          </w:p>
        </w:tc>
      </w:tr>
      <w:tr>
        <w:tc>
          <w:tcPr>
            <w:tcW w:type="dxa" w:w="4997"/>
            <w:vAlign w:val="top"/>
          </w:tcPr>
          <w:p>
            <w:pPr>
              <w:spacing w:after="20"/>
            </w:pPr>
            <w:r>
              <w:rPr>
                <w:sz w:val="18"/>
              </w:rPr>
              <w:t>Migration commit</w:t>
            </w:r>
          </w:p>
        </w:tc>
        <w:tc>
          <w:tcPr>
            <w:tcW w:type="dxa" w:w="4997"/>
            <w:vAlign w:val="top"/>
          </w:tcPr>
          <w:p>
            <w:pPr>
              <w:spacing w:after="20"/>
            </w:pPr>
            <w:r>
              <w:rPr>
                <w:sz w:val="18"/>
              </w:rPr>
              <w:t>Source-version validation, idempotency, epoch conflict, rollback.</w:t>
            </w:r>
          </w:p>
        </w:tc>
      </w:tr>
      <w:tr>
        <w:tc>
          <w:tcPr>
            <w:tcW w:type="dxa" w:w="4997"/>
            <w:vAlign w:val="top"/>
          </w:tcPr>
          <w:p>
            <w:pPr>
              <w:spacing w:after="20"/>
            </w:pPr>
            <w:r>
              <w:rPr>
                <w:sz w:val="18"/>
              </w:rPr>
              <w:t>Dual-space retrieval</w:t>
            </w:r>
          </w:p>
        </w:tc>
        <w:tc>
          <w:tcPr>
            <w:tcW w:type="dxa" w:w="4997"/>
            <w:vAlign w:val="top"/>
          </w:tcPr>
          <w:p>
            <w:pPr>
              <w:spacing w:after="20"/>
            </w:pPr>
            <w:r>
              <w:rPr>
                <w:sz w:val="18"/>
              </w:rPr>
              <w:t>Different dimensions, RRF, deduplication, stable object identity.</w:t>
            </w:r>
          </w:p>
        </w:tc>
      </w:tr>
      <w:tr>
        <w:tc>
          <w:tcPr>
            <w:tcW w:type="dxa" w:w="4997"/>
            <w:vAlign w:val="top"/>
          </w:tcPr>
          <w:p>
            <w:pPr>
              <w:spacing w:after="20"/>
            </w:pPr>
            <w:r>
              <w:rPr>
                <w:sz w:val="18"/>
              </w:rPr>
              <w:t>Experiment harness</w:t>
            </w:r>
          </w:p>
        </w:tc>
        <w:tc>
          <w:tcPr>
            <w:tcW w:type="dxa" w:w="4997"/>
            <w:vAlign w:val="top"/>
          </w:tcPr>
          <w:p>
            <w:pPr>
              <w:spacing w:after="20"/>
            </w:pPr>
            <w:r>
              <w:rPr>
                <w:sz w:val="18"/>
              </w:rPr>
              <w:t>Cost ledger correctness, no leakage of ground-truth B vectors.</w:t>
            </w:r>
          </w:p>
        </w:tc>
      </w:tr>
      <w:tr>
        <w:tc>
          <w:tcPr>
            <w:tcW w:type="dxa" w:w="4997"/>
            <w:vAlign w:val="top"/>
          </w:tcPr>
          <w:p>
            <w:pPr>
              <w:spacing w:after="20"/>
            </w:pPr>
            <w:r>
              <w:rPr>
                <w:sz w:val="18"/>
              </w:rPr>
              <w:t>E2E</w:t>
            </w:r>
          </w:p>
        </w:tc>
        <w:tc>
          <w:tcPr>
            <w:tcW w:type="dxa" w:w="4997"/>
            <w:vAlign w:val="top"/>
          </w:tcPr>
          <w:p>
            <w:pPr>
              <w:spacing w:after="20"/>
            </w:pPr>
            <w:r>
              <w:rPr>
                <w:sz w:val="18"/>
              </w:rPr>
              <w:t>A→B migration on tiny corpus reaches expected final state with reproducible manifest.</w:t>
            </w:r>
          </w:p>
        </w:tc>
      </w:tr>
    </w:tbl>
    <w:p/>
    <w:p>
      <w:r>
        <w:br w:type="page"/>
      </w:r>
    </w:p>
    <w:p>
      <w:pPr>
        <w:pStyle w:val="Heading1"/>
      </w:pPr>
      <w:r>
        <w:t>44. Performance and Scaling Strategy</w:t>
      </w:r>
    </w:p>
    <w:p>
      <w:pPr>
        <w:spacing w:after="120" w:line="259" w:lineRule="auto"/>
      </w:pPr>
      <w:r>
        <w:t>Do not optimize before the mechanism works. The likely high-cost components are B embedding calls, candidate-envelope expansion, repeated counterfactual preview evaluation, and ANN mutation. Instrument these from day one with timers and counters so optimization is evidence-driven.</w:t>
      </w:r>
    </w:p>
    <w:p>
      <w:pPr>
        <w:pStyle w:val="Heading2"/>
      </w:pPr>
      <w:r>
        <w:t>44.1 Caching</w:t>
      </w:r>
    </w:p>
    <w:p>
      <w:pPr>
        <w:pStyle w:val="ListBullet"/>
        <w:spacing w:after="40"/>
      </w:pPr>
      <w:r>
        <w:t>Cache B embeddings by object content hash + model B revision.</w:t>
      </w:r>
    </w:p>
    <w:p>
      <w:pPr>
        <w:pStyle w:val="ListBullet"/>
        <w:spacing w:after="40"/>
      </w:pPr>
      <w:r>
        <w:t>Cache query A/B embeddings by query text hash + model revision.</w:t>
      </w:r>
    </w:p>
    <w:p>
      <w:pPr>
        <w:pStyle w:val="ListBullet"/>
        <w:spacing w:after="40"/>
      </w:pPr>
      <w:r>
        <w:t>Cache candidate-envelope scores and reuse them across witness evaluation.</w:t>
      </w:r>
    </w:p>
    <w:p>
      <w:pPr>
        <w:pStyle w:val="ListBullet"/>
        <w:spacing w:after="40"/>
      </w:pPr>
      <w:r>
        <w:t>Cache preview results for identical action/query pairs.</w:t>
      </w:r>
    </w:p>
    <w:p>
      <w:pPr>
        <w:pStyle w:val="ListBullet"/>
        <w:spacing w:after="40"/>
      </w:pPr>
      <w:r>
        <w:t>Invalidate cache entries when source version, model revision, index config or fusion policy changes.</w:t>
      </w:r>
    </w:p>
    <w:p>
      <w:pPr>
        <w:pStyle w:val="Heading2"/>
      </w:pPr>
      <w:r>
        <w:t>44.2 Batch operations</w:t>
      </w:r>
    </w:p>
    <w:p>
      <w:pPr>
        <w:spacing w:after="120" w:line="259" w:lineRule="auto"/>
      </w:pPr>
      <w:r>
        <w:t>Batch B embedding requests to exploit matrix throughput. Keep a logical charged count by object even when the model invocation batches many objects. For Qdrant/FAISS updates, group accepted B insertions per migration epoch but preserve per-object source/version metadata. Measure both end-to-end wall clock and raw embedding throughput.</w:t>
      </w:r>
    </w:p>
    <w:p>
      <w:pPr>
        <w:pStyle w:val="Heading2"/>
      </w:pPr>
      <w:r>
        <w:t>44.3 Candidate and witness pruning</w:t>
      </w:r>
    </w:p>
    <w:p>
      <w:pPr>
        <w:spacing w:after="120" w:line="259" w:lineRule="auto"/>
      </w:pPr>
      <w:r>
        <w:t>Use top-margin proximity, violation severity, repeated witness frequency and action-effect confidence to prune low-value candidate actions. Preserve a debug mode that disables pruning on small datasets so the approximation can be compared with exhaustive or ILP results.</w:t>
      </w:r>
    </w:p>
    <w:p>
      <w:r>
        <w:br w:type="page"/>
      </w:r>
    </w:p>
    <w:p>
      <w:pPr>
        <w:pStyle w:val="Heading1"/>
      </w:pPr>
      <w:r>
        <w:t>45. Security and Threat Model</w:t>
      </w:r>
    </w:p>
    <w:p>
      <w:pPr>
        <w:spacing w:after="120" w:line="259" w:lineRule="auto"/>
      </w:pPr>
      <w:r>
        <w:t>TopoPatch is primarily a migration system, not a security product, but several threats can invalidate safety evidence or corrupt state. The specification should state trust assumptions explicitly.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Threat</w:t>
            </w:r>
          </w:p>
        </w:tc>
        <w:tc>
          <w:tcPr>
            <w:tcW w:type="dxa" w:w="3331"/>
            <w:shd w:fill="1F4E78"/>
            <w:vAlign w:val="center"/>
          </w:tcPr>
          <w:p>
            <w:r>
              <w:rPr>
                <w:b/>
                <w:color w:val="FFFFFF"/>
              </w:rPr>
              <w:t>Impact</w:t>
            </w:r>
          </w:p>
        </w:tc>
        <w:tc>
          <w:tcPr>
            <w:tcW w:type="dxa" w:w="3331"/>
            <w:shd w:fill="1F4E78"/>
            <w:vAlign w:val="center"/>
          </w:tcPr>
          <w:p>
            <w:r>
              <w:rPr>
                <w:b/>
                <w:color w:val="FFFFFF"/>
              </w:rPr>
              <w:t>Mitigation</w:t>
            </w:r>
          </w:p>
        </w:tc>
      </w:tr>
      <w:tr>
        <w:tc>
          <w:tcPr>
            <w:tcW w:type="dxa" w:w="3331"/>
            <w:vAlign w:val="top"/>
          </w:tcPr>
          <w:p>
            <w:pPr>
              <w:spacing w:after="20"/>
            </w:pPr>
            <w:r>
              <w:rPr>
                <w:sz w:val="18"/>
              </w:rPr>
              <w:t>Poisoned/unrepresentative protected queries</w:t>
            </w:r>
          </w:p>
        </w:tc>
        <w:tc>
          <w:tcPr>
            <w:tcW w:type="dxa" w:w="3331"/>
            <w:vAlign w:val="top"/>
          </w:tcPr>
          <w:p>
            <w:pPr>
              <w:spacing w:after="20"/>
            </w:pPr>
            <w:r>
              <w:rPr>
                <w:sz w:val="18"/>
              </w:rPr>
              <w:t>False safety decision</w:t>
            </w:r>
          </w:p>
        </w:tc>
        <w:tc>
          <w:tcPr>
            <w:tcW w:type="dxa" w:w="3331"/>
            <w:vAlign w:val="top"/>
          </w:tcPr>
          <w:p>
            <w:pPr>
              <w:spacing w:after="20"/>
            </w:pPr>
            <w:r>
              <w:rPr>
                <w:sz w:val="18"/>
              </w:rPr>
              <w:t>Curated sources, held-out probes, optional ProbeQuorum.</w:t>
            </w:r>
          </w:p>
        </w:tc>
      </w:tr>
      <w:tr>
        <w:tc>
          <w:tcPr>
            <w:tcW w:type="dxa" w:w="3331"/>
            <w:vAlign w:val="top"/>
          </w:tcPr>
          <w:p>
            <w:pPr>
              <w:spacing w:after="20"/>
            </w:pPr>
            <w:r>
              <w:rPr>
                <w:sz w:val="18"/>
              </w:rPr>
              <w:t>Tampered source document during embedding</w:t>
            </w:r>
          </w:p>
        </w:tc>
        <w:tc>
          <w:tcPr>
            <w:tcW w:type="dxa" w:w="3331"/>
            <w:vAlign w:val="top"/>
          </w:tcPr>
          <w:p>
            <w:pPr>
              <w:spacing w:after="20"/>
            </w:pPr>
            <w:r>
              <w:rPr>
                <w:sz w:val="18"/>
              </w:rPr>
              <w:t>Stale/incorrect B vector</w:t>
            </w:r>
          </w:p>
        </w:tc>
        <w:tc>
          <w:tcPr>
            <w:tcW w:type="dxa" w:w="3331"/>
            <w:vAlign w:val="top"/>
          </w:tcPr>
          <w:p>
            <w:pPr>
              <w:spacing w:after="20"/>
            </w:pPr>
            <w:r>
              <w:rPr>
                <w:sz w:val="18"/>
              </w:rPr>
              <w:t>Content hash + source version validation.</w:t>
            </w:r>
          </w:p>
        </w:tc>
      </w:tr>
      <w:tr>
        <w:tc>
          <w:tcPr>
            <w:tcW w:type="dxa" w:w="3331"/>
            <w:vAlign w:val="top"/>
          </w:tcPr>
          <w:p>
            <w:pPr>
              <w:spacing w:after="20"/>
            </w:pPr>
            <w:r>
              <w:rPr>
                <w:sz w:val="18"/>
              </w:rPr>
              <w:t>Model supply-chain change</w:t>
            </w:r>
          </w:p>
        </w:tc>
        <w:tc>
          <w:tcPr>
            <w:tcW w:type="dxa" w:w="3331"/>
            <w:vAlign w:val="top"/>
          </w:tcPr>
          <w:p>
            <w:pPr>
              <w:spacing w:after="20"/>
            </w:pPr>
            <w:r>
              <w:rPr>
                <w:sz w:val="18"/>
              </w:rPr>
              <w:t>Non-reproducible embeddings</w:t>
            </w:r>
          </w:p>
        </w:tc>
        <w:tc>
          <w:tcPr>
            <w:tcW w:type="dxa" w:w="3331"/>
            <w:vAlign w:val="top"/>
          </w:tcPr>
          <w:p>
            <w:pPr>
              <w:spacing w:after="20"/>
            </w:pPr>
            <w:r>
              <w:rPr>
                <w:sz w:val="18"/>
              </w:rPr>
              <w:t>Pin model revision/hash and embedding configuration.</w:t>
            </w:r>
          </w:p>
        </w:tc>
      </w:tr>
      <w:tr>
        <w:tc>
          <w:tcPr>
            <w:tcW w:type="dxa" w:w="3331"/>
            <w:vAlign w:val="top"/>
          </w:tcPr>
          <w:p>
            <w:pPr>
              <w:spacing w:after="20"/>
            </w:pPr>
            <w:r>
              <w:rPr>
                <w:sz w:val="18"/>
              </w:rPr>
              <w:t>Unauthorized commit</w:t>
            </w:r>
          </w:p>
        </w:tc>
        <w:tc>
          <w:tcPr>
            <w:tcW w:type="dxa" w:w="3331"/>
            <w:vAlign w:val="top"/>
          </w:tcPr>
          <w:p>
            <w:pPr>
              <w:spacing w:after="20"/>
            </w:pPr>
            <w:r>
              <w:rPr>
                <w:sz w:val="18"/>
              </w:rPr>
              <w:t>Unsafe state becomes durable</w:t>
            </w:r>
          </w:p>
        </w:tc>
        <w:tc>
          <w:tcPr>
            <w:tcW w:type="dxa" w:w="3331"/>
            <w:vAlign w:val="top"/>
          </w:tcPr>
          <w:p>
            <w:pPr>
              <w:spacing w:after="20"/>
            </w:pPr>
            <w:r>
              <w:rPr>
                <w:sz w:val="18"/>
              </w:rPr>
              <w:t>Authenticated control plane, barrier evidence requirement, immutable commit log.</w:t>
            </w:r>
          </w:p>
        </w:tc>
      </w:tr>
      <w:tr>
        <w:tc>
          <w:tcPr>
            <w:tcW w:type="dxa" w:w="3331"/>
            <w:vAlign w:val="top"/>
          </w:tcPr>
          <w:p>
            <w:pPr>
              <w:spacing w:after="20"/>
            </w:pPr>
            <w:r>
              <w:rPr>
                <w:sz w:val="18"/>
              </w:rPr>
              <w:t>Metrics manipulation</w:t>
            </w:r>
          </w:p>
        </w:tc>
        <w:tc>
          <w:tcPr>
            <w:tcW w:type="dxa" w:w="3331"/>
            <w:vAlign w:val="top"/>
          </w:tcPr>
          <w:p>
            <w:pPr>
              <w:spacing w:after="20"/>
            </w:pPr>
            <w:r>
              <w:rPr>
                <w:sz w:val="18"/>
              </w:rPr>
              <w:t>False patent/performance evidence</w:t>
            </w:r>
          </w:p>
        </w:tc>
        <w:tc>
          <w:tcPr>
            <w:tcW w:type="dxa" w:w="3331"/>
            <w:vAlign w:val="top"/>
          </w:tcPr>
          <w:p>
            <w:pPr>
              <w:spacing w:after="20"/>
            </w:pPr>
            <w:r>
              <w:rPr>
                <w:sz w:val="18"/>
              </w:rPr>
              <w:t>Persist raw results, manifests and independent rerun scripts.</w:t>
            </w:r>
          </w:p>
        </w:tc>
      </w:tr>
      <w:tr>
        <w:tc>
          <w:tcPr>
            <w:tcW w:type="dxa" w:w="3331"/>
            <w:vAlign w:val="top"/>
          </w:tcPr>
          <w:p>
            <w:pPr>
              <w:spacing w:after="20"/>
            </w:pPr>
            <w:r>
              <w:rPr>
                <w:sz w:val="18"/>
              </w:rPr>
              <w:t>Index corruption</w:t>
            </w:r>
          </w:p>
        </w:tc>
        <w:tc>
          <w:tcPr>
            <w:tcW w:type="dxa" w:w="3331"/>
            <w:vAlign w:val="top"/>
          </w:tcPr>
          <w:p>
            <w:pPr>
              <w:spacing w:after="20"/>
            </w:pPr>
            <w:r>
              <w:rPr>
                <w:sz w:val="18"/>
              </w:rPr>
              <w:t>Retrieval regression</w:t>
            </w:r>
          </w:p>
        </w:tc>
        <w:tc>
          <w:tcPr>
            <w:tcW w:type="dxa" w:w="3331"/>
            <w:vAlign w:val="top"/>
          </w:tcPr>
          <w:p>
            <w:pPr>
              <w:spacing w:after="20"/>
            </w:pPr>
            <w:r>
              <w:rPr>
                <w:sz w:val="18"/>
              </w:rPr>
              <w:t>Checksums/snapshots, post-commit held-out tests, rollback.</w:t>
            </w:r>
          </w:p>
        </w:tc>
      </w:tr>
    </w:tbl>
    <w:p/>
    <w:p>
      <w:pPr>
        <w:pStyle w:val="Heading2"/>
      </w:pPr>
      <w:r>
        <w:t>45.1 Explicit trust assumptions</w:t>
      </w:r>
    </w:p>
    <w:p>
      <w:pPr>
        <w:spacing w:after="120" w:line="259" w:lineRule="auto"/>
      </w:pPr>
      <w:r>
        <w:t>Assume the underlying embedding models execute as specified and the vector database/search library is not malicious. ProbeQuorum addresses only limited calibration-source corruption; it is not Byzantine consensus for the entire control plane. The patent claims should not imply cryptographic or adversarial guarantees unless implemented and supported.</w:t>
      </w:r>
    </w:p>
    <w:p>
      <w:r>
        <w:br w:type="page"/>
      </w:r>
    </w:p>
    <w:p>
      <w:pPr>
        <w:pStyle w:val="Heading1"/>
      </w:pPr>
      <w:r>
        <w:t>46. Observability and Evidence Logging</w:t>
      </w:r>
    </w:p>
    <w:p>
      <w:pPr>
        <w:spacing w:after="120" w:line="259" w:lineRule="auto"/>
      </w:pPr>
      <w:r>
        <w:t>Every important decision should be explainable after the fact without rerunning the entire experiment. This is useful for debugging, paper review, and patent prosecution evidence.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Event</w:t>
            </w:r>
          </w:p>
        </w:tc>
        <w:tc>
          <w:tcPr>
            <w:tcW w:type="dxa" w:w="4997"/>
            <w:shd w:fill="1F4E78"/>
            <w:vAlign w:val="center"/>
          </w:tcPr>
          <w:p>
            <w:r>
              <w:rPr>
                <w:b/>
                <w:color w:val="FFFFFF"/>
              </w:rPr>
              <w:t>Minimum fields</w:t>
            </w:r>
          </w:p>
        </w:tc>
      </w:tr>
      <w:tr>
        <w:tc>
          <w:tcPr>
            <w:tcW w:type="dxa" w:w="4997"/>
            <w:vAlign w:val="top"/>
          </w:tcPr>
          <w:p>
            <w:pPr>
              <w:spacing w:after="20"/>
            </w:pPr>
            <w:r>
              <w:rPr>
                <w:sz w:val="18"/>
              </w:rPr>
              <w:t>ENVELOPE_RESOLVED</w:t>
            </w:r>
          </w:p>
        </w:tc>
        <w:tc>
          <w:tcPr>
            <w:tcW w:type="dxa" w:w="4997"/>
            <w:vAlign w:val="top"/>
          </w:tcPr>
          <w:p>
            <w:pPr>
              <w:spacing w:after="20"/>
            </w:pPr>
            <w:r>
              <w:rPr>
                <w:sz w:val="18"/>
              </w:rPr>
              <w:t>query_id, round, candidate count, B calls, uncertainty, audit result</w:t>
            </w:r>
          </w:p>
        </w:tc>
      </w:tr>
      <w:tr>
        <w:tc>
          <w:tcPr>
            <w:tcW w:type="dxa" w:w="4997"/>
            <w:vAlign w:val="top"/>
          </w:tcPr>
          <w:p>
            <w:pPr>
              <w:spacing w:after="20"/>
            </w:pPr>
            <w:r>
              <w:rPr>
                <w:sz w:val="18"/>
              </w:rPr>
              <w:t>VIOLATION_FOUND</w:t>
            </w:r>
          </w:p>
        </w:tc>
        <w:tc>
          <w:tcPr>
            <w:tcW w:type="dxa" w:w="4997"/>
            <w:vAlign w:val="top"/>
          </w:tcPr>
          <w:p>
            <w:pPr>
              <w:spacing w:after="20"/>
            </w:pPr>
            <w:r>
              <w:rPr>
                <w:sz w:val="18"/>
              </w:rPr>
              <w:t>query_id, constraint, reference result, candidate result, severity</w:t>
            </w:r>
          </w:p>
        </w:tc>
      </w:tr>
      <w:tr>
        <w:tc>
          <w:tcPr>
            <w:tcW w:type="dxa" w:w="4997"/>
            <w:vAlign w:val="top"/>
          </w:tcPr>
          <w:p>
            <w:pPr>
              <w:spacing w:after="20"/>
            </w:pPr>
            <w:r>
              <w:rPr>
                <w:sz w:val="18"/>
              </w:rPr>
              <w:t>WITNESS_EVALUATED</w:t>
            </w:r>
          </w:p>
        </w:tc>
        <w:tc>
          <w:tcPr>
            <w:tcW w:type="dxa" w:w="4997"/>
            <w:vAlign w:val="top"/>
          </w:tcPr>
          <w:p>
            <w:pPr>
              <w:spacing w:after="20"/>
            </w:pPr>
            <w:r>
              <w:rPr>
                <w:sz w:val="18"/>
              </w:rPr>
              <w:t>violation_id, action_id, delta rank/margin, confidence, cost</w:t>
            </w:r>
          </w:p>
        </w:tc>
      </w:tr>
      <w:tr>
        <w:tc>
          <w:tcPr>
            <w:tcW w:type="dxa" w:w="4997"/>
            <w:vAlign w:val="top"/>
          </w:tcPr>
          <w:p>
            <w:pPr>
              <w:spacing w:after="20"/>
            </w:pPr>
            <w:r>
              <w:rPr>
                <w:sz w:val="18"/>
              </w:rPr>
              <w:t>ACTION_PROPOSED</w:t>
            </w:r>
          </w:p>
        </w:tc>
        <w:tc>
          <w:tcPr>
            <w:tcW w:type="dxa" w:w="4997"/>
            <w:vAlign w:val="top"/>
          </w:tcPr>
          <w:p>
            <w:pPr>
              <w:spacing w:after="20"/>
            </w:pPr>
            <w:r>
              <w:rPr>
                <w:sz w:val="18"/>
              </w:rPr>
              <w:t>action_id, object set, cost vector, covered violations</w:t>
            </w:r>
          </w:p>
        </w:tc>
      </w:tr>
      <w:tr>
        <w:tc>
          <w:tcPr>
            <w:tcW w:type="dxa" w:w="4997"/>
            <w:vAlign w:val="top"/>
          </w:tcPr>
          <w:p>
            <w:pPr>
              <w:spacing w:after="20"/>
            </w:pPr>
            <w:r>
              <w:rPr>
                <w:sz w:val="18"/>
              </w:rPr>
              <w:t>PREVIEW_CREATED</w:t>
            </w:r>
          </w:p>
        </w:tc>
        <w:tc>
          <w:tcPr>
            <w:tcW w:type="dxa" w:w="4997"/>
            <w:vAlign w:val="top"/>
          </w:tcPr>
          <w:p>
            <w:pPr>
              <w:spacing w:after="20"/>
            </w:pPr>
            <w:r>
              <w:rPr>
                <w:sz w:val="18"/>
              </w:rPr>
              <w:t>preview_id, base epoch, delta digest, source snapshot</w:t>
            </w:r>
          </w:p>
        </w:tc>
      </w:tr>
      <w:tr>
        <w:tc>
          <w:tcPr>
            <w:tcW w:type="dxa" w:w="4997"/>
            <w:vAlign w:val="top"/>
          </w:tcPr>
          <w:p>
            <w:pPr>
              <w:spacing w:after="20"/>
            </w:pPr>
            <w:r>
              <w:rPr>
                <w:sz w:val="18"/>
              </w:rPr>
              <w:t>BARRIER_EVALUATED</w:t>
            </w:r>
          </w:p>
        </w:tc>
        <w:tc>
          <w:tcPr>
            <w:tcW w:type="dxa" w:w="4997"/>
            <w:vAlign w:val="top"/>
          </w:tcPr>
          <w:p>
            <w:pPr>
              <w:spacing w:after="20"/>
            </w:pPr>
            <w:r>
              <w:rPr>
                <w:sz w:val="18"/>
              </w:rPr>
              <w:t>preview_id, protected slice, lower bound, uncertainties, pass/fail</w:t>
            </w:r>
          </w:p>
        </w:tc>
      </w:tr>
      <w:tr>
        <w:tc>
          <w:tcPr>
            <w:tcW w:type="dxa" w:w="4997"/>
            <w:vAlign w:val="top"/>
          </w:tcPr>
          <w:p>
            <w:pPr>
              <w:spacing w:after="20"/>
            </w:pPr>
            <w:r>
              <w:rPr>
                <w:sz w:val="18"/>
              </w:rPr>
              <w:t>COMMIT_ACCEPTED</w:t>
            </w:r>
          </w:p>
        </w:tc>
        <w:tc>
          <w:tcPr>
            <w:tcW w:type="dxa" w:w="4997"/>
            <w:vAlign w:val="top"/>
          </w:tcPr>
          <w:p>
            <w:pPr>
              <w:spacing w:after="20"/>
            </w:pPr>
            <w:r>
              <w:rPr>
                <w:sz w:val="18"/>
              </w:rPr>
              <w:t>epoch, preview_id, migrated objects, index/routing digests</w:t>
            </w:r>
          </w:p>
        </w:tc>
      </w:tr>
      <w:tr>
        <w:tc>
          <w:tcPr>
            <w:tcW w:type="dxa" w:w="4997"/>
            <w:vAlign w:val="top"/>
          </w:tcPr>
          <w:p>
            <w:pPr>
              <w:spacing w:after="20"/>
            </w:pPr>
            <w:r>
              <w:rPr>
                <w:sz w:val="18"/>
              </w:rPr>
              <w:t>COMMIT_REJECTED</w:t>
            </w:r>
          </w:p>
        </w:tc>
        <w:tc>
          <w:tcPr>
            <w:tcW w:type="dxa" w:w="4997"/>
            <w:vAlign w:val="top"/>
          </w:tcPr>
          <w:p>
            <w:pPr>
              <w:spacing w:after="20"/>
            </w:pPr>
            <w:r>
              <w:rPr>
                <w:sz w:val="18"/>
              </w:rPr>
              <w:t>preview_id, reason, counterexample ids</w:t>
            </w:r>
          </w:p>
        </w:tc>
      </w:tr>
      <w:tr>
        <w:tc>
          <w:tcPr>
            <w:tcW w:type="dxa" w:w="4997"/>
            <w:vAlign w:val="top"/>
          </w:tcPr>
          <w:p>
            <w:pPr>
              <w:spacing w:after="20"/>
            </w:pPr>
            <w:r>
              <w:rPr>
                <w:sz w:val="18"/>
              </w:rPr>
              <w:t>FALLBACK_CHANGED</w:t>
            </w:r>
          </w:p>
        </w:tc>
        <w:tc>
          <w:tcPr>
            <w:tcW w:type="dxa" w:w="4997"/>
            <w:vAlign w:val="top"/>
          </w:tcPr>
          <w:p>
            <w:pPr>
              <w:spacing w:after="20"/>
            </w:pPr>
            <w:r>
              <w:rPr>
                <w:sz w:val="18"/>
              </w:rPr>
              <w:t>query slice, old/new path, reason</w:t>
            </w:r>
          </w:p>
        </w:tc>
      </w:tr>
      <w:tr>
        <w:tc>
          <w:tcPr>
            <w:tcW w:type="dxa" w:w="4997"/>
            <w:vAlign w:val="top"/>
          </w:tcPr>
          <w:p>
            <w:pPr>
              <w:spacing w:after="20"/>
            </w:pPr>
            <w:r>
              <w:rPr>
                <w:sz w:val="18"/>
              </w:rPr>
              <w:t>POST_COMMIT_REGRESSION</w:t>
            </w:r>
          </w:p>
        </w:tc>
        <w:tc>
          <w:tcPr>
            <w:tcW w:type="dxa" w:w="4997"/>
            <w:vAlign w:val="top"/>
          </w:tcPr>
          <w:p>
            <w:pPr>
              <w:spacing w:after="20"/>
            </w:pPr>
            <w:r>
              <w:rPr>
                <w:sz w:val="18"/>
              </w:rPr>
              <w:t>epoch, held-out metrics, new violations</w:t>
            </w:r>
          </w:p>
        </w:tc>
      </w:tr>
    </w:tbl>
    <w:p/>
    <w:p>
      <w:r>
        <w:br w:type="page"/>
      </w:r>
    </w:p>
    <w:p>
      <w:pPr>
        <w:pStyle w:val="Heading1"/>
      </w:pPr>
      <w:r>
        <w:t>47. Dashboard and Demo Experience</w:t>
      </w:r>
    </w:p>
    <w:p>
      <w:pPr>
        <w:spacing w:after="120" w:line="259" w:lineRule="auto"/>
      </w:pPr>
      <w:r>
        <w:t>The dashboard exists to make the technical mechanism understandable, not to define the invention. A strong demo should visually show why a naive cheap repair is rejected and why TopoPatch performs a different state transition.</w:t>
      </w:r>
    </w:p>
    <w:p>
      <w:pPr>
        <w:pStyle w:val="Heading2"/>
      </w:pPr>
      <w:r>
        <w:t>47.1 Main views</w:t>
      </w:r>
    </w:p>
    <w:p>
      <w:pPr>
        <w:pStyle w:val="ListBullet"/>
        <w:spacing w:after="40"/>
      </w:pPr>
      <w:r>
        <w:t>Migration overview: A/B model metadata, corpus size, current migration fraction, charged B calls, bytes/index work avoided.</w:t>
      </w:r>
    </w:p>
    <w:p>
      <w:pPr>
        <w:pStyle w:val="ListBullet"/>
        <w:spacing w:after="40"/>
      </w:pPr>
      <w:r>
        <w:t>Violation explorer: protected query, Model-A reference, current/preview ranking, violated constraint.</w:t>
      </w:r>
    </w:p>
    <w:p>
      <w:pPr>
        <w:pStyle w:val="ListBullet"/>
        <w:spacing w:after="40"/>
      </w:pPr>
      <w:r>
        <w:t>Witness graph: violation nodes connected to candidate migration actions with delta-margin and cost.</w:t>
      </w:r>
    </w:p>
    <w:p>
      <w:pPr>
        <w:pStyle w:val="ListBullet"/>
        <w:spacing w:after="40"/>
      </w:pPr>
      <w:r>
        <w:t>Action preview: selected object set, tentative A removals/B insertions, expected resource work.</w:t>
      </w:r>
    </w:p>
    <w:p>
      <w:pPr>
        <w:pStyle w:val="ListBullet"/>
        <w:spacing w:after="40"/>
      </w:pPr>
      <w:r>
        <w:t>Safety barrier: protected constraints, uncertainty terms, PASS/FAIL and the counterexample that caused rejection.</w:t>
      </w:r>
    </w:p>
    <w:p>
      <w:pPr>
        <w:pStyle w:val="ListBullet"/>
        <w:spacing w:after="40"/>
      </w:pPr>
      <w:r>
        <w:t>Timeline: migration epochs, committed/failed previews, fallback activation and quality/cost curves.</w:t>
      </w:r>
    </w:p>
    <w:p>
      <w:pPr>
        <w:pStyle w:val="ListBullet"/>
        <w:spacing w:after="40"/>
      </w:pPr>
      <w:r>
        <w:t>Baseline comparison: Full-B, random partial, progressive materialization, cost-only repair, full TopoPatch.</w:t>
      </w:r>
    </w:p>
    <w:p>
      <w:pPr>
        <w:pStyle w:val="Heading2"/>
      </w:pPr>
      <w:r>
        <w:t>47.2 Best live demo sequence</w:t>
      </w:r>
    </w:p>
    <w:p>
      <w:pPr>
        <w:pStyle w:val="ListNumber"/>
        <w:spacing w:after="40"/>
      </w:pPr>
      <w:r>
        <w:t>Load a precomputed A index and a target B model.</w:t>
      </w:r>
    </w:p>
    <w:p>
      <w:pPr>
        <w:pStyle w:val="ListNumber"/>
        <w:spacing w:after="40"/>
      </w:pPr>
      <w:r>
        <w:t>Show a protected query whose ranking changes badly under a partial migration candidate.</w:t>
      </w:r>
    </w:p>
    <w:p>
      <w:pPr>
        <w:pStyle w:val="ListNumber"/>
        <w:spacing w:after="40"/>
      </w:pPr>
      <w:r>
        <w:t>Run Candidate Envelope and expose the charged B embedding count.</w:t>
      </w:r>
    </w:p>
    <w:p>
      <w:pPr>
        <w:pStyle w:val="ListNumber"/>
        <w:spacing w:after="40"/>
      </w:pPr>
      <w:r>
        <w:t>Display the witness actions and the cost-only repair choice.</w:t>
      </w:r>
    </w:p>
    <w:p>
      <w:pPr>
        <w:pStyle w:val="ListNumber"/>
        <w:spacing w:after="40"/>
      </w:pPr>
      <w:r>
        <w:t>Show the copy-on-write preview state.</w:t>
      </w:r>
    </w:p>
    <w:p>
      <w:pPr>
        <w:pStyle w:val="ListNumber"/>
        <w:spacing w:after="40"/>
      </w:pPr>
      <w:r>
        <w:t>Demonstrate the barrier rejecting the cheap unsafe action.</w:t>
      </w:r>
    </w:p>
    <w:p>
      <w:pPr>
        <w:pStyle w:val="ListNumber"/>
        <w:spacing w:after="40"/>
      </w:pPr>
      <w:r>
        <w:t>Run the next repair iteration and show a small additional migration or scoped fallback.</w:t>
      </w:r>
    </w:p>
    <w:p>
      <w:pPr>
        <w:pStyle w:val="ListNumber"/>
        <w:spacing w:after="40"/>
      </w:pPr>
      <w:r>
        <w:t>Show the accepted commit and updated resource/quality metrics.</w:t>
      </w:r>
    </w:p>
    <w:p>
      <w:pPr>
        <w:pStyle w:val="ListNumber"/>
        <w:spacing w:after="40"/>
      </w:pPr>
      <w:r>
        <w:t>Compare total work with Full-B migration and a progressive candidate-materialization baseline.</w:t>
      </w:r>
    </w:p>
    <w:p>
      <w:r>
        <w:br w:type="page"/>
      </w:r>
    </w:p>
    <w:p>
      <w:pPr>
        <w:pStyle w:val="Heading1"/>
      </w:pPr>
      <w:r>
        <w:t>48. Research Paper Plan</w:t>
      </w:r>
    </w:p>
    <w:p>
      <w:pPr>
        <w:spacing w:after="120" w:line="259" w:lineRule="auto"/>
      </w:pPr>
      <w:r>
        <w:t>The project can support a systems/IR paper even if patent scope remains narrow. The research contribution should be phrased around selective model-version migration under protected retrieval constraints and resource accounting, not around generic RAG optimization.</w:t>
      </w:r>
    </w:p>
    <w:p>
      <w:pPr>
        <w:pStyle w:val="Heading2"/>
      </w:pPr>
      <w:r>
        <w:t>48.1 Possible paper title</w:t>
      </w:r>
    </w:p>
    <w:tbl>
      <w:tblPr>
        <w:tblStyle w:val="TableGrid"/>
        <w:tblW w:type="auto" w:w="0"/>
        <w:tblLook w:firstColumn="1" w:firstRow="1" w:lastColumn="0" w:lastRow="0" w:noHBand="0" w:noVBand="1" w:val="04A0"/>
      </w:tblPr>
      <w:tblGrid>
        <w:gridCol w:w="9994"/>
      </w:tblGrid>
      <w:tr>
        <w:tc>
          <w:tcPr>
            <w:tcW w:type="dxa" w:w="9994"/>
            <w:shd w:fill="EAF2F8"/>
          </w:tcPr>
          <w:p>
            <w:r>
              <w:rPr>
                <w:b/>
                <w:sz w:val="21"/>
              </w:rPr>
              <w:t>Working title</w:t>
              <w:br/>
            </w:r>
            <w:r>
              <w:rPr>
                <w:sz w:val="19"/>
              </w:rPr>
              <w:t>TopoPatch: Safety-Constrained Selective Migration of Vector Retrieval Indexes Across Embedding-Model Upgrades</w:t>
            </w:r>
          </w:p>
        </w:tc>
      </w:tr>
    </w:tbl>
    <w:p/>
    <w:p>
      <w:pPr>
        <w:pStyle w:val="Heading2"/>
      </w:pPr>
      <w:r>
        <w:t>48.2 Research questions</w:t>
      </w:r>
    </w:p>
    <w:p>
      <w:pPr>
        <w:pStyle w:val="ListNumber"/>
        <w:spacing w:after="40"/>
      </w:pPr>
      <w:r>
        <w:t>How much target-embedding computation is required to identify migration-critical retrieval changes?</w:t>
      </w:r>
    </w:p>
    <w:p>
      <w:pPr>
        <w:pStyle w:val="ListNumber"/>
        <w:spacing w:after="40"/>
      </w:pPr>
      <w:r>
        <w:t>Can counterfactual witness selection outperform random, popularity, drift and progressive-candidate baselines at equal B-embedding budget?</w:t>
      </w:r>
    </w:p>
    <w:p>
      <w:pPr>
        <w:pStyle w:val="ListNumber"/>
        <w:spacing w:after="40"/>
      </w:pPr>
      <w:r>
        <w:t>How often does pre-commit safety gating alter the repair chosen by a cost-only optimizer?</w:t>
      </w:r>
    </w:p>
    <w:p>
      <w:pPr>
        <w:pStyle w:val="ListNumber"/>
        <w:spacing w:after="40"/>
      </w:pPr>
      <w:r>
        <w:t>What quality/cost frontier does mixed A/B serving achieve relative to Full-B migration?</w:t>
      </w:r>
    </w:p>
    <w:p>
      <w:pPr>
        <w:pStyle w:val="ListNumber"/>
        <w:spacing w:after="40"/>
      </w:pPr>
      <w:r>
        <w:t>How sensitive are savings to model drift severity, corpus size, ANN approximation and protected-query coverage?</w:t>
      </w:r>
    </w:p>
    <w:p>
      <w:pPr>
        <w:pStyle w:val="Heading2"/>
      </w:pPr>
      <w:r>
        <w:t>48.3 Paper structure</w:t>
      </w:r>
    </w:p>
    <w:p>
      <w:pPr>
        <w:pStyle w:val="ListBullet"/>
        <w:spacing w:after="40"/>
      </w:pPr>
      <w:r>
        <w:t>Introduction and migration problem.</w:t>
      </w:r>
    </w:p>
    <w:p>
      <w:pPr>
        <w:pStyle w:val="ListBullet"/>
        <w:spacing w:after="40"/>
      </w:pPr>
      <w:r>
        <w:t>Background: embedding version incompatibility and vector-index migration.</w:t>
      </w:r>
    </w:p>
    <w:p>
      <w:pPr>
        <w:pStyle w:val="ListBullet"/>
        <w:spacing w:after="40"/>
      </w:pPr>
      <w:r>
        <w:t>Design goals and threat/assumption model.</w:t>
      </w:r>
    </w:p>
    <w:p>
      <w:pPr>
        <w:pStyle w:val="ListBullet"/>
        <w:spacing w:after="40"/>
      </w:pPr>
      <w:r>
        <w:t>TopoPatch architecture.</w:t>
      </w:r>
    </w:p>
    <w:p>
      <w:pPr>
        <w:pStyle w:val="ListBullet"/>
        <w:spacing w:after="40"/>
      </w:pPr>
      <w:r>
        <w:t>Candidate evidence and witness construction.</w:t>
      </w:r>
    </w:p>
    <w:p>
      <w:pPr>
        <w:pStyle w:val="ListBullet"/>
        <w:spacing w:after="40"/>
      </w:pPr>
      <w:r>
        <w:t>Preview-state safety gating and transactional migration.</w:t>
      </w:r>
    </w:p>
    <w:p>
      <w:pPr>
        <w:pStyle w:val="ListBullet"/>
        <w:spacing w:after="40"/>
      </w:pPr>
      <w:r>
        <w:t>Implementation.</w:t>
      </w:r>
    </w:p>
    <w:p>
      <w:pPr>
        <w:pStyle w:val="ListBullet"/>
        <w:spacing w:after="40"/>
      </w:pPr>
      <w:r>
        <w:t>Evaluation against baselines.</w:t>
      </w:r>
    </w:p>
    <w:p>
      <w:pPr>
        <w:pStyle w:val="ListBullet"/>
        <w:spacing w:after="40"/>
      </w:pPr>
      <w:r>
        <w:t>Ablations and failure analysis.</w:t>
      </w:r>
    </w:p>
    <w:p>
      <w:pPr>
        <w:pStyle w:val="ListBullet"/>
        <w:spacing w:after="40"/>
      </w:pPr>
      <w:r>
        <w:t>Related work.</w:t>
      </w:r>
    </w:p>
    <w:p>
      <w:pPr>
        <w:pStyle w:val="ListBullet"/>
        <w:spacing w:after="40"/>
      </w:pPr>
      <w:r>
        <w:t>Limitations and future work.</w:t>
      </w:r>
    </w:p>
    <w:p>
      <w:r>
        <w:br w:type="page"/>
      </w:r>
    </w:p>
    <w:p>
      <w:pPr>
        <w:pStyle w:val="Heading1"/>
      </w:pPr>
      <w:r>
        <w:t>49. Patent Strategy: What to Claim and What Not to Claim</w:t>
      </w:r>
    </w:p>
    <w:p>
      <w:pPr>
        <w:spacing w:after="120" w:line="259" w:lineRule="auto"/>
      </w:pPr>
      <w:r>
        <w:t>The patent position is narrow. Broad embedding migration, partial reindexing, local ANN repair, global adapters, localized embedding patches, rank fusion and generic safety certificates all have substantial prior art. The filing should therefore describe these as context or implementation choices and place claim emphasis on the integrated migration-state control sequence.</w:t>
      </w:r>
    </w:p>
    <w:p>
      <w:pPr>
        <w:pStyle w:val="Heading2"/>
      </w:pPr>
      <w:r>
        <w:t>49.1 Core claim direction</w:t>
      </w:r>
    </w:p>
    <w:tbl>
      <w:tblPr>
        <w:tblStyle w:val="TableGrid"/>
        <w:tblW w:type="auto" w:w="0"/>
        <w:tblLook w:firstColumn="1" w:firstRow="1" w:lastColumn="0" w:lastRow="0" w:noHBand="0" w:noVBand="1" w:val="04A0"/>
      </w:tblPr>
      <w:tblGrid>
        <w:gridCol w:w="9994"/>
      </w:tblGrid>
      <w:tr>
        <w:tc>
          <w:tcPr>
            <w:tcW w:type="dxa" w:w="9994"/>
            <w:shd w:fill="EAF2F8"/>
          </w:tcPr>
          <w:p>
            <w:r>
              <w:rPr>
                <w:b/>
                <w:sz w:val="21"/>
              </w:rPr>
              <w:t>Claim nucleus</w:t>
              <w:br/>
            </w:r>
            <w:r>
              <w:rPr>
                <w:sz w:val="19"/>
              </w:rPr>
              <w:t>Cross-model protected retrieval violation -&gt; counterfactual migration-action witness -&gt; technical-cost candidate repair -&gt; non-durable mixed-version preview state -&gt; retrieval-safety evaluation -&gt; conditional durable embedding/index mutation, with repair expansion or scoped fallback when the preview is inadmissible.</w:t>
            </w:r>
          </w:p>
        </w:tc>
      </w:tr>
    </w:tbl>
    <w:p/>
    <w:p>
      <w:pPr>
        <w:pStyle w:val="Heading2"/>
      </w:pPr>
      <w:r>
        <w:t>49.2 Strong dependent directions</w:t>
      </w:r>
    </w:p>
    <w:p>
      <w:pPr>
        <w:pStyle w:val="ListBullet"/>
        <w:spacing w:after="40"/>
      </w:pPr>
      <w:r>
        <w:t>Witness actions include measured/estimated counterfactual delta-rank or delta-margin for a proposed migration action.</w:t>
      </w:r>
    </w:p>
    <w:p>
      <w:pPr>
        <w:pStyle w:val="ListBullet"/>
        <w:spacing w:after="40"/>
      </w:pPr>
      <w:r>
        <w:t>Preview state is constructed from an immutable source snapshot and a copy-on-write vector/index/routing delta.</w:t>
      </w:r>
    </w:p>
    <w:p>
      <w:pPr>
        <w:pStyle w:val="ListBullet"/>
        <w:spacing w:after="40"/>
      </w:pPr>
      <w:r>
        <w:t>Safety lower bound explicitly accounts for candidate-evidence uncertainty and ANN/fusion uncertainty.</w:t>
      </w:r>
    </w:p>
    <w:p>
      <w:pPr>
        <w:pStyle w:val="ListBullet"/>
        <w:spacing w:after="40"/>
      </w:pPr>
      <w:r>
        <w:t>Commit validates source content hash/version and migration epoch before activating B representation.</w:t>
      </w:r>
    </w:p>
    <w:p>
      <w:pPr>
        <w:pStyle w:val="ListBullet"/>
        <w:spacing w:after="40"/>
      </w:pPr>
      <w:r>
        <w:t>Candidate acquisition is expanded until a bounded evidence condition is met, otherwise the protected scope fails closed.</w:t>
      </w:r>
    </w:p>
    <w:p>
      <w:pPr>
        <w:pStyle w:val="ListBullet"/>
        <w:spacing w:after="40"/>
      </w:pPr>
      <w:r>
        <w:t>Fallback is query-slice scoped and persists until a later candidate state becomes admissible.</w:t>
      </w:r>
    </w:p>
    <w:p>
      <w:pPr>
        <w:pStyle w:val="ListBullet"/>
        <w:spacing w:after="40"/>
      </w:pPr>
      <w:r>
        <w:t>Counterexamples and barrier evidence are persisted and prioritized in later migration epochs/model upgrades.</w:t>
      </w:r>
    </w:p>
    <w:p>
      <w:pPr>
        <w:pStyle w:val="Heading2"/>
      </w:pPr>
      <w:r>
        <w:t>49.3 Do not center claims on</w:t>
      </w:r>
    </w:p>
    <w:p>
      <w:pPr>
        <w:pStyle w:val="ListBullet"/>
        <w:spacing w:after="40"/>
      </w:pPr>
      <w:r>
        <w:t>“Re-embed only part of a vector database.”</w:t>
      </w:r>
    </w:p>
    <w:p>
      <w:pPr>
        <w:pStyle w:val="ListBullet"/>
        <w:spacing w:after="40"/>
      </w:pPr>
      <w:r>
        <w:t>“Update only nearby HNSW/ANN nodes.”</w:t>
      </w:r>
    </w:p>
    <w:p>
      <w:pPr>
        <w:pStyle w:val="ListBullet"/>
        <w:spacing w:after="40"/>
      </w:pPr>
      <w:r>
        <w:t>“Use an adapter between embedding models.”</w:t>
      </w:r>
    </w:p>
    <w:p>
      <w:pPr>
        <w:pStyle w:val="ListBullet"/>
        <w:spacing w:after="40"/>
      </w:pPr>
      <w:r>
        <w:t>“Use local embedding correction/patches.”</w:t>
      </w:r>
    </w:p>
    <w:p>
      <w:pPr>
        <w:pStyle w:val="ListBullet"/>
        <w:spacing w:after="40"/>
      </w:pPr>
      <w:r>
        <w:t>“Use top-k certification.”</w:t>
      </w:r>
    </w:p>
    <w:p>
      <w:pPr>
        <w:pStyle w:val="ListBullet"/>
        <w:spacing w:after="40"/>
      </w:pPr>
      <w:r>
        <w:t>“Use reciprocal-rank fusion across two indexes.”</w:t>
      </w:r>
    </w:p>
    <w:p>
      <w:pPr>
        <w:pStyle w:val="ListBullet"/>
        <w:spacing w:after="40"/>
      </w:pPr>
      <w:r>
        <w:t>“Use a candidate set from the old index and score with the new model.”</w:t>
      </w:r>
    </w:p>
    <w:p>
      <w:pPr>
        <w:pStyle w:val="ListBullet"/>
        <w:spacing w:after="40"/>
      </w:pPr>
      <w:r>
        <w:t>“Use AI to decide which vectors to migrate.”</w:t>
      </w:r>
    </w:p>
    <w:p>
      <w:r>
        <w:br w:type="page"/>
      </w:r>
    </w:p>
    <w:p>
      <w:pPr>
        <w:pStyle w:val="Heading1"/>
      </w:pPr>
      <w:r>
        <w:t>50. Illustrative Claim Tree for Attorney Discussion</w:t>
      </w:r>
    </w:p>
    <w:p>
      <w:pPr>
        <w:spacing w:after="120" w:line="259" w:lineRule="auto"/>
      </w:pPr>
      <w:r>
        <w:t>The following is an engineering claim skeleton, not legal advice. A registered patent professional should rewrite it based on the final search and implemented embodiments.</w:t>
      </w:r>
    </w:p>
    <w:p>
      <w:pPr>
        <w:pStyle w:val="Heading2"/>
      </w:pPr>
      <w:r>
        <w:t>50.1 Illustrative independent method claim</w:t>
      </w:r>
    </w:p>
    <w:p>
      <w:pPr>
        <w:spacing w:after="120" w:line="259" w:lineRule="auto"/>
      </w:pPr>
      <w:r>
        <w:t>A computer-implemented method for migrating a vector retrieval system from a first embedding model to a second embedding model, comprising: obtaining protected retrieval constraints for probe queries associated with a durable first-model retrieval state; obtaining second-model retrieval evidence for candidate indexed objects and identifying a protected retrieval constraint affected by a candidate model-version transition; generating a witness data structure associating the affected retrieval constraint with at least one candidate migration action and a counterfactual retrieval effect of that action; determining, using the witness data structure and a technical resource-cost function, a candidate migration action specifying a subset of indexed objects and an associated index-state modification; materializing the candidate migration action as a non-durable preview retrieval state comprising first-model object membership, tentative second-model object membership, version-routing state, and a tentative index delta; evaluating the preview retrieval state against a retrieval-safety condition; when the preview retrieval state satisfies the retrieval-safety condition, committing the candidate migration action by generating or activating second-model representations for the subset and making the corresponding index-state modification durable without generating second-model representations for at least some remaining indexed objects; and when the preview retrieval state does not satisfy the retrieval-safety condition, preventing the candidate migration action from becoming durable and instead expanding a repair scope, obtaining additional retrieval evidence, or routing an affected query scope to a known-safe retrieval path.</w:t>
      </w:r>
    </w:p>
    <w:p>
      <w:pPr>
        <w:pStyle w:val="Heading2"/>
      </w:pPr>
      <w:r>
        <w:t>50.2 Dependent claim skeletons</w:t>
      </w:r>
    </w:p>
    <w:p>
      <w:pPr>
        <w:pStyle w:val="ListNumber"/>
        <w:spacing w:after="40"/>
      </w:pPr>
      <w:r>
        <w:t>The method of claim 1 wherein each witness stores a change in protected rank or protected ranking margin determined by evaluating the associated candidate migration action.</w:t>
      </w:r>
    </w:p>
    <w:p>
      <w:pPr>
        <w:pStyle w:val="ListNumber"/>
        <w:spacing w:after="40"/>
      </w:pPr>
      <w:r>
        <w:t>The method of claim 1 wherein the non-durable preview state is represented by a copy-on-write delta containing tentative first-model removals, tentative second-model insertions and tentative routing metadata relative to a versioned source snapshot.</w:t>
      </w:r>
    </w:p>
    <w:p>
      <w:pPr>
        <w:pStyle w:val="ListNumber"/>
        <w:spacing w:after="40"/>
      </w:pPr>
      <w:r>
        <w:t>The method of claim 1 wherein the retrieval-safety condition includes a lower-bound protected ranking margin after subtracting candidate-acquisition uncertainty and ANN or rank-fusion uncertainty.</w:t>
      </w:r>
    </w:p>
    <w:p>
      <w:pPr>
        <w:pStyle w:val="ListNumber"/>
        <w:spacing w:after="40"/>
      </w:pPr>
      <w:r>
        <w:t>The method of claim 1 wherein second-model evidence is incrementally materialized for candidate objects and the affected scope is denied migration authorization when residual candidate-exclusion uncertainty exceeds a threshold.</w:t>
      </w:r>
    </w:p>
    <w:p>
      <w:pPr>
        <w:pStyle w:val="ListNumber"/>
        <w:spacing w:after="40"/>
      </w:pPr>
      <w:r>
        <w:t>The method of claim 1 wherein a second-model representation is committed only when a source content hash or source version matches the source version used to produce the representation.</w:t>
      </w:r>
    </w:p>
    <w:p>
      <w:pPr>
        <w:pStyle w:val="ListNumber"/>
        <w:spacing w:after="40"/>
      </w:pPr>
      <w:r>
        <w:t>The method of claim 1 wherein the affected query scope is served from a legacy or fully migrated shadow path while a different query scope continues using a mixed-version state.</w:t>
      </w:r>
    </w:p>
    <w:p>
      <w:pPr>
        <w:pStyle w:val="ListNumber"/>
        <w:spacing w:after="40"/>
      </w:pPr>
      <w:r>
        <w:t>The method of claim 1 wherein committed migrations are associated with monotonically increasing migration epochs and normal progression prevents an object committed to the second-model state from returning to the first-model state absent an explicit rollback.</w:t>
      </w:r>
    </w:p>
    <w:p>
      <w:pPr>
        <w:pStyle w:val="ListNumber"/>
        <w:spacing w:after="40"/>
      </w:pPr>
      <w:r>
        <w:t>The method of claim 1 wherein counterexamples generated by rejected preview states are stored and prioritized during a subsequent migration iteration or subsequent embedding-model upgrade.</w:t>
      </w:r>
    </w:p>
    <w:p>
      <w:r>
        <w:br w:type="page"/>
      </w:r>
    </w:p>
    <w:p>
      <w:pPr>
        <w:pStyle w:val="Heading1"/>
      </w:pPr>
      <w:r>
        <w:t>51. Prior-Art Boundary and Claim-Differentiation Matrix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Known cluster</w:t>
            </w:r>
          </w:p>
        </w:tc>
        <w:tc>
          <w:tcPr>
            <w:tcW w:type="dxa" w:w="3331"/>
            <w:shd w:fill="1F4E78"/>
            <w:vAlign w:val="center"/>
          </w:tcPr>
          <w:p>
            <w:r>
              <w:rPr>
                <w:b/>
                <w:color w:val="FFFFFF"/>
              </w:rPr>
              <w:t>Known mechanism</w:t>
            </w:r>
          </w:p>
        </w:tc>
        <w:tc>
          <w:tcPr>
            <w:tcW w:type="dxa" w:w="3331"/>
            <w:shd w:fill="1F4E78"/>
            <w:vAlign w:val="center"/>
          </w:tcPr>
          <w:p>
            <w:r>
              <w:rPr>
                <w:b/>
                <w:color w:val="FFFFFF"/>
              </w:rPr>
              <w:t>TopoPatch boundary</w:t>
            </w:r>
          </w:p>
        </w:tc>
      </w:tr>
      <w:tr>
        <w:tc>
          <w:tcPr>
            <w:tcW w:type="dxa" w:w="3331"/>
            <w:vAlign w:val="top"/>
          </w:tcPr>
          <w:p>
            <w:pPr>
              <w:spacing w:after="20"/>
            </w:pPr>
            <w:r>
              <w:rPr>
                <w:sz w:val="18"/>
              </w:rPr>
              <w:t>Embedding-model reindexing</w:t>
            </w:r>
          </w:p>
        </w:tc>
        <w:tc>
          <w:tcPr>
            <w:tcW w:type="dxa" w:w="3331"/>
            <w:vAlign w:val="top"/>
          </w:tcPr>
          <w:p>
            <w:pPr>
              <w:spacing w:after="20"/>
            </w:pPr>
            <w:r>
              <w:rPr>
                <w:sz w:val="18"/>
              </w:rPr>
              <w:t>Port/re-embed vectors from Model A to Model B</w:t>
            </w:r>
          </w:p>
        </w:tc>
        <w:tc>
          <w:tcPr>
            <w:tcW w:type="dxa" w:w="3331"/>
            <w:vAlign w:val="top"/>
          </w:tcPr>
          <w:p>
            <w:pPr>
              <w:spacing w:after="20"/>
            </w:pPr>
            <w:r>
              <w:rPr>
                <w:sz w:val="18"/>
              </w:rPr>
              <w:t>TopoPatch does not claim model-to-model reindexing itself.</w:t>
            </w:r>
          </w:p>
        </w:tc>
      </w:tr>
      <w:tr>
        <w:tc>
          <w:tcPr>
            <w:tcW w:type="dxa" w:w="3331"/>
            <w:vAlign w:val="top"/>
          </w:tcPr>
          <w:p>
            <w:pPr>
              <w:spacing w:after="20"/>
            </w:pPr>
            <w:r>
              <w:rPr>
                <w:sz w:val="18"/>
              </w:rPr>
              <w:t>Selective vector reindexing</w:t>
            </w:r>
          </w:p>
        </w:tc>
        <w:tc>
          <w:tcPr>
            <w:tcW w:type="dxa" w:w="3331"/>
            <w:vAlign w:val="top"/>
          </w:tcPr>
          <w:p>
            <w:pPr>
              <w:spacing w:after="20"/>
            </w:pPr>
            <w:r>
              <w:rPr>
                <w:sz w:val="18"/>
              </w:rPr>
              <w:t>Regenerate embeddings for a changed subset without reindexing the rest</w:t>
            </w:r>
          </w:p>
        </w:tc>
        <w:tc>
          <w:tcPr>
            <w:tcW w:type="dxa" w:w="3331"/>
            <w:vAlign w:val="top"/>
          </w:tcPr>
          <w:p>
            <w:pPr>
              <w:spacing w:after="20"/>
            </w:pPr>
            <w:r>
              <w:rPr>
                <w:sz w:val="18"/>
              </w:rPr>
              <w:t>TopoPatch selection is driven by protected cross-model retrieval counterexamples and preview-state safety.</w:t>
            </w:r>
          </w:p>
        </w:tc>
      </w:tr>
      <w:tr>
        <w:tc>
          <w:tcPr>
            <w:tcW w:type="dxa" w:w="3331"/>
            <w:vAlign w:val="top"/>
          </w:tcPr>
          <w:p>
            <w:pPr>
              <w:spacing w:after="20"/>
            </w:pPr>
            <w:r>
              <w:rPr>
                <w:sz w:val="18"/>
              </w:rPr>
              <w:t>Incremental ANN maintenance</w:t>
            </w:r>
          </w:p>
        </w:tc>
        <w:tc>
          <w:tcPr>
            <w:tcW w:type="dxa" w:w="3331"/>
            <w:vAlign w:val="top"/>
          </w:tcPr>
          <w:p>
            <w:pPr>
              <w:spacing w:after="20"/>
            </w:pPr>
            <w:r>
              <w:rPr>
                <w:sz w:val="18"/>
              </w:rPr>
              <w:t>Locally rebalance/update partitions/nodes</w:t>
            </w:r>
          </w:p>
        </w:tc>
        <w:tc>
          <w:tcPr>
            <w:tcW w:type="dxa" w:w="3331"/>
            <w:vAlign w:val="top"/>
          </w:tcPr>
          <w:p>
            <w:pPr>
              <w:spacing w:after="20"/>
            </w:pPr>
            <w:r>
              <w:rPr>
                <w:sz w:val="18"/>
              </w:rPr>
              <w:t>ANN repair is supporting; claim focus is the state-transition control process.</w:t>
            </w:r>
          </w:p>
        </w:tc>
      </w:tr>
      <w:tr>
        <w:tc>
          <w:tcPr>
            <w:tcW w:type="dxa" w:w="3331"/>
            <w:vAlign w:val="top"/>
          </w:tcPr>
          <w:p>
            <w:pPr>
              <w:spacing w:after="20"/>
            </w:pPr>
            <w:r>
              <w:rPr>
                <w:sz w:val="18"/>
              </w:rPr>
              <w:t>Embedding adapters</w:t>
            </w:r>
          </w:p>
        </w:tc>
        <w:tc>
          <w:tcPr>
            <w:tcW w:type="dxa" w:w="3331"/>
            <w:vAlign w:val="top"/>
          </w:tcPr>
          <w:p>
            <w:pPr>
              <w:spacing w:after="20"/>
            </w:pPr>
            <w:r>
              <w:rPr>
                <w:sz w:val="18"/>
              </w:rPr>
              <w:t>Transform queries or vectors between old/new spaces</w:t>
            </w:r>
          </w:p>
        </w:tc>
        <w:tc>
          <w:tcPr>
            <w:tcW w:type="dxa" w:w="3331"/>
            <w:vAlign w:val="top"/>
          </w:tcPr>
          <w:p>
            <w:pPr>
              <w:spacing w:after="20"/>
            </w:pPr>
            <w:r>
              <w:rPr>
                <w:sz w:val="18"/>
              </w:rPr>
              <w:t>Adapters are baselines/optional, not core.</w:t>
            </w:r>
          </w:p>
        </w:tc>
      </w:tr>
      <w:tr>
        <w:tc>
          <w:tcPr>
            <w:tcW w:type="dxa" w:w="3331"/>
            <w:vAlign w:val="top"/>
          </w:tcPr>
          <w:p>
            <w:pPr>
              <w:spacing w:after="20"/>
            </w:pPr>
            <w:r>
              <w:rPr>
                <w:sz w:val="18"/>
              </w:rPr>
              <w:t>Localized embedding patches</w:t>
            </w:r>
          </w:p>
        </w:tc>
        <w:tc>
          <w:tcPr>
            <w:tcW w:type="dxa" w:w="3331"/>
            <w:vAlign w:val="top"/>
          </w:tcPr>
          <w:p>
            <w:pPr>
              <w:spacing w:after="20"/>
            </w:pPr>
            <w:r>
              <w:rPr>
                <w:sz w:val="18"/>
              </w:rPr>
              <w:t>Specialist/local correction of subspaces</w:t>
            </w:r>
          </w:p>
        </w:tc>
        <w:tc>
          <w:tcPr>
            <w:tcW w:type="dxa" w:w="3331"/>
            <w:vAlign w:val="top"/>
          </w:tcPr>
          <w:p>
            <w:pPr>
              <w:spacing w:after="20"/>
            </w:pPr>
            <w:r>
              <w:rPr>
                <w:sz w:val="18"/>
              </w:rPr>
              <w:t>Explicitly excluded from core due recent collision risk.</w:t>
            </w:r>
          </w:p>
        </w:tc>
      </w:tr>
      <w:tr>
        <w:tc>
          <w:tcPr>
            <w:tcW w:type="dxa" w:w="3331"/>
            <w:vAlign w:val="top"/>
          </w:tcPr>
          <w:p>
            <w:pPr>
              <w:spacing w:after="20"/>
            </w:pPr>
            <w:r>
              <w:rPr>
                <w:sz w:val="18"/>
              </w:rPr>
              <w:t>Progressive candidate materialization</w:t>
            </w:r>
          </w:p>
        </w:tc>
        <w:tc>
          <w:tcPr>
            <w:tcW w:type="dxa" w:w="3331"/>
            <w:vAlign w:val="top"/>
          </w:tcPr>
          <w:p>
            <w:pPr>
              <w:spacing w:after="20"/>
            </w:pPr>
            <w:r>
              <w:rPr>
                <w:sz w:val="18"/>
              </w:rPr>
              <w:t>Use legacy/source retrieval to score/materialize target embeddings progressively</w:t>
            </w:r>
          </w:p>
        </w:tc>
        <w:tc>
          <w:tcPr>
            <w:tcW w:type="dxa" w:w="3331"/>
            <w:vAlign w:val="top"/>
          </w:tcPr>
          <w:p>
            <w:pPr>
              <w:spacing w:after="20"/>
            </w:pPr>
            <w:r>
              <w:rPr>
                <w:sz w:val="18"/>
              </w:rPr>
              <w:t>Candidate Envelope is supporting and uncertainty-bounded; not claimed broadly.</w:t>
            </w:r>
          </w:p>
        </w:tc>
      </w:tr>
      <w:tr>
        <w:tc>
          <w:tcPr>
            <w:tcW w:type="dxa" w:w="3331"/>
            <w:vAlign w:val="top"/>
          </w:tcPr>
          <w:p>
            <w:pPr>
              <w:spacing w:after="20"/>
            </w:pPr>
            <w:r>
              <w:rPr>
                <w:sz w:val="18"/>
              </w:rPr>
              <w:t>Rank fusion</w:t>
            </w:r>
          </w:p>
        </w:tc>
        <w:tc>
          <w:tcPr>
            <w:tcW w:type="dxa" w:w="3331"/>
            <w:vAlign w:val="top"/>
          </w:tcPr>
          <w:p>
            <w:pPr>
              <w:spacing w:after="20"/>
            </w:pPr>
            <w:r>
              <w:rPr>
                <w:sz w:val="18"/>
              </w:rPr>
              <w:t>Combine ranked lists from heterogeneous searches</w:t>
            </w:r>
          </w:p>
        </w:tc>
        <w:tc>
          <w:tcPr>
            <w:tcW w:type="dxa" w:w="3331"/>
            <w:vAlign w:val="top"/>
          </w:tcPr>
          <w:p>
            <w:pPr>
              <w:spacing w:after="20"/>
            </w:pPr>
            <w:r>
              <w:rPr>
                <w:sz w:val="18"/>
              </w:rPr>
              <w:t>Supporting infrastructure only.</w:t>
            </w:r>
          </w:p>
        </w:tc>
      </w:tr>
      <w:tr>
        <w:tc>
          <w:tcPr>
            <w:tcW w:type="dxa" w:w="3331"/>
            <w:vAlign w:val="top"/>
          </w:tcPr>
          <w:p>
            <w:pPr>
              <w:spacing w:after="20"/>
            </w:pPr>
            <w:r>
              <w:rPr>
                <w:sz w:val="18"/>
              </w:rPr>
              <w:t>Generic certified ranking / barrier methods</w:t>
            </w:r>
          </w:p>
        </w:tc>
        <w:tc>
          <w:tcPr>
            <w:tcW w:type="dxa" w:w="3331"/>
            <w:vAlign w:val="top"/>
          </w:tcPr>
          <w:p>
            <w:pPr>
              <w:spacing w:after="20"/>
            </w:pPr>
            <w:r>
              <w:rPr>
                <w:sz w:val="18"/>
              </w:rPr>
              <w:t>Bound or verify ranking/safety</w:t>
            </w:r>
          </w:p>
        </w:tc>
        <w:tc>
          <w:tcPr>
            <w:tcW w:type="dxa" w:w="3331"/>
            <w:vAlign w:val="top"/>
          </w:tcPr>
          <w:p>
            <w:pPr>
              <w:spacing w:after="20"/>
            </w:pPr>
            <w:r>
              <w:rPr>
                <w:sz w:val="18"/>
              </w:rPr>
              <w:t>TopoPatch ties safety evidence to admissibility of a concrete vector/index state transition.</w:t>
            </w:r>
          </w:p>
        </w:tc>
      </w:tr>
      <w:tr>
        <w:tc>
          <w:tcPr>
            <w:tcW w:type="dxa" w:w="3331"/>
            <w:vAlign w:val="top"/>
          </w:tcPr>
          <w:p>
            <w:pPr>
              <w:spacing w:after="20"/>
            </w:pPr>
            <w:r>
              <w:rPr>
                <w:sz w:val="18"/>
              </w:rPr>
              <w:t>Runtime fallback</w:t>
            </w:r>
          </w:p>
        </w:tc>
        <w:tc>
          <w:tcPr>
            <w:tcW w:type="dxa" w:w="3331"/>
            <w:vAlign w:val="top"/>
          </w:tcPr>
          <w:p>
            <w:pPr>
              <w:spacing w:after="20"/>
            </w:pPr>
            <w:r>
              <w:rPr>
                <w:sz w:val="18"/>
              </w:rPr>
              <w:t>Route to safe path on failure</w:t>
            </w:r>
          </w:p>
        </w:tc>
        <w:tc>
          <w:tcPr>
            <w:tcW w:type="dxa" w:w="3331"/>
            <w:vAlign w:val="top"/>
          </w:tcPr>
          <w:p>
            <w:pPr>
              <w:spacing w:after="20"/>
            </w:pPr>
            <w:r>
              <w:rPr>
                <w:sz w:val="18"/>
              </w:rPr>
              <w:t>Known pattern; supporting claim only when tied to affected retrieval scope/migration state.</w:t>
            </w:r>
          </w:p>
        </w:tc>
      </w:tr>
    </w:tbl>
    <w:p/>
    <w:p>
      <w:pPr>
        <w:pStyle w:val="Heading2"/>
      </w:pPr>
      <w:r>
        <w:t>51.1 User-collected 38-page patent report</w:t>
      </w:r>
    </w:p>
    <w:p>
      <w:pPr>
        <w:spacing w:after="120" w:line="259" w:lineRule="auto"/>
      </w:pPr>
      <w:r>
        <w:t>The user-collected Questel/FAMPAT PDF should be retained in the project evidence folder, but it is not a clearance report for TopoPatch. Its ten results primarily concern GUI interaction, RPA, semantic command processing, interface backtracking and human-machine workflows. They do not disclose the core embedding-model/vector-index migration sequence. They are useful mainly as evidence that the earlier search query formulation was not centered on the right technical vocabulary.</w:t>
      </w:r>
    </w:p>
    <w:p>
      <w:r>
        <w:br w:type="page"/>
      </w:r>
    </w:p>
    <w:p>
      <w:pPr>
        <w:pStyle w:val="Heading1"/>
      </w:pPr>
      <w:r>
        <w:t>52. Patentability Risk Register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Risk</w:t>
            </w:r>
          </w:p>
        </w:tc>
        <w:tc>
          <w:tcPr>
            <w:tcW w:type="dxa" w:w="3331"/>
            <w:shd w:fill="1F4E78"/>
            <w:vAlign w:val="center"/>
          </w:tcPr>
          <w:p>
            <w:r>
              <w:rPr>
                <w:b/>
                <w:color w:val="FFFFFF"/>
              </w:rPr>
              <w:t>Severity</w:t>
            </w:r>
          </w:p>
        </w:tc>
        <w:tc>
          <w:tcPr>
            <w:tcW w:type="dxa" w:w="3331"/>
            <w:shd w:fill="1F4E78"/>
            <w:vAlign w:val="center"/>
          </w:tcPr>
          <w:p>
            <w:r>
              <w:rPr>
                <w:b/>
                <w:color w:val="FFFFFF"/>
              </w:rPr>
              <w:t>Current response</w:t>
            </w:r>
          </w:p>
        </w:tc>
      </w:tr>
      <w:tr>
        <w:tc>
          <w:tcPr>
            <w:tcW w:type="dxa" w:w="3331"/>
            <w:vAlign w:val="top"/>
          </w:tcPr>
          <w:p>
            <w:pPr>
              <w:spacing w:after="20"/>
            </w:pPr>
            <w:r>
              <w:rPr>
                <w:sz w:val="18"/>
              </w:rPr>
              <w:t>§103 obviousness by multi-reference combination</w:t>
            </w:r>
          </w:p>
        </w:tc>
        <w:tc>
          <w:tcPr>
            <w:tcW w:type="dxa" w:w="3331"/>
            <w:vAlign w:val="top"/>
          </w:tcPr>
          <w:p>
            <w:pPr>
              <w:spacing w:after="20"/>
            </w:pPr>
            <w:r>
              <w:rPr>
                <w:sz w:val="18"/>
              </w:rPr>
              <w:t>HIGH</w:t>
            </w:r>
          </w:p>
        </w:tc>
        <w:tc>
          <w:tcPr>
            <w:tcW w:type="dxa" w:w="3331"/>
            <w:vAlign w:val="top"/>
          </w:tcPr>
          <w:p>
            <w:pPr>
              <w:spacing w:after="20"/>
            </w:pPr>
            <w:r>
              <w:rPr>
                <w:sz w:val="18"/>
              </w:rPr>
              <w:t>Narrow claim to integrated preview-state control; build unexpected-result evidence; professional claim chart.</w:t>
            </w:r>
          </w:p>
        </w:tc>
      </w:tr>
      <w:tr>
        <w:tc>
          <w:tcPr>
            <w:tcW w:type="dxa" w:w="3331"/>
            <w:vAlign w:val="top"/>
          </w:tcPr>
          <w:p>
            <w:pPr>
              <w:spacing w:after="20"/>
            </w:pPr>
            <w:r>
              <w:rPr>
                <w:sz w:val="18"/>
              </w:rPr>
              <w:t>Single unknown pending/unpublished application</w:t>
            </w:r>
          </w:p>
        </w:tc>
        <w:tc>
          <w:tcPr>
            <w:tcW w:type="dxa" w:w="3331"/>
            <w:vAlign w:val="top"/>
          </w:tcPr>
          <w:p>
            <w:pPr>
              <w:spacing w:after="20"/>
            </w:pPr>
            <w:r>
              <w:rPr>
                <w:sz w:val="18"/>
              </w:rPr>
              <w:t>UNKNOWN/HIGH</w:t>
            </w:r>
          </w:p>
        </w:tc>
        <w:tc>
          <w:tcPr>
            <w:tcW w:type="dxa" w:w="3331"/>
            <w:vAlign w:val="top"/>
          </w:tcPr>
          <w:p>
            <w:pPr>
              <w:spacing w:after="20"/>
            </w:pPr>
            <w:r>
              <w:rPr>
                <w:sz w:val="18"/>
              </w:rPr>
              <w:t>Cannot be eliminated by public search; file priority before unnecessary disclosure once claim-ready.</w:t>
            </w:r>
          </w:p>
        </w:tc>
      </w:tr>
      <w:tr>
        <w:tc>
          <w:tcPr>
            <w:tcW w:type="dxa" w:w="3331"/>
            <w:vAlign w:val="top"/>
          </w:tcPr>
          <w:p>
            <w:pPr>
              <w:spacing w:after="20"/>
            </w:pPr>
            <w:r>
              <w:rPr>
                <w:sz w:val="18"/>
              </w:rPr>
              <w:t>Candidate Envelope overlap with progressive migration systems</w:t>
            </w:r>
          </w:p>
        </w:tc>
        <w:tc>
          <w:tcPr>
            <w:tcW w:type="dxa" w:w="3331"/>
            <w:vAlign w:val="top"/>
          </w:tcPr>
          <w:p>
            <w:pPr>
              <w:spacing w:after="20"/>
            </w:pPr>
            <w:r>
              <w:rPr>
                <w:sz w:val="18"/>
              </w:rPr>
              <w:t>HIGH for that feature</w:t>
            </w:r>
          </w:p>
        </w:tc>
        <w:tc>
          <w:tcPr>
            <w:tcW w:type="dxa" w:w="3331"/>
            <w:vAlign w:val="top"/>
          </w:tcPr>
          <w:p>
            <w:pPr>
              <w:spacing w:after="20"/>
            </w:pPr>
            <w:r>
              <w:rPr>
                <w:sz w:val="18"/>
              </w:rPr>
              <w:t>Treat as supporting only; fail-closed uncertainty embodiment.</w:t>
            </w:r>
          </w:p>
        </w:tc>
      </w:tr>
      <w:tr>
        <w:tc>
          <w:tcPr>
            <w:tcW w:type="dxa" w:w="3331"/>
            <w:vAlign w:val="top"/>
          </w:tcPr>
          <w:p>
            <w:pPr>
              <w:spacing w:after="20"/>
            </w:pPr>
            <w:r>
              <w:rPr>
                <w:sz w:val="18"/>
              </w:rPr>
              <w:t>Barrier characterized as generic validation</w:t>
            </w:r>
          </w:p>
        </w:tc>
        <w:tc>
          <w:tcPr>
            <w:tcW w:type="dxa" w:w="3331"/>
            <w:vAlign w:val="top"/>
          </w:tcPr>
          <w:p>
            <w:pPr>
              <w:spacing w:after="20"/>
            </w:pPr>
            <w:r>
              <w:rPr>
                <w:sz w:val="18"/>
              </w:rPr>
              <w:t>HIGH</w:t>
            </w:r>
          </w:p>
        </w:tc>
        <w:tc>
          <w:tcPr>
            <w:tcW w:type="dxa" w:w="3331"/>
            <w:vAlign w:val="top"/>
          </w:tcPr>
          <w:p>
            <w:pPr>
              <w:spacing w:after="20"/>
            </w:pPr>
            <w:r>
              <w:rPr>
                <w:sz w:val="18"/>
              </w:rPr>
              <w:t>Show barrier rejects/redirects cost-only actions and changes durable index transition.</w:t>
            </w:r>
          </w:p>
        </w:tc>
      </w:tr>
      <w:tr>
        <w:tc>
          <w:tcPr>
            <w:tcW w:type="dxa" w:w="3331"/>
            <w:vAlign w:val="top"/>
          </w:tcPr>
          <w:p>
            <w:pPr>
              <w:spacing w:after="20"/>
            </w:pPr>
            <w:r>
              <w:rPr>
                <w:sz w:val="18"/>
              </w:rPr>
              <w:t>Witness characterized as generic attribution</w:t>
            </w:r>
          </w:p>
        </w:tc>
        <w:tc>
          <w:tcPr>
            <w:tcW w:type="dxa" w:w="3331"/>
            <w:vAlign w:val="top"/>
          </w:tcPr>
          <w:p>
            <w:pPr>
              <w:spacing w:after="20"/>
            </w:pPr>
            <w:r>
              <w:rPr>
                <w:sz w:val="18"/>
              </w:rPr>
              <w:t>MEDIUM-HIGH</w:t>
            </w:r>
          </w:p>
        </w:tc>
        <w:tc>
          <w:tcPr>
            <w:tcW w:type="dxa" w:w="3331"/>
            <w:vAlign w:val="top"/>
          </w:tcPr>
          <w:p>
            <w:pPr>
              <w:spacing w:after="20"/>
            </w:pPr>
            <w:r>
              <w:rPr>
                <w:sz w:val="18"/>
              </w:rPr>
              <w:t>Use counterfactual migration-action effect fields and optimizer control role.</w:t>
            </w:r>
          </w:p>
        </w:tc>
      </w:tr>
      <w:tr>
        <w:tc>
          <w:tcPr>
            <w:tcW w:type="dxa" w:w="3331"/>
            <w:vAlign w:val="top"/>
          </w:tcPr>
          <w:p>
            <w:pPr>
              <w:spacing w:after="20"/>
            </w:pPr>
            <w:r>
              <w:rPr>
                <w:sz w:val="18"/>
              </w:rPr>
              <w:t>Preview characterized as simulation/abstract logic</w:t>
            </w:r>
          </w:p>
        </w:tc>
        <w:tc>
          <w:tcPr>
            <w:tcW w:type="dxa" w:w="3331"/>
            <w:vAlign w:val="top"/>
          </w:tcPr>
          <w:p>
            <w:pPr>
              <w:spacing w:after="20"/>
            </w:pPr>
            <w:r>
              <w:rPr>
                <w:sz w:val="18"/>
              </w:rPr>
              <w:t>MEDIUM</w:t>
            </w:r>
          </w:p>
        </w:tc>
        <w:tc>
          <w:tcPr>
            <w:tcW w:type="dxa" w:w="3331"/>
            <w:vAlign w:val="top"/>
          </w:tcPr>
          <w:p>
            <w:pPr>
              <w:spacing w:after="20"/>
            </w:pPr>
            <w:r>
              <w:rPr>
                <w:sz w:val="18"/>
              </w:rPr>
              <w:t>Implement copy-on-write/shadow retrieval state with concrete A/B membership and index/routing delta.</w:t>
            </w:r>
          </w:p>
        </w:tc>
      </w:tr>
      <w:tr>
        <w:tc>
          <w:tcPr>
            <w:tcW w:type="dxa" w:w="3331"/>
            <w:vAlign w:val="top"/>
          </w:tcPr>
          <w:p>
            <w:pPr>
              <w:spacing w:after="20"/>
            </w:pPr>
            <w:r>
              <w:rPr>
                <w:sz w:val="18"/>
              </w:rPr>
              <w:t>ANN local repair prior art</w:t>
            </w:r>
          </w:p>
        </w:tc>
        <w:tc>
          <w:tcPr>
            <w:tcW w:type="dxa" w:w="3331"/>
            <w:vAlign w:val="top"/>
          </w:tcPr>
          <w:p>
            <w:pPr>
              <w:spacing w:after="20"/>
            </w:pPr>
            <w:r>
              <w:rPr>
                <w:sz w:val="18"/>
              </w:rPr>
              <w:t>HIGH</w:t>
            </w:r>
          </w:p>
        </w:tc>
        <w:tc>
          <w:tcPr>
            <w:tcW w:type="dxa" w:w="3331"/>
            <w:vAlign w:val="top"/>
          </w:tcPr>
          <w:p>
            <w:pPr>
              <w:spacing w:after="20"/>
            </w:pPr>
            <w:r>
              <w:rPr>
                <w:sz w:val="18"/>
              </w:rPr>
              <w:t>Do not claim local repair alone.</w:t>
            </w:r>
          </w:p>
        </w:tc>
      </w:tr>
      <w:tr>
        <w:tc>
          <w:tcPr>
            <w:tcW w:type="dxa" w:w="3331"/>
            <w:vAlign w:val="top"/>
          </w:tcPr>
          <w:p>
            <w:pPr>
              <w:spacing w:after="20"/>
            </w:pPr>
            <w:r>
              <w:rPr>
                <w:sz w:val="18"/>
              </w:rPr>
              <w:t>Software/abstract-idea eligibility</w:t>
            </w:r>
          </w:p>
        </w:tc>
        <w:tc>
          <w:tcPr>
            <w:tcW w:type="dxa" w:w="3331"/>
            <w:vAlign w:val="top"/>
          </w:tcPr>
          <w:p>
            <w:pPr>
              <w:spacing w:after="20"/>
            </w:pPr>
            <w:r>
              <w:rPr>
                <w:sz w:val="18"/>
              </w:rPr>
              <w:t>MEDIUM</w:t>
            </w:r>
          </w:p>
        </w:tc>
        <w:tc>
          <w:tcPr>
            <w:tcW w:type="dxa" w:w="3331"/>
            <w:vAlign w:val="top"/>
          </w:tcPr>
          <w:p>
            <w:pPr>
              <w:spacing w:after="20"/>
            </w:pPr>
            <w:r>
              <w:rPr>
                <w:sz w:val="18"/>
              </w:rPr>
              <w:t>Emphasize concrete vector/index writes, routing, state transitions, resource savings and measured computer effects.</w:t>
            </w:r>
          </w:p>
        </w:tc>
      </w:tr>
      <w:tr>
        <w:tc>
          <w:tcPr>
            <w:tcW w:type="dxa" w:w="3331"/>
            <w:vAlign w:val="top"/>
          </w:tcPr>
          <w:p>
            <w:pPr>
              <w:spacing w:after="20"/>
            </w:pPr>
            <w:r>
              <w:rPr>
                <w:sz w:val="18"/>
              </w:rPr>
              <w:t>Insufficient disclosure / enablement</w:t>
            </w:r>
          </w:p>
        </w:tc>
        <w:tc>
          <w:tcPr>
            <w:tcW w:type="dxa" w:w="3331"/>
            <w:vAlign w:val="top"/>
          </w:tcPr>
          <w:p>
            <w:pPr>
              <w:spacing w:after="20"/>
            </w:pPr>
            <w:r>
              <w:rPr>
                <w:sz w:val="18"/>
              </w:rPr>
              <w:t>MEDIUM</w:t>
            </w:r>
          </w:p>
        </w:tc>
        <w:tc>
          <w:tcPr>
            <w:tcW w:type="dxa" w:w="3331"/>
            <w:vAlign w:val="top"/>
          </w:tcPr>
          <w:p>
            <w:pPr>
              <w:spacing w:after="20"/>
            </w:pPr>
            <w:r>
              <w:rPr>
                <w:sz w:val="18"/>
              </w:rPr>
              <w:t>Document schemas, algorithms, error handling, multiple embodiments and real prototype results.</w:t>
            </w:r>
          </w:p>
        </w:tc>
      </w:tr>
      <w:tr>
        <w:tc>
          <w:tcPr>
            <w:tcW w:type="dxa" w:w="3331"/>
            <w:vAlign w:val="top"/>
          </w:tcPr>
          <w:p>
            <w:pPr>
              <w:spacing w:after="20"/>
            </w:pPr>
            <w:r>
              <w:rPr>
                <w:sz w:val="18"/>
              </w:rPr>
              <w:t>Premature public disclosure</w:t>
            </w:r>
          </w:p>
        </w:tc>
        <w:tc>
          <w:tcPr>
            <w:tcW w:type="dxa" w:w="3331"/>
            <w:vAlign w:val="top"/>
          </w:tcPr>
          <w:p>
            <w:pPr>
              <w:spacing w:after="20"/>
            </w:pPr>
            <w:r>
              <w:rPr>
                <w:sz w:val="18"/>
              </w:rPr>
              <w:t>POTENTIALLY CRITICAL</w:t>
            </w:r>
          </w:p>
        </w:tc>
        <w:tc>
          <w:tcPr>
            <w:tcW w:type="dxa" w:w="3331"/>
            <w:vAlign w:val="top"/>
          </w:tcPr>
          <w:p>
            <w:pPr>
              <w:spacing w:after="20"/>
            </w:pPr>
            <w:r>
              <w:rPr>
                <w:sz w:val="18"/>
              </w:rPr>
              <w:t>Keep repo/docs private until filing strategy/priority date is set.</w:t>
            </w:r>
          </w:p>
        </w:tc>
      </w:tr>
    </w:tbl>
    <w:p/>
    <w:p>
      <w:r>
        <w:br w:type="page"/>
      </w:r>
    </w:p>
    <w:p>
      <w:pPr>
        <w:pStyle w:val="Heading1"/>
      </w:pPr>
      <w:r>
        <w:t>53. Professional Prior-Art Search Package</w:t>
      </w:r>
    </w:p>
    <w:p>
      <w:pPr>
        <w:spacing w:after="120" w:line="259" w:lineRule="auto"/>
      </w:pPr>
      <w:r>
        <w:t>Before filing, give a patent professional a compact search package rather than only the project name. The search should be claim-element driven and use vector-search terminology, not GUI/agent terminology.</w:t>
      </w:r>
    </w:p>
    <w:p>
      <w:pPr>
        <w:pStyle w:val="Heading2"/>
      </w:pPr>
      <w:r>
        <w:t>53.1 Exact mechanism search phrases</w:t>
      </w:r>
    </w:p>
    <w:p>
      <w:pPr>
        <w:pStyle w:val="ListBullet"/>
        <w:spacing w:after="40"/>
      </w:pPr>
      <w:r>
        <w:t>embedding model migration preview state vector index</w:t>
      </w:r>
    </w:p>
    <w:p>
      <w:pPr>
        <w:pStyle w:val="ListBullet"/>
        <w:spacing w:after="40"/>
      </w:pPr>
      <w:r>
        <w:t>vector database model upgrade candidate state commit retrieval safety</w:t>
      </w:r>
    </w:p>
    <w:p>
      <w:pPr>
        <w:pStyle w:val="ListBullet"/>
        <w:spacing w:after="40"/>
      </w:pPr>
      <w:r>
        <w:t>cross-model retrieval violation selective embedding migration</w:t>
      </w:r>
    </w:p>
    <w:p>
      <w:pPr>
        <w:pStyle w:val="ListBullet"/>
        <w:spacing w:after="40"/>
      </w:pPr>
      <w:r>
        <w:t>counterfactual ranking violation vector reindex repair</w:t>
      </w:r>
    </w:p>
    <w:p>
      <w:pPr>
        <w:pStyle w:val="ListBullet"/>
        <w:spacing w:after="40"/>
      </w:pPr>
      <w:r>
        <w:t>witness graph embedding migration vector index</w:t>
      </w:r>
    </w:p>
    <w:p>
      <w:pPr>
        <w:pStyle w:val="ListBullet"/>
        <w:spacing w:after="40"/>
      </w:pPr>
      <w:r>
        <w:t>protected query constraint partial vector migration</w:t>
      </w:r>
    </w:p>
    <w:p>
      <w:pPr>
        <w:pStyle w:val="ListBullet"/>
        <w:spacing w:after="40"/>
      </w:pPr>
      <w:r>
        <w:t>pre-commit validation mixed-version vector index</w:t>
      </w:r>
    </w:p>
    <w:p>
      <w:pPr>
        <w:pStyle w:val="ListBullet"/>
        <w:spacing w:after="40"/>
      </w:pPr>
      <w:r>
        <w:t>copy-on-write preview vector index migration</w:t>
      </w:r>
    </w:p>
    <w:p>
      <w:pPr>
        <w:pStyle w:val="ListBullet"/>
        <w:spacing w:after="40"/>
      </w:pPr>
      <w:r>
        <w:t>selective reembedding safe state transition ANN</w:t>
      </w:r>
    </w:p>
    <w:p>
      <w:pPr>
        <w:pStyle w:val="ListBullet"/>
        <w:spacing w:after="40"/>
      </w:pPr>
      <w:r>
        <w:t>query-slice fallback embedding model migration</w:t>
      </w:r>
    </w:p>
    <w:p>
      <w:pPr>
        <w:pStyle w:val="ListBullet"/>
        <w:spacing w:after="40"/>
      </w:pPr>
      <w:r>
        <w:t>minimum repair vector index model upgrade</w:t>
      </w:r>
    </w:p>
    <w:p>
      <w:pPr>
        <w:pStyle w:val="ListBullet"/>
        <w:spacing w:after="40"/>
      </w:pPr>
      <w:r>
        <w:t>retrieval invariant embedding backfill selective</w:t>
      </w:r>
    </w:p>
    <w:p>
      <w:pPr>
        <w:pStyle w:val="ListBullet"/>
        <w:spacing w:after="40"/>
      </w:pPr>
      <w:r>
        <w:t>migration action rank margin vector search</w:t>
      </w:r>
    </w:p>
    <w:p>
      <w:pPr>
        <w:pStyle w:val="ListBullet"/>
        <w:spacing w:after="40"/>
      </w:pPr>
      <w:r>
        <w:t>partial embedding migration safety gate</w:t>
      </w:r>
    </w:p>
    <w:p>
      <w:pPr>
        <w:pStyle w:val="ListBullet"/>
        <w:spacing w:after="40"/>
      </w:pPr>
      <w:r>
        <w:t>incremental target embeddings old index candidate retrieval migration</w:t>
      </w:r>
    </w:p>
    <w:p>
      <w:pPr>
        <w:pStyle w:val="Heading2"/>
      </w:pPr>
      <w:r>
        <w:t>53.2 Claim-chart deliverable</w:t>
      </w:r>
    </w:p>
    <w:p>
      <w:pPr>
        <w:spacing w:after="120" w:line="259" w:lineRule="auto"/>
      </w:pPr>
      <w:r>
        <w:t>Ask the professional search to chart the independent claim limitation-by-limitation against the closest patent families and non-patent literature. A search that merely returns titles with “embedding migration” is insufficient. The decisive question is whether one reference or a very natural combination teaches the action-effect witness + non-durable mixed-state preview + safety-controlled durable mutation sequence.</w:t>
      </w:r>
    </w:p>
    <w:p>
      <w:r>
        <w:br w:type="page"/>
      </w:r>
    </w:p>
    <w:p>
      <w:pPr>
        <w:pStyle w:val="Heading1"/>
      </w:pPr>
      <w:r>
        <w:t>54. Patent Evidence Notebook and Reduction-to-Practice Record</w:t>
      </w:r>
    </w:p>
    <w:p>
      <w:pPr>
        <w:spacing w:after="120" w:line="259" w:lineRule="auto"/>
      </w:pPr>
      <w:r>
        <w:t>Maintain a private dated evidence notebook. This is not a substitute for filing priority, but it helps prove what was implemented, when design choices were made, and which experimental results support which claim limitations.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Record</w:t>
            </w:r>
          </w:p>
        </w:tc>
        <w:tc>
          <w:tcPr>
            <w:tcW w:type="dxa" w:w="4997"/>
            <w:shd w:fill="1F4E78"/>
            <w:vAlign w:val="center"/>
          </w:tcPr>
          <w:p>
            <w:r>
              <w:rPr>
                <w:b/>
                <w:color w:val="FFFFFF"/>
              </w:rPr>
              <w:t>What to save</w:t>
            </w:r>
          </w:p>
        </w:tc>
      </w:tr>
      <w:tr>
        <w:tc>
          <w:tcPr>
            <w:tcW w:type="dxa" w:w="4997"/>
            <w:vAlign w:val="top"/>
          </w:tcPr>
          <w:p>
            <w:pPr>
              <w:spacing w:after="20"/>
            </w:pPr>
            <w:r>
              <w:rPr>
                <w:sz w:val="18"/>
              </w:rPr>
              <w:t>Design decision</w:t>
            </w:r>
          </w:p>
        </w:tc>
        <w:tc>
          <w:tcPr>
            <w:tcW w:type="dxa" w:w="4997"/>
            <w:vAlign w:val="top"/>
          </w:tcPr>
          <w:p>
            <w:pPr>
              <w:spacing w:after="20"/>
            </w:pPr>
            <w:r>
              <w:rPr>
                <w:sz w:val="18"/>
              </w:rPr>
              <w:t>Date, problem, alternatives considered, reason for chosen mechanism.</w:t>
            </w:r>
          </w:p>
        </w:tc>
      </w:tr>
      <w:tr>
        <w:tc>
          <w:tcPr>
            <w:tcW w:type="dxa" w:w="4997"/>
            <w:vAlign w:val="top"/>
          </w:tcPr>
          <w:p>
            <w:pPr>
              <w:spacing w:after="20"/>
            </w:pPr>
            <w:r>
              <w:rPr>
                <w:sz w:val="18"/>
              </w:rPr>
              <w:t>Experiment run</w:t>
            </w:r>
          </w:p>
        </w:tc>
        <w:tc>
          <w:tcPr>
            <w:tcW w:type="dxa" w:w="4997"/>
            <w:vAlign w:val="top"/>
          </w:tcPr>
          <w:p>
            <w:pPr>
              <w:spacing w:after="20"/>
            </w:pPr>
            <w:r>
              <w:rPr>
                <w:sz w:val="18"/>
              </w:rPr>
              <w:t>Manifest, git commit hash, raw results, plots, machine details.</w:t>
            </w:r>
          </w:p>
        </w:tc>
      </w:tr>
      <w:tr>
        <w:tc>
          <w:tcPr>
            <w:tcW w:type="dxa" w:w="4997"/>
            <w:vAlign w:val="top"/>
          </w:tcPr>
          <w:p>
            <w:pPr>
              <w:spacing w:after="20"/>
            </w:pPr>
            <w:r>
              <w:rPr>
                <w:sz w:val="18"/>
              </w:rPr>
              <w:t>Unexpected result</w:t>
            </w:r>
          </w:p>
        </w:tc>
        <w:tc>
          <w:tcPr>
            <w:tcW w:type="dxa" w:w="4997"/>
            <w:vAlign w:val="top"/>
          </w:tcPr>
          <w:p>
            <w:pPr>
              <w:spacing w:after="20"/>
            </w:pPr>
            <w:r>
              <w:rPr>
                <w:sz w:val="18"/>
              </w:rPr>
              <w:t>Baseline prediction/expectation, measured result, repeat runs, statistical evidence.</w:t>
            </w:r>
          </w:p>
        </w:tc>
      </w:tr>
      <w:tr>
        <w:tc>
          <w:tcPr>
            <w:tcW w:type="dxa" w:w="4997"/>
            <w:vAlign w:val="top"/>
          </w:tcPr>
          <w:p>
            <w:pPr>
              <w:spacing w:after="20"/>
            </w:pPr>
            <w:r>
              <w:rPr>
                <w:sz w:val="18"/>
              </w:rPr>
              <w:t>Failure</w:t>
            </w:r>
          </w:p>
        </w:tc>
        <w:tc>
          <w:tcPr>
            <w:tcW w:type="dxa" w:w="4997"/>
            <w:vAlign w:val="top"/>
          </w:tcPr>
          <w:p>
            <w:pPr>
              <w:spacing w:after="20"/>
            </w:pPr>
            <w:r>
              <w:rPr>
                <w:sz w:val="18"/>
              </w:rPr>
              <w:t>What broke, root cause, whether architecture changed.</w:t>
            </w:r>
          </w:p>
        </w:tc>
      </w:tr>
      <w:tr>
        <w:tc>
          <w:tcPr>
            <w:tcW w:type="dxa" w:w="4997"/>
            <w:vAlign w:val="top"/>
          </w:tcPr>
          <w:p>
            <w:pPr>
              <w:spacing w:after="20"/>
            </w:pPr>
            <w:r>
              <w:rPr>
                <w:sz w:val="18"/>
              </w:rPr>
              <w:t>Claim support map</w:t>
            </w:r>
          </w:p>
        </w:tc>
        <w:tc>
          <w:tcPr>
            <w:tcW w:type="dxa" w:w="4997"/>
            <w:vAlign w:val="top"/>
          </w:tcPr>
          <w:p>
            <w:pPr>
              <w:spacing w:after="20"/>
            </w:pPr>
            <w:r>
              <w:rPr>
                <w:sz w:val="18"/>
              </w:rPr>
              <w:t>Claim limitation -&gt; code module -&gt; experiment/figure.</w:t>
            </w:r>
          </w:p>
        </w:tc>
      </w:tr>
      <w:tr>
        <w:tc>
          <w:tcPr>
            <w:tcW w:type="dxa" w:w="4997"/>
            <w:vAlign w:val="top"/>
          </w:tcPr>
          <w:p>
            <w:pPr>
              <w:spacing w:after="20"/>
            </w:pPr>
            <w:r>
              <w:rPr>
                <w:sz w:val="18"/>
              </w:rPr>
              <w:t>Prior art review</w:t>
            </w:r>
          </w:p>
        </w:tc>
        <w:tc>
          <w:tcPr>
            <w:tcW w:type="dxa" w:w="4997"/>
            <w:vAlign w:val="top"/>
          </w:tcPr>
          <w:p>
            <w:pPr>
              <w:spacing w:after="20"/>
            </w:pPr>
            <w:r>
              <w:rPr>
                <w:sz w:val="18"/>
              </w:rPr>
              <w:t>Reference, relevant passages/claims, distinction, date reviewed.</w:t>
            </w:r>
          </w:p>
        </w:tc>
      </w:tr>
      <w:tr>
        <w:tc>
          <w:tcPr>
            <w:tcW w:type="dxa" w:w="4997"/>
            <w:vAlign w:val="top"/>
          </w:tcPr>
          <w:p>
            <w:pPr>
              <w:spacing w:after="20"/>
            </w:pPr>
            <w:r>
              <w:rPr>
                <w:sz w:val="18"/>
              </w:rPr>
              <w:t>Disclosure log</w:t>
            </w:r>
          </w:p>
        </w:tc>
        <w:tc>
          <w:tcPr>
            <w:tcW w:type="dxa" w:w="4997"/>
            <w:vAlign w:val="top"/>
          </w:tcPr>
          <w:p>
            <w:pPr>
              <w:spacing w:after="20"/>
            </w:pPr>
            <w:r>
              <w:rPr>
                <w:sz w:val="18"/>
              </w:rPr>
              <w:t>Any demo, mail, paper, form, GitHub visibility, presentation, hackathon submission.</w:t>
            </w:r>
          </w:p>
        </w:tc>
      </w:tr>
    </w:tbl>
    <w:p/>
    <w:p>
      <w:pPr>
        <w:pStyle w:val="Heading2"/>
      </w:pPr>
      <w:r>
        <w:t>54.1 Claim support mapping example</w:t>
      </w:r>
    </w:p>
    <w:p>
      <w:pPr>
        <w:spacing w:before="80" w:after="140"/>
        <w:ind w:left="259" w:right="259"/>
        <w:shd w:fill="F2F4F7"/>
      </w:pPr>
      <w:r>
        <w:rPr>
          <w:rFonts w:ascii="Consolas" w:hAnsi="Consolas"/>
          <w:sz w:val="18"/>
        </w:rPr>
        <w:t>Claim element: "materializing a non-durable preview retrieval state"</w:t>
        <w:br/>
        <w:t>Code: src/topopatch/preview/state.py</w:t>
        <w:br/>
        <w:t>Tests: tests/integration/test_preview_commit_gate.py</w:t>
        <w:br/>
        <w:t>Evidence: exp_014/preview_vs_estimate.csv</w:t>
        <w:br/>
        <w:t>Figure: fig_preview_overlay.svg</w:t>
        <w:br/>
        <w:t>Result: preview catches 17 composed-state violations missed by independent object estimates</w:t>
      </w:r>
    </w:p>
    <w:p>
      <w:r>
        <w:br w:type="page"/>
      </w:r>
    </w:p>
    <w:p>
      <w:pPr>
        <w:pStyle w:val="Heading1"/>
      </w:pPr>
      <w:r>
        <w:t>55. Disclosure and Filing Hygiene</w:t>
      </w:r>
    </w:p>
    <w:p>
      <w:pPr>
        <w:spacing w:after="120" w:line="259" w:lineRule="auto"/>
      </w:pPr>
      <w:r>
        <w:t>Until a filing strategy is decided, keep the detailed architecture, code and experimental evidence private. Do not assume that a private conception date gives patent priority. Public disclosure rules vary by jurisdiction, and absolute-novelty jurisdictions can be unforgiving. Discuss any planned GitHub release, hackathon submission, paper preprint, public presentation or detailed portfolio page with a patent professional before disclosure.</w:t>
      </w:r>
    </w:p>
    <w:p>
      <w:pPr>
        <w:pStyle w:val="Heading2"/>
      </w:pPr>
      <w:r>
        <w:t>55.1 Private-by-default checklist</w:t>
      </w:r>
    </w:p>
    <w:p>
      <w:pPr>
        <w:pStyle w:val="ListBullet"/>
        <w:spacing w:after="40"/>
      </w:pPr>
      <w:r>
        <w:t>Private GitHub repository.</w:t>
      </w:r>
    </w:p>
    <w:p>
      <w:pPr>
        <w:pStyle w:val="ListBullet"/>
        <w:spacing w:after="40"/>
      </w:pPr>
      <w:r>
        <w:t>No public README describing claim-level architecture.</w:t>
      </w:r>
    </w:p>
    <w:p>
      <w:pPr>
        <w:pStyle w:val="ListBullet"/>
        <w:spacing w:after="40"/>
      </w:pPr>
      <w:r>
        <w:t>No arXiv/preprint before filing decision.</w:t>
      </w:r>
    </w:p>
    <w:p>
      <w:pPr>
        <w:pStyle w:val="ListBullet"/>
        <w:spacing w:after="40"/>
      </w:pPr>
      <w:r>
        <w:t>No public hackathon submission containing enabling technical details unless filing strategy is settled.</w:t>
      </w:r>
    </w:p>
    <w:p>
      <w:pPr>
        <w:pStyle w:val="ListBullet"/>
        <w:spacing w:after="40"/>
      </w:pPr>
      <w:r>
        <w:t>Track who receives detailed documents and under what confidentiality terms when practical.</w:t>
      </w:r>
    </w:p>
    <w:p>
      <w:pPr>
        <w:pStyle w:val="ListBullet"/>
        <w:spacing w:after="40"/>
      </w:pPr>
      <w:r>
        <w:t>Keep a disclosure log with dates and exactly what was shown.</w:t>
      </w:r>
    </w:p>
    <w:p>
      <w:r>
        <w:br w:type="page"/>
      </w:r>
    </w:p>
    <w:p>
      <w:pPr>
        <w:pStyle w:val="Heading1"/>
      </w:pPr>
      <w:r>
        <w:t>56. 28-Day Core Implementation Plan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Days</w:t>
            </w:r>
          </w:p>
        </w:tc>
        <w:tc>
          <w:tcPr>
            <w:tcW w:type="dxa" w:w="3331"/>
            <w:shd w:fill="1F4E78"/>
            <w:vAlign w:val="center"/>
          </w:tcPr>
          <w:p>
            <w:r>
              <w:rPr>
                <w:b/>
                <w:color w:val="FFFFFF"/>
              </w:rPr>
              <w:t>Goal</w:t>
            </w:r>
          </w:p>
        </w:tc>
        <w:tc>
          <w:tcPr>
            <w:tcW w:type="dxa" w:w="3331"/>
            <w:shd w:fill="1F4E78"/>
            <w:vAlign w:val="center"/>
          </w:tcPr>
          <w:p>
            <w:r>
              <w:rPr>
                <w:b/>
                <w:color w:val="FFFFFF"/>
              </w:rPr>
              <w:t>Deliverable / exit condition</w:t>
            </w:r>
          </w:p>
        </w:tc>
      </w:tr>
      <w:tr>
        <w:tc>
          <w:tcPr>
            <w:tcW w:type="dxa" w:w="3331"/>
            <w:vAlign w:val="top"/>
          </w:tcPr>
          <w:p>
            <w:pPr>
              <w:spacing w:after="20"/>
            </w:pPr>
            <w:r>
              <w:rPr>
                <w:sz w:val="18"/>
              </w:rPr>
              <w:t>1-3</w:t>
            </w:r>
          </w:p>
        </w:tc>
        <w:tc>
          <w:tcPr>
            <w:tcW w:type="dxa" w:w="3331"/>
            <w:vAlign w:val="top"/>
          </w:tcPr>
          <w:p>
            <w:pPr>
              <w:spacing w:after="20"/>
            </w:pPr>
            <w:r>
              <w:rPr>
                <w:sz w:val="18"/>
              </w:rPr>
              <w:t>Ground-truth harness</w:t>
            </w:r>
          </w:p>
        </w:tc>
        <w:tc>
          <w:tcPr>
            <w:tcW w:type="dxa" w:w="3331"/>
            <w:vAlign w:val="top"/>
          </w:tcPr>
          <w:p>
            <w:pPr>
              <w:spacing w:after="20"/>
            </w:pPr>
            <w:r>
              <w:rPr>
                <w:sz w:val="18"/>
              </w:rPr>
              <w:t>A and Full-B offline indexes; qrels metrics; immutable experiment manifest.</w:t>
            </w:r>
          </w:p>
        </w:tc>
      </w:tr>
      <w:tr>
        <w:tc>
          <w:tcPr>
            <w:tcW w:type="dxa" w:w="3331"/>
            <w:vAlign w:val="top"/>
          </w:tcPr>
          <w:p>
            <w:pPr>
              <w:spacing w:after="20"/>
            </w:pPr>
            <w:r>
              <w:rPr>
                <w:sz w:val="18"/>
              </w:rPr>
              <w:t>4-6</w:t>
            </w:r>
          </w:p>
        </w:tc>
        <w:tc>
          <w:tcPr>
            <w:tcW w:type="dxa" w:w="3331"/>
            <w:vAlign w:val="top"/>
          </w:tcPr>
          <w:p>
            <w:pPr>
              <w:spacing w:after="20"/>
            </w:pPr>
            <w:r>
              <w:rPr>
                <w:sz w:val="18"/>
              </w:rPr>
              <w:t>Candidate Envelope</w:t>
            </w:r>
          </w:p>
        </w:tc>
        <w:tc>
          <w:tcPr>
            <w:tcW w:type="dxa" w:w="3331"/>
            <w:vAlign w:val="top"/>
          </w:tcPr>
          <w:p>
            <w:pPr>
              <w:spacing w:after="20"/>
            </w:pPr>
            <w:r>
              <w:rPr>
                <w:sz w:val="18"/>
              </w:rPr>
              <w:t>Selective B scoring; cache; expansion; exact miss-rate measured against offline Full-B.</w:t>
            </w:r>
          </w:p>
        </w:tc>
      </w:tr>
      <w:tr>
        <w:tc>
          <w:tcPr>
            <w:tcW w:type="dxa" w:w="3331"/>
            <w:vAlign w:val="top"/>
          </w:tcPr>
          <w:p>
            <w:pPr>
              <w:spacing w:after="20"/>
            </w:pPr>
            <w:r>
              <w:rPr>
                <w:sz w:val="18"/>
              </w:rPr>
              <w:t>7-9</w:t>
            </w:r>
          </w:p>
        </w:tc>
        <w:tc>
          <w:tcPr>
            <w:tcW w:type="dxa" w:w="3331"/>
            <w:vAlign w:val="top"/>
          </w:tcPr>
          <w:p>
            <w:pPr>
              <w:spacing w:after="20"/>
            </w:pPr>
            <w:r>
              <w:rPr>
                <w:sz w:val="18"/>
              </w:rPr>
              <w:t>Violation detector + constraints</w:t>
            </w:r>
          </w:p>
        </w:tc>
        <w:tc>
          <w:tcPr>
            <w:tcW w:type="dxa" w:w="3331"/>
            <w:vAlign w:val="top"/>
          </w:tcPr>
          <w:p>
            <w:pPr>
              <w:spacing w:after="20"/>
            </w:pPr>
            <w:r>
              <w:rPr>
                <w:sz w:val="18"/>
              </w:rPr>
              <w:t>Machine-readable protected constraints and reproducible RetrievalViolation records.</w:t>
            </w:r>
          </w:p>
        </w:tc>
      </w:tr>
      <w:tr>
        <w:tc>
          <w:tcPr>
            <w:tcW w:type="dxa" w:w="3331"/>
            <w:vAlign w:val="top"/>
          </w:tcPr>
          <w:p>
            <w:pPr>
              <w:spacing w:after="20"/>
            </w:pPr>
            <w:r>
              <w:rPr>
                <w:sz w:val="18"/>
              </w:rPr>
              <w:t>10-12</w:t>
            </w:r>
          </w:p>
        </w:tc>
        <w:tc>
          <w:tcPr>
            <w:tcW w:type="dxa" w:w="3331"/>
            <w:vAlign w:val="top"/>
          </w:tcPr>
          <w:p>
            <w:pPr>
              <w:spacing w:after="20"/>
            </w:pPr>
            <w:r>
              <w:rPr>
                <w:sz w:val="18"/>
              </w:rPr>
              <w:t>Counterfactual witnesses</w:t>
            </w:r>
          </w:p>
        </w:tc>
        <w:tc>
          <w:tcPr>
            <w:tcW w:type="dxa" w:w="3331"/>
            <w:vAlign w:val="top"/>
          </w:tcPr>
          <w:p>
            <w:pPr>
              <w:spacing w:after="20"/>
            </w:pPr>
            <w:r>
              <w:rPr>
                <w:sz w:val="18"/>
              </w:rPr>
              <w:t>Action-effect witness hypergraph with delta rank/margin on toy + benchmark cases.</w:t>
            </w:r>
          </w:p>
        </w:tc>
      </w:tr>
      <w:tr>
        <w:tc>
          <w:tcPr>
            <w:tcW w:type="dxa" w:w="3331"/>
            <w:vAlign w:val="top"/>
          </w:tcPr>
          <w:p>
            <w:pPr>
              <w:spacing w:after="20"/>
            </w:pPr>
            <w:r>
              <w:rPr>
                <w:sz w:val="18"/>
              </w:rPr>
              <w:t>13-15</w:t>
            </w:r>
          </w:p>
        </w:tc>
        <w:tc>
          <w:tcPr>
            <w:tcW w:type="dxa" w:w="3331"/>
            <w:vAlign w:val="top"/>
          </w:tcPr>
          <w:p>
            <w:pPr>
              <w:spacing w:after="20"/>
            </w:pPr>
            <w:r>
              <w:rPr>
                <w:sz w:val="18"/>
              </w:rPr>
              <w:t>Repair solver</w:t>
            </w:r>
          </w:p>
        </w:tc>
        <w:tc>
          <w:tcPr>
            <w:tcW w:type="dxa" w:w="3331"/>
            <w:vAlign w:val="top"/>
          </w:tcPr>
          <w:p>
            <w:pPr>
              <w:spacing w:after="20"/>
            </w:pPr>
            <w:r>
              <w:rPr>
                <w:sz w:val="18"/>
              </w:rPr>
              <w:t>Greedy weighted set cover; ILP oracle on small subset; technical cost ledger.</w:t>
            </w:r>
          </w:p>
        </w:tc>
      </w:tr>
      <w:tr>
        <w:tc>
          <w:tcPr>
            <w:tcW w:type="dxa" w:w="3331"/>
            <w:vAlign w:val="top"/>
          </w:tcPr>
          <w:p>
            <w:pPr>
              <w:spacing w:after="20"/>
            </w:pPr>
            <w:r>
              <w:rPr>
                <w:sz w:val="18"/>
              </w:rPr>
              <w:t>16-18</w:t>
            </w:r>
          </w:p>
        </w:tc>
        <w:tc>
          <w:tcPr>
            <w:tcW w:type="dxa" w:w="3331"/>
            <w:vAlign w:val="top"/>
          </w:tcPr>
          <w:p>
            <w:pPr>
              <w:spacing w:after="20"/>
            </w:pPr>
            <w:r>
              <w:rPr>
                <w:sz w:val="18"/>
              </w:rPr>
              <w:t>Preview + barrier</w:t>
            </w:r>
          </w:p>
        </w:tc>
        <w:tc>
          <w:tcPr>
            <w:tcW w:type="dxa" w:w="3331"/>
            <w:vAlign w:val="top"/>
          </w:tcPr>
          <w:p>
            <w:pPr>
              <w:spacing w:after="20"/>
            </w:pPr>
            <w:r>
              <w:rPr>
                <w:sz w:val="18"/>
              </w:rPr>
              <w:t>Copy-on-write preview state; safety PASS/FAIL; no durable mutation on failure.</w:t>
            </w:r>
          </w:p>
        </w:tc>
      </w:tr>
      <w:tr>
        <w:tc>
          <w:tcPr>
            <w:tcW w:type="dxa" w:w="3331"/>
            <w:vAlign w:val="top"/>
          </w:tcPr>
          <w:p>
            <w:pPr>
              <w:spacing w:after="20"/>
            </w:pPr>
            <w:r>
              <w:rPr>
                <w:sz w:val="18"/>
              </w:rPr>
              <w:t>19-21</w:t>
            </w:r>
          </w:p>
        </w:tc>
        <w:tc>
          <w:tcPr>
            <w:tcW w:type="dxa" w:w="3331"/>
            <w:vAlign w:val="top"/>
          </w:tcPr>
          <w:p>
            <w:pPr>
              <w:spacing w:after="20"/>
            </w:pPr>
            <w:r>
              <w:rPr>
                <w:sz w:val="18"/>
              </w:rPr>
              <w:t>Dual-space migration/commit</w:t>
            </w:r>
          </w:p>
        </w:tc>
        <w:tc>
          <w:tcPr>
            <w:tcW w:type="dxa" w:w="3331"/>
            <w:vAlign w:val="top"/>
          </w:tcPr>
          <w:p>
            <w:pPr>
              <w:spacing w:after="20"/>
            </w:pPr>
            <w:r>
              <w:rPr>
                <w:sz w:val="18"/>
              </w:rPr>
              <w:t>A/B indexes, source-version binding, guarded commit, rank fusion.</w:t>
            </w:r>
          </w:p>
        </w:tc>
      </w:tr>
      <w:tr>
        <w:tc>
          <w:tcPr>
            <w:tcW w:type="dxa" w:w="3331"/>
            <w:vAlign w:val="top"/>
          </w:tcPr>
          <w:p>
            <w:pPr>
              <w:spacing w:after="20"/>
            </w:pPr>
            <w:r>
              <w:rPr>
                <w:sz w:val="18"/>
              </w:rPr>
              <w:t>22-24</w:t>
            </w:r>
          </w:p>
        </w:tc>
        <w:tc>
          <w:tcPr>
            <w:tcW w:type="dxa" w:w="3331"/>
            <w:vAlign w:val="top"/>
          </w:tcPr>
          <w:p>
            <w:pPr>
              <w:spacing w:after="20"/>
            </w:pPr>
            <w:r>
              <w:rPr>
                <w:sz w:val="18"/>
              </w:rPr>
              <w:t>ANN experiment + ablations</w:t>
            </w:r>
          </w:p>
        </w:tc>
        <w:tc>
          <w:tcPr>
            <w:tcW w:type="dxa" w:w="3331"/>
            <w:vAlign w:val="top"/>
          </w:tcPr>
          <w:p>
            <w:pPr>
              <w:spacing w:after="20"/>
            </w:pPr>
            <w:r>
              <w:rPr>
                <w:sz w:val="18"/>
              </w:rPr>
              <w:t>HNSW/Qdrant update measurements; no-barrier and baseline comparisons.</w:t>
            </w:r>
          </w:p>
        </w:tc>
      </w:tr>
      <w:tr>
        <w:tc>
          <w:tcPr>
            <w:tcW w:type="dxa" w:w="3331"/>
            <w:vAlign w:val="top"/>
          </w:tcPr>
          <w:p>
            <w:pPr>
              <w:spacing w:after="20"/>
            </w:pPr>
            <w:r>
              <w:rPr>
                <w:sz w:val="18"/>
              </w:rPr>
              <w:t>25-26</w:t>
            </w:r>
          </w:p>
        </w:tc>
        <w:tc>
          <w:tcPr>
            <w:tcW w:type="dxa" w:w="3331"/>
            <w:vAlign w:val="top"/>
          </w:tcPr>
          <w:p>
            <w:pPr>
              <w:spacing w:after="20"/>
            </w:pPr>
            <w:r>
              <w:rPr>
                <w:sz w:val="18"/>
              </w:rPr>
              <w:t>Robustness/failure injection</w:t>
            </w:r>
          </w:p>
        </w:tc>
        <w:tc>
          <w:tcPr>
            <w:tcW w:type="dxa" w:w="3331"/>
            <w:vAlign w:val="top"/>
          </w:tcPr>
          <w:p>
            <w:pPr>
              <w:spacing w:after="20"/>
            </w:pPr>
            <w:r>
              <w:rPr>
                <w:sz w:val="18"/>
              </w:rPr>
              <w:t>Stale content, envelope misses, unsafe repair, crash/retry tests.</w:t>
            </w:r>
          </w:p>
        </w:tc>
      </w:tr>
      <w:tr>
        <w:tc>
          <w:tcPr>
            <w:tcW w:type="dxa" w:w="3331"/>
            <w:vAlign w:val="top"/>
          </w:tcPr>
          <w:p>
            <w:pPr>
              <w:spacing w:after="20"/>
            </w:pPr>
            <w:r>
              <w:rPr>
                <w:sz w:val="18"/>
              </w:rPr>
              <w:t>27-28</w:t>
            </w:r>
          </w:p>
        </w:tc>
        <w:tc>
          <w:tcPr>
            <w:tcW w:type="dxa" w:w="3331"/>
            <w:vAlign w:val="top"/>
          </w:tcPr>
          <w:p>
            <w:pPr>
              <w:spacing w:after="20"/>
            </w:pPr>
            <w:r>
              <w:rPr>
                <w:sz w:val="18"/>
              </w:rPr>
              <w:t>Results + private demo</w:t>
            </w:r>
          </w:p>
        </w:tc>
        <w:tc>
          <w:tcPr>
            <w:tcW w:type="dxa" w:w="3331"/>
            <w:vAlign w:val="top"/>
          </w:tcPr>
          <w:p>
            <w:pPr>
              <w:spacing w:after="20"/>
            </w:pPr>
            <w:r>
              <w:rPr>
                <w:sz w:val="18"/>
              </w:rPr>
              <w:t>Benchmark tables, plots, claim-support map, reproducibility bundle.</w:t>
            </w:r>
          </w:p>
        </w:tc>
      </w:tr>
    </w:tbl>
    <w:p/>
    <w:p>
      <w:pPr>
        <w:pStyle w:val="Heading2"/>
      </w:pPr>
      <w:r>
        <w:t>56.1 Daily engineering rhythm</w:t>
      </w:r>
    </w:p>
    <w:p>
      <w:pPr>
        <w:spacing w:after="120" w:line="259" w:lineRule="auto"/>
      </w:pPr>
      <w:r>
        <w:t>Each day should end with: passing tests; one short experiment note; updated issue list; and a committed private repository state. Avoid spending the first week on dashboard design. The first visual UI should be built only after Stage A-C outputs are stable enough to visualize meaningfully.</w:t>
      </w:r>
    </w:p>
    <w:p>
      <w:r>
        <w:br w:type="page"/>
      </w:r>
    </w:p>
    <w:p>
      <w:pPr>
        <w:pStyle w:val="Heading1"/>
      </w:pPr>
      <w:r>
        <w:t>57. Week-1 Exact Implementation Tasks</w:t>
      </w:r>
    </w:p>
    <w:p>
      <w:pPr>
        <w:pStyle w:val="ListNumber"/>
        <w:spacing w:after="40"/>
      </w:pPr>
      <w:r>
        <w:t>Create repository and Python environment; pin versions.</w:t>
      </w:r>
    </w:p>
    <w:p>
      <w:pPr>
        <w:pStyle w:val="ListNumber"/>
        <w:spacing w:after="40"/>
      </w:pPr>
      <w:r>
        <w:t>Choose one small qrels dataset and two embedding models with compatible licensing.</w:t>
      </w:r>
    </w:p>
    <w:p>
      <w:pPr>
        <w:pStyle w:val="ListNumber"/>
        <w:spacing w:after="40"/>
      </w:pPr>
      <w:r>
        <w:t>Create stable object/query IDs and hashes.</w:t>
      </w:r>
    </w:p>
    <w:p>
      <w:pPr>
        <w:pStyle w:val="ListNumber"/>
        <w:spacing w:after="40"/>
      </w:pPr>
      <w:r>
        <w:t>Build Model A and evaluation-only Full-B vector arrays.</w:t>
      </w:r>
    </w:p>
    <w:p>
      <w:pPr>
        <w:pStyle w:val="ListNumber"/>
        <w:spacing w:after="40"/>
      </w:pPr>
      <w:r>
        <w:t>Implement exact flat retrieval and standard metrics.</w:t>
      </w:r>
    </w:p>
    <w:p>
      <w:pPr>
        <w:pStyle w:val="ListNumber"/>
        <w:spacing w:after="40"/>
      </w:pPr>
      <w:r>
        <w:t>Define three protected query constraints by hand to test the DSL.</w:t>
      </w:r>
    </w:p>
    <w:p>
      <w:pPr>
        <w:pStyle w:val="ListNumber"/>
        <w:spacing w:after="40"/>
      </w:pPr>
      <w:r>
        <w:t>Implement cost ledger distinguishing charged B work from offline ground truth.</w:t>
      </w:r>
    </w:p>
    <w:p>
      <w:pPr>
        <w:pStyle w:val="ListNumber"/>
        <w:spacing w:after="40"/>
      </w:pPr>
      <w:r>
        <w:t>Implement Candidate Envelope using A top-L + lexical candidates.</w:t>
      </w:r>
    </w:p>
    <w:p>
      <w:pPr>
        <w:pStyle w:val="ListNumber"/>
        <w:spacing w:after="40"/>
      </w:pPr>
      <w:r>
        <w:t>Measure true B top-k miss rate versus envelope size.</w:t>
      </w:r>
    </w:p>
    <w:p>
      <w:pPr>
        <w:pStyle w:val="ListNumber"/>
        <w:spacing w:after="40"/>
      </w:pPr>
      <w:r>
        <w:t>Write first end-to-end test: envelope unresolved -&gt; no migration authorization.</w:t>
      </w:r>
    </w:p>
    <w:p>
      <w:pPr>
        <w:pStyle w:val="Heading2"/>
      </w:pPr>
      <w:r>
        <w:t>57.1 Week-1 exit gate</w:t>
      </w:r>
    </w:p>
    <w:tbl>
      <w:tblPr>
        <w:tblStyle w:val="TableGrid"/>
        <w:tblW w:type="auto" w:w="0"/>
        <w:tblLook w:firstColumn="1" w:firstRow="1" w:lastColumn="0" w:lastRow="0" w:noHBand="0" w:noVBand="1" w:val="04A0"/>
      </w:tblPr>
      <w:tblGrid>
        <w:gridCol w:w="9994"/>
      </w:tblGrid>
      <w:tr>
        <w:tc>
          <w:tcPr>
            <w:tcW w:type="dxa" w:w="9994"/>
            <w:shd w:fill="EAF2F8"/>
          </w:tcPr>
          <w:p>
            <w:r>
              <w:rPr>
                <w:b/>
                <w:sz w:val="21"/>
              </w:rPr>
              <w:t>Exit gate</w:t>
              <w:br/>
            </w:r>
            <w:r>
              <w:rPr>
                <w:sz w:val="19"/>
              </w:rPr>
              <w:t>Do not proceed to witness/optimizer work until the experiment harness can accurately report Full-A quality, Full-B quality, charged target-embedding work, and Candidate Envelope miss rate on a reproducible run.</w:t>
            </w:r>
          </w:p>
        </w:tc>
      </w:tr>
    </w:tbl>
    <w:p/>
    <w:p>
      <w:r>
        <w:br w:type="page"/>
      </w:r>
    </w:p>
    <w:p>
      <w:pPr>
        <w:pStyle w:val="Heading1"/>
      </w:pPr>
      <w:r>
        <w:t>58. Week-2 Exact Implementation Tasks</w:t>
      </w:r>
    </w:p>
    <w:p>
      <w:pPr>
        <w:pStyle w:val="ListNumber"/>
        <w:spacing w:after="40"/>
      </w:pPr>
      <w:r>
        <w:t>Implement RetrievalConstraint classes and violation detector.</w:t>
      </w:r>
    </w:p>
    <w:p>
      <w:pPr>
        <w:pStyle w:val="ListNumber"/>
        <w:spacing w:after="40"/>
      </w:pPr>
      <w:r>
        <w:t>Create candidate migration actions from dropped/entering/boundary objects.</w:t>
      </w:r>
    </w:p>
    <w:p>
      <w:pPr>
        <w:pStyle w:val="ListNumber"/>
        <w:spacing w:after="40"/>
      </w:pPr>
      <w:r>
        <w:t>Build preview of singleton migration actions on flat indexes.</w:t>
      </w:r>
    </w:p>
    <w:p>
      <w:pPr>
        <w:pStyle w:val="ListNumber"/>
        <w:spacing w:after="40"/>
      </w:pPr>
      <w:r>
        <w:t>Compute delta-rank/delta-margin action effects.</w:t>
      </w:r>
    </w:p>
    <w:p>
      <w:pPr>
        <w:pStyle w:val="ListNumber"/>
        <w:spacing w:after="40"/>
      </w:pPr>
      <w:r>
        <w:t>Construct WitnessHypergraph.</w:t>
      </w:r>
    </w:p>
    <w:p>
      <w:pPr>
        <w:pStyle w:val="ListNumber"/>
        <w:spacing w:after="40"/>
      </w:pPr>
      <w:r>
        <w:t>Implement greedy weighted repair selection.</w:t>
      </w:r>
    </w:p>
    <w:p>
      <w:pPr>
        <w:pStyle w:val="ListNumber"/>
        <w:spacing w:after="40"/>
      </w:pPr>
      <w:r>
        <w:t>Implement small ILP oracle for benchmark subsets.</w:t>
      </w:r>
    </w:p>
    <w:p>
      <w:pPr>
        <w:pStyle w:val="ListNumber"/>
        <w:spacing w:after="40"/>
      </w:pPr>
      <w:r>
        <w:t>Log action-effect confidence and cost separately.</w:t>
      </w:r>
    </w:p>
    <w:p>
      <w:pPr>
        <w:pStyle w:val="ListNumber"/>
        <w:spacing w:after="40"/>
      </w:pPr>
      <w:r>
        <w:t>Create baseline random and popularity-based partial migration.</w:t>
      </w:r>
    </w:p>
    <w:p>
      <w:pPr>
        <w:pStyle w:val="ListNumber"/>
        <w:spacing w:after="40"/>
      </w:pPr>
      <w:r>
        <w:t>Generate first quality-versus-B-budget curve.</w:t>
      </w:r>
    </w:p>
    <w:p>
      <w:r>
        <w:br w:type="page"/>
      </w:r>
    </w:p>
    <w:p>
      <w:pPr>
        <w:pStyle w:val="Heading1"/>
      </w:pPr>
      <w:r>
        <w:t>59. Week-3 Exact Implementation Tasks</w:t>
      </w:r>
    </w:p>
    <w:p>
      <w:pPr>
        <w:pStyle w:val="ListNumber"/>
        <w:spacing w:after="40"/>
      </w:pPr>
      <w:r>
        <w:t>Implement durable MigrationState and MigrationAction schemas.</w:t>
      </w:r>
    </w:p>
    <w:p>
      <w:pPr>
        <w:pStyle w:val="ListNumber"/>
        <w:spacing w:after="40"/>
      </w:pPr>
      <w:r>
        <w:t>Implement copy-on-write PreviewStateDelta.</w:t>
      </w:r>
    </w:p>
    <w:p>
      <w:pPr>
        <w:pStyle w:val="ListNumber"/>
        <w:spacing w:after="40"/>
      </w:pPr>
      <w:r>
        <w:t>Implement dual A/B query path and rank fusion.</w:t>
      </w:r>
    </w:p>
    <w:p>
      <w:pPr>
        <w:pStyle w:val="ListNumber"/>
        <w:spacing w:after="40"/>
      </w:pPr>
      <w:r>
        <w:t>Implement protected safety evaluator/barrier.</w:t>
      </w:r>
    </w:p>
    <w:p>
      <w:pPr>
        <w:pStyle w:val="ListNumber"/>
        <w:spacing w:after="40"/>
      </w:pPr>
      <w:r>
        <w:t>Implement fail-closed commit API.</w:t>
      </w:r>
    </w:p>
    <w:p>
      <w:pPr>
        <w:pStyle w:val="ListNumber"/>
        <w:spacing w:after="40"/>
      </w:pPr>
      <w:r>
        <w:t>Bind B embeddings to source version/hash/epoch.</w:t>
      </w:r>
    </w:p>
    <w:p>
      <w:pPr>
        <w:pStyle w:val="ListNumber"/>
        <w:spacing w:after="40"/>
      </w:pPr>
      <w:r>
        <w:t>Implement monotonic version map.</w:t>
      </w:r>
    </w:p>
    <w:p>
      <w:pPr>
        <w:pStyle w:val="ListNumber"/>
        <w:spacing w:after="40"/>
      </w:pPr>
      <w:r>
        <w:t>Implement scoped fallback.</w:t>
      </w:r>
    </w:p>
    <w:p>
      <w:pPr>
        <w:pStyle w:val="ListNumber"/>
        <w:spacing w:after="40"/>
      </w:pPr>
      <w:r>
        <w:t>Add post-commit regression probes.</w:t>
      </w:r>
    </w:p>
    <w:p>
      <w:pPr>
        <w:pStyle w:val="ListNumber"/>
        <w:spacing w:after="40"/>
      </w:pPr>
      <w:r>
        <w:t>Create no-barrier ablation and record how often barrier changes the repair.</w:t>
      </w:r>
    </w:p>
    <w:p>
      <w:r>
        <w:br w:type="page"/>
      </w:r>
    </w:p>
    <w:p>
      <w:pPr>
        <w:pStyle w:val="Heading1"/>
      </w:pPr>
      <w:r>
        <w:t>60. Week-4 Exact Implementation Tasks</w:t>
      </w:r>
    </w:p>
    <w:p>
      <w:pPr>
        <w:pStyle w:val="ListNumber"/>
        <w:spacing w:after="40"/>
      </w:pPr>
      <w:r>
        <w:t>Swap exact/flat path for FAISS HNSW or Qdrant experiment.</w:t>
      </w:r>
    </w:p>
    <w:p>
      <w:pPr>
        <w:pStyle w:val="ListNumber"/>
        <w:spacing w:after="40"/>
      </w:pPr>
      <w:r>
        <w:t>Instrument update count/latency and any available graph/partition work.</w:t>
      </w:r>
    </w:p>
    <w:p>
      <w:pPr>
        <w:pStyle w:val="ListNumber"/>
        <w:spacing w:after="40"/>
      </w:pPr>
      <w:r>
        <w:t>Run failure-injection suite.</w:t>
      </w:r>
    </w:p>
    <w:p>
      <w:pPr>
        <w:pStyle w:val="ListNumber"/>
        <w:spacing w:after="40"/>
      </w:pPr>
      <w:r>
        <w:t>Run at least three model/dataset configurations if compute permits.</w:t>
      </w:r>
    </w:p>
    <w:p>
      <w:pPr>
        <w:pStyle w:val="ListNumber"/>
        <w:spacing w:after="40"/>
      </w:pPr>
      <w:r>
        <w:t>Add progressive materialization/EmbedFlow-like baseline.</w:t>
      </w:r>
    </w:p>
    <w:p>
      <w:pPr>
        <w:pStyle w:val="ListNumber"/>
        <w:spacing w:after="40"/>
      </w:pPr>
      <w:r>
        <w:t>Run cost, quality, safety and latency curves.</w:t>
      </w:r>
    </w:p>
    <w:p>
      <w:pPr>
        <w:pStyle w:val="ListNumber"/>
        <w:spacing w:after="40"/>
      </w:pPr>
      <w:r>
        <w:t>Build minimal dashboard from saved experiment data.</w:t>
      </w:r>
    </w:p>
    <w:p>
      <w:pPr>
        <w:pStyle w:val="ListNumber"/>
        <w:spacing w:after="40"/>
      </w:pPr>
      <w:r>
        <w:t>Export patent evidence notebook and claim-support map.</w:t>
      </w:r>
    </w:p>
    <w:p>
      <w:pPr>
        <w:pStyle w:val="ListNumber"/>
        <w:spacing w:after="40"/>
      </w:pPr>
      <w:r>
        <w:t>Prepare one-page attorney brief and independent claim skeleton.</w:t>
      </w:r>
    </w:p>
    <w:p>
      <w:pPr>
        <w:pStyle w:val="ListNumber"/>
        <w:spacing w:after="40"/>
      </w:pPr>
      <w:r>
        <w:t>Decide whether the measured result clears the filing gate.</w:t>
      </w:r>
    </w:p>
    <w:p>
      <w:r>
        <w:br w:type="page"/>
      </w:r>
    </w:p>
    <w:p>
      <w:pPr>
        <w:pStyle w:val="Heading1"/>
      </w:pPr>
      <w:r>
        <w:t>61. Filing Decision Gate After Prototype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Observed result</w:t>
            </w:r>
          </w:p>
        </w:tc>
        <w:tc>
          <w:tcPr>
            <w:tcW w:type="dxa" w:w="4997"/>
            <w:shd w:fill="1F4E78"/>
            <w:vAlign w:val="center"/>
          </w:tcPr>
          <w:p>
            <w:r>
              <w:rPr>
                <w:b/>
                <w:color w:val="FFFFFF"/>
              </w:rPr>
              <w:t>Decision</w:t>
            </w:r>
          </w:p>
        </w:tc>
      </w:tr>
      <w:tr>
        <w:tc>
          <w:tcPr>
            <w:tcW w:type="dxa" w:w="4997"/>
            <w:vAlign w:val="top"/>
          </w:tcPr>
          <w:p>
            <w:pPr>
              <w:spacing w:after="20"/>
            </w:pPr>
            <w:r>
              <w:rPr>
                <w:sz w:val="18"/>
              </w:rPr>
              <w:t>No exact killer art; substantial B-work/index savings; protected floor maintained; barrier changes decisions</w:t>
            </w:r>
          </w:p>
        </w:tc>
        <w:tc>
          <w:tcPr>
            <w:tcW w:type="dxa" w:w="4997"/>
            <w:vAlign w:val="top"/>
          </w:tcPr>
          <w:p>
            <w:pPr>
              <w:spacing w:after="20"/>
            </w:pPr>
            <w:r>
              <w:rPr>
                <w:sz w:val="18"/>
              </w:rPr>
              <w:t>Proceed immediately to professional claim drafting/priority filing discussion.</w:t>
            </w:r>
          </w:p>
        </w:tc>
      </w:tr>
      <w:tr>
        <w:tc>
          <w:tcPr>
            <w:tcW w:type="dxa" w:w="4997"/>
            <w:vAlign w:val="top"/>
          </w:tcPr>
          <w:p>
            <w:pPr>
              <w:spacing w:after="20"/>
            </w:pPr>
            <w:r>
              <w:rPr>
                <w:sz w:val="18"/>
              </w:rPr>
              <w:t>Savings exist but only on one special workload</w:t>
            </w:r>
          </w:p>
        </w:tc>
        <w:tc>
          <w:tcPr>
            <w:tcW w:type="dxa" w:w="4997"/>
            <w:vAlign w:val="top"/>
          </w:tcPr>
          <w:p>
            <w:pPr>
              <w:spacing w:after="20"/>
            </w:pPr>
            <w:r>
              <w:rPr>
                <w:sz w:val="18"/>
              </w:rPr>
              <w:t>Narrow specification/claims to the demonstrated workload/mechanism; run targeted search.</w:t>
            </w:r>
          </w:p>
        </w:tc>
      </w:tr>
      <w:tr>
        <w:tc>
          <w:tcPr>
            <w:tcW w:type="dxa" w:w="4997"/>
            <w:vAlign w:val="top"/>
          </w:tcPr>
          <w:p>
            <w:pPr>
              <w:spacing w:after="20"/>
            </w:pPr>
            <w:r>
              <w:rPr>
                <w:sz w:val="18"/>
              </w:rPr>
              <w:t>Candidate Envelope needs most corpus B embeddings</w:t>
            </w:r>
          </w:p>
        </w:tc>
        <w:tc>
          <w:tcPr>
            <w:tcW w:type="dxa" w:w="4997"/>
            <w:vAlign w:val="top"/>
          </w:tcPr>
          <w:p>
            <w:pPr>
              <w:spacing w:after="20"/>
            </w:pPr>
            <w:r>
              <w:rPr>
                <w:sz w:val="18"/>
              </w:rPr>
              <w:t>Economic premise weak; rework once, then consider shelving patent-first effort.</w:t>
            </w:r>
          </w:p>
        </w:tc>
      </w:tr>
      <w:tr>
        <w:tc>
          <w:tcPr>
            <w:tcW w:type="dxa" w:w="4997"/>
            <w:vAlign w:val="top"/>
          </w:tcPr>
          <w:p>
            <w:pPr>
              <w:spacing w:after="20"/>
            </w:pPr>
            <w:r>
              <w:rPr>
                <w:sz w:val="18"/>
              </w:rPr>
              <w:t>Barrier rarely changes decisions</w:t>
            </w:r>
          </w:p>
        </w:tc>
        <w:tc>
          <w:tcPr>
            <w:tcW w:type="dxa" w:w="4997"/>
            <w:vAlign w:val="top"/>
          </w:tcPr>
          <w:p>
            <w:pPr>
              <w:spacing w:after="20"/>
            </w:pPr>
            <w:r>
              <w:rPr>
                <w:sz w:val="18"/>
              </w:rPr>
              <w:t>Downgrade barrier from core patent argument; reassess whether witness+preview sequence has independent value.</w:t>
            </w:r>
          </w:p>
        </w:tc>
      </w:tr>
      <w:tr>
        <w:tc>
          <w:tcPr>
            <w:tcW w:type="dxa" w:w="4997"/>
            <w:vAlign w:val="top"/>
          </w:tcPr>
          <w:p>
            <w:pPr>
              <w:spacing w:after="20"/>
            </w:pPr>
            <w:r>
              <w:rPr>
                <w:sz w:val="18"/>
              </w:rPr>
              <w:t>Selective repair nearly equals full migration</w:t>
            </w:r>
          </w:p>
        </w:tc>
        <w:tc>
          <w:tcPr>
            <w:tcW w:type="dxa" w:w="4997"/>
            <w:vAlign w:val="top"/>
          </w:tcPr>
          <w:p>
            <w:pPr>
              <w:spacing w:after="20"/>
            </w:pPr>
            <w:r>
              <w:rPr>
                <w:sz w:val="18"/>
              </w:rPr>
              <w:t>Patent/business value weak; do not force a filing.</w:t>
            </w:r>
          </w:p>
        </w:tc>
      </w:tr>
      <w:tr>
        <w:tc>
          <w:tcPr>
            <w:tcW w:type="dxa" w:w="4997"/>
            <w:vAlign w:val="top"/>
          </w:tcPr>
          <w:p>
            <w:pPr>
              <w:spacing w:after="20"/>
            </w:pPr>
            <w:r>
              <w:rPr>
                <w:sz w:val="18"/>
              </w:rPr>
              <w:t>Professional search finds exact witness+preview+safety migration sequence</w:t>
            </w:r>
          </w:p>
        </w:tc>
        <w:tc>
          <w:tcPr>
            <w:tcW w:type="dxa" w:w="4997"/>
            <w:vAlign w:val="top"/>
          </w:tcPr>
          <w:p>
            <w:pPr>
              <w:spacing w:after="20"/>
            </w:pPr>
            <w:r>
              <w:rPr>
                <w:sz w:val="18"/>
              </w:rPr>
              <w:t>Do not cosmetically rewrite; pivot claim scope or abandon.</w:t>
            </w:r>
          </w:p>
        </w:tc>
      </w:tr>
      <w:tr>
        <w:tc>
          <w:tcPr>
            <w:tcW w:type="dxa" w:w="4997"/>
            <w:vAlign w:val="top"/>
          </w:tcPr>
          <w:p>
            <w:pPr>
              <w:spacing w:after="20"/>
            </w:pPr>
            <w:r>
              <w:rPr>
                <w:sz w:val="18"/>
              </w:rPr>
              <w:t>Strong unexpected multi-baseline result</w:t>
            </w:r>
          </w:p>
        </w:tc>
        <w:tc>
          <w:tcPr>
            <w:tcW w:type="dxa" w:w="4997"/>
            <w:vAlign w:val="top"/>
          </w:tcPr>
          <w:p>
            <w:pPr>
              <w:spacing w:after="20"/>
            </w:pPr>
            <w:r>
              <w:rPr>
                <w:sz w:val="18"/>
              </w:rPr>
              <w:t>Preserve raw evidence; attorney can evaluate use as objective evidence of non-obviousness.</w:t>
            </w:r>
          </w:p>
        </w:tc>
      </w:tr>
    </w:tbl>
    <w:p/>
    <w:p>
      <w:r>
        <w:br w:type="page"/>
      </w:r>
    </w:p>
    <w:p>
      <w:pPr>
        <w:pStyle w:val="Heading1"/>
      </w:pPr>
      <w:r>
        <w:t>62. Commercial/Product Potential</w:t>
      </w:r>
    </w:p>
    <w:p>
      <w:pPr>
        <w:spacing w:after="120" w:line="259" w:lineRule="auto"/>
      </w:pPr>
      <w:r>
        <w:t>If the mechanism works, TopoPatch can be positioned as migration orchestration infrastructure for teams operating RAG/search/recommendation systems with large vector corpora. The product value is not “better embeddings”; it is reducing the operational cost/risk of moving between embedding model versions while maintaining explicit retrieval guarantees for protected workloads.</w:t>
      </w:r>
    </w:p>
    <w:p>
      <w:pPr>
        <w:pStyle w:val="Heading2"/>
      </w:pPr>
      <w:r>
        <w:t>62.1 Potential users</w:t>
      </w:r>
    </w:p>
    <w:p>
      <w:pPr>
        <w:pStyle w:val="ListBullet"/>
        <w:spacing w:after="40"/>
      </w:pPr>
      <w:r>
        <w:t>Enterprises with large RAG corpora and frequent model upgrades.</w:t>
      </w:r>
    </w:p>
    <w:p>
      <w:pPr>
        <w:pStyle w:val="ListBullet"/>
        <w:spacing w:after="40"/>
      </w:pPr>
      <w:r>
        <w:t>Vector database vendors offering migration tooling.</w:t>
      </w:r>
    </w:p>
    <w:p>
      <w:pPr>
        <w:pStyle w:val="ListBullet"/>
        <w:spacing w:after="40"/>
      </w:pPr>
      <w:r>
        <w:t>AI platform teams operating internal embedding services.</w:t>
      </w:r>
    </w:p>
    <w:p>
      <w:pPr>
        <w:pStyle w:val="ListBullet"/>
        <w:spacing w:after="40"/>
      </w:pPr>
      <w:r>
        <w:t>Search/recommendation teams with strict retrieval regression requirements.</w:t>
      </w:r>
    </w:p>
    <w:p>
      <w:pPr>
        <w:pStyle w:val="ListBullet"/>
        <w:spacing w:after="40"/>
      </w:pPr>
      <w:r>
        <w:t>Regulated teams needing protected retrieval constraints and migration audit evidence.</w:t>
      </w:r>
    </w:p>
    <w:p>
      <w:pPr>
        <w:pStyle w:val="Heading2"/>
      </w:pPr>
      <w:r>
        <w:t>62.2 Product packaging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8"/>
            <w:vAlign w:val="center"/>
          </w:tcPr>
          <w:p>
            <w:r>
              <w:rPr>
                <w:b/>
                <w:color w:val="FFFFFF"/>
              </w:rPr>
              <w:t>Form</w:t>
            </w:r>
          </w:p>
        </w:tc>
        <w:tc>
          <w:tcPr>
            <w:tcW w:type="dxa" w:w="4997"/>
            <w:shd w:fill="1F4E78"/>
            <w:vAlign w:val="center"/>
          </w:tcPr>
          <w:p>
            <w:r>
              <w:rPr>
                <w:b/>
                <w:color w:val="FFFFFF"/>
              </w:rPr>
              <w:t>Description</w:t>
            </w:r>
          </w:p>
        </w:tc>
      </w:tr>
      <w:tr>
        <w:tc>
          <w:tcPr>
            <w:tcW w:type="dxa" w:w="4997"/>
            <w:vAlign w:val="top"/>
          </w:tcPr>
          <w:p>
            <w:pPr>
              <w:spacing w:after="20"/>
            </w:pPr>
            <w:r>
              <w:rPr>
                <w:sz w:val="18"/>
              </w:rPr>
              <w:t>CLI/SDK</w:t>
            </w:r>
          </w:p>
        </w:tc>
        <w:tc>
          <w:tcPr>
            <w:tcW w:type="dxa" w:w="4997"/>
            <w:vAlign w:val="top"/>
          </w:tcPr>
          <w:p>
            <w:pPr>
              <w:spacing w:after="20"/>
            </w:pPr>
            <w:r>
              <w:rPr>
                <w:sz w:val="18"/>
              </w:rPr>
              <w:t>Analyze a model pair, estimate migration plan, run preview, produce safety/cost report.</w:t>
            </w:r>
          </w:p>
        </w:tc>
      </w:tr>
      <w:tr>
        <w:tc>
          <w:tcPr>
            <w:tcW w:type="dxa" w:w="4997"/>
            <w:vAlign w:val="top"/>
          </w:tcPr>
          <w:p>
            <w:pPr>
              <w:spacing w:after="20"/>
            </w:pPr>
            <w:r>
              <w:rPr>
                <w:sz w:val="18"/>
              </w:rPr>
              <w:t>Managed service</w:t>
            </w:r>
          </w:p>
        </w:tc>
        <w:tc>
          <w:tcPr>
            <w:tcW w:type="dxa" w:w="4997"/>
            <w:vAlign w:val="top"/>
          </w:tcPr>
          <w:p>
            <w:pPr>
              <w:spacing w:after="20"/>
            </w:pPr>
            <w:r>
              <w:rPr>
                <w:sz w:val="18"/>
              </w:rPr>
              <w:t>Connect to vector DB + embedding providers; orchestrate progressive migration.</w:t>
            </w:r>
          </w:p>
        </w:tc>
      </w:tr>
      <w:tr>
        <w:tc>
          <w:tcPr>
            <w:tcW w:type="dxa" w:w="4997"/>
            <w:vAlign w:val="top"/>
          </w:tcPr>
          <w:p>
            <w:pPr>
              <w:spacing w:after="20"/>
            </w:pPr>
            <w:r>
              <w:rPr>
                <w:sz w:val="18"/>
              </w:rPr>
              <w:t>Vendor integration</w:t>
            </w:r>
          </w:p>
        </w:tc>
        <w:tc>
          <w:tcPr>
            <w:tcW w:type="dxa" w:w="4997"/>
            <w:vAlign w:val="top"/>
          </w:tcPr>
          <w:p>
            <w:pPr>
              <w:spacing w:after="20"/>
            </w:pPr>
            <w:r>
              <w:rPr>
                <w:sz w:val="18"/>
              </w:rPr>
              <w:t>Plugin/control plane for Qdrant/Weaviate/Milvus/Pinecone-like deployments.</w:t>
            </w:r>
          </w:p>
        </w:tc>
      </w:tr>
      <w:tr>
        <w:tc>
          <w:tcPr>
            <w:tcW w:type="dxa" w:w="4997"/>
            <w:vAlign w:val="top"/>
          </w:tcPr>
          <w:p>
            <w:pPr>
              <w:spacing w:after="20"/>
            </w:pPr>
            <w:r>
              <w:rPr>
                <w:sz w:val="18"/>
              </w:rPr>
              <w:t>Enterprise policy module</w:t>
            </w:r>
          </w:p>
        </w:tc>
        <w:tc>
          <w:tcPr>
            <w:tcW w:type="dxa" w:w="4997"/>
            <w:vAlign w:val="top"/>
          </w:tcPr>
          <w:p>
            <w:pPr>
              <w:spacing w:after="20"/>
            </w:pPr>
            <w:r>
              <w:rPr>
                <w:sz w:val="18"/>
              </w:rPr>
              <w:t>Protected query definitions, change approval, evidence manifests.</w:t>
            </w:r>
          </w:p>
        </w:tc>
      </w:tr>
    </w:tbl>
    <w:p/>
    <w:p>
      <w:r>
        <w:br w:type="page"/>
      </w:r>
    </w:p>
    <w:p>
      <w:pPr>
        <w:pStyle w:val="Heading1"/>
      </w:pPr>
      <w:r>
        <w:t>63. Limitations and Non-Goals</w:t>
      </w:r>
    </w:p>
    <w:p>
      <w:pPr>
        <w:pStyle w:val="ListBullet"/>
        <w:spacing w:after="40"/>
      </w:pPr>
      <w:r>
        <w:t>TopoPatch does not guarantee that an arbitrary unseen corpus item cannot become a strong Model-B neighbor without sufficient evidence; Candidate Envelope must represent residual uncertainty honestly.</w:t>
      </w:r>
    </w:p>
    <w:p>
      <w:pPr>
        <w:pStyle w:val="ListBullet"/>
        <w:spacing w:after="40"/>
      </w:pPr>
      <w:r>
        <w:t>TopoPatch does not make Model A and Model B embeddings directly comparable.</w:t>
      </w:r>
    </w:p>
    <w:p>
      <w:pPr>
        <w:pStyle w:val="ListBullet"/>
        <w:spacing w:after="40"/>
      </w:pPr>
      <w:r>
        <w:t>TopoPatch does not claim that every embedding migration can be made cheap; severe model drift may require near-full migration.</w:t>
      </w:r>
    </w:p>
    <w:p>
      <w:pPr>
        <w:pStyle w:val="ListBullet"/>
        <w:spacing w:after="40"/>
      </w:pPr>
      <w:r>
        <w:t>TopoPatch does not solve embedding-model quality selection itself.</w:t>
      </w:r>
    </w:p>
    <w:p>
      <w:pPr>
        <w:pStyle w:val="ListBullet"/>
        <w:spacing w:after="40"/>
      </w:pPr>
      <w:r>
        <w:t>TopoPatch is not a general-purpose vector-index incremental-update algorithm; it relies on existing backend capabilities where possible.</w:t>
      </w:r>
    </w:p>
    <w:p>
      <w:pPr>
        <w:pStyle w:val="ListBullet"/>
        <w:spacing w:after="40"/>
      </w:pPr>
      <w:r>
        <w:t>TopoPatch is not a general safety-certification invention; the barrier is specific to migration-state admissibility.</w:t>
      </w:r>
    </w:p>
    <w:p>
      <w:pPr>
        <w:pStyle w:val="ListBullet"/>
        <w:spacing w:after="40"/>
      </w:pPr>
      <w:r>
        <w:t>TopoPatch does not provide Byzantine security for the whole pipeline.</w:t>
      </w:r>
    </w:p>
    <w:p>
      <w:pPr>
        <w:pStyle w:val="ListBullet"/>
        <w:spacing w:after="40"/>
      </w:pPr>
      <w:r>
        <w:t>The current prototype is not expected to prove billion-scale performance; it proves mechanism and scaling trends.</w:t>
      </w:r>
    </w:p>
    <w:p>
      <w:r>
        <w:br w:type="page"/>
      </w:r>
    </w:p>
    <w:p>
      <w:pPr>
        <w:pStyle w:val="Heading1"/>
      </w:pPr>
      <w:r>
        <w:t>64. Final Frozen Pseudocode</w:t>
      </w:r>
    </w:p>
    <w:p>
      <w:pPr>
        <w:spacing w:before="80" w:after="140"/>
        <w:ind w:left="259" w:right="259"/>
        <w:shd w:fill="F2F4F7"/>
      </w:pPr>
      <w:r>
        <w:rPr>
          <w:rFonts w:ascii="Consolas" w:hAnsi="Consolas"/>
          <w:sz w:val="18"/>
        </w:rPr>
        <w:t>def topopatch_migrate(model_A, model_B, corpus, protected_Q, progress_Q, policy):</w:t>
        <w:br/>
        <w:t xml:space="preserve">    state = load_durable_state(model_A, corpus)</w:t>
        <w:br/>
        <w:t xml:space="preserve">    register_model_pair(model_A, model_B)</w:t>
        <w:br/>
        <w:t xml:space="preserve">    counterexamples = load_counterexample_cache()</w:t>
        <w:br/>
        <w:br/>
        <w:t xml:space="preserve">    while not migration_goal_reached(state, policy):</w:t>
        <w:br/>
        <w:t xml:space="preserve">        envelopes = {}</w:t>
        <w:br/>
        <w:t xml:space="preserve">        violations = []</w:t>
        <w:br/>
        <w:br/>
        <w:t xml:space="preserve">        for q in prioritized(protected_Q, counterexamples):</w:t>
        <w:br/>
        <w:t xml:space="preserve">            env = build_candidate_envelope(q, state, model_B, policy.envelope_budget)</w:t>
        <w:br/>
        <w:t xml:space="preserve">            envelopes[q.id] = env</w:t>
        <w:br/>
        <w:br/>
        <w:t xml:space="preserve">            if env.status == "UNBOUNDED":</w:t>
        <w:br/>
        <w:t xml:space="preserve">                activate_or_retain_safe_path(q.slice)</w:t>
        <w:br/>
        <w:t xml:space="preserve">                continue</w:t>
        <w:br/>
        <w:br/>
        <w:t xml:space="preserve">            result = evaluate_candidate_retrieval(q, state, env)</w:t>
        <w:br/>
        <w:t xml:space="preserve">            violations += evaluate_constraints(q, result)</w:t>
        <w:br/>
        <w:br/>
        <w:t xml:space="preserve">        if not violations:</w:t>
        <w:br/>
        <w:t xml:space="preserve">            if progress_sufficient(state, progress_Q, policy):</w:t>
        <w:br/>
        <w:t xml:space="preserve">                break</w:t>
        <w:br/>
        <w:t xml:space="preserve">            violations += create_progress_driven_targets(state, progress_Q)</w:t>
        <w:br/>
        <w:br/>
        <w:t xml:space="preserve">        witnesses = build_action_effect_witnesses(violations, envelopes, state)</w:t>
        <w:br/>
        <w:t xml:space="preserve">        action = propose_min_cost_repair(witnesses, state, policy.resource_weights)</w:t>
        <w:br/>
        <w:br/>
        <w:t xml:space="preserve">        preview = materialize_preview_state(state, action)</w:t>
        <w:br/>
        <w:t xml:space="preserve">        barrier = evaluate_retrieval_safety(preview, protected_Q, envelopes, policy)</w:t>
        <w:br/>
        <w:br/>
        <w:t xml:space="preserve">        if not barrier.admissible:</w:t>
        <w:br/>
        <w:t xml:space="preserve">            record_counterexamples(barrier.failed_constraints)</w:t>
        <w:br/>
        <w:t xml:space="preserve">            if barrier.reason == "INSUFFICIENT_EVIDENCE":</w:t>
        <w:br/>
        <w:t xml:space="preserve">                expand_candidate_evidence(barrier.affected_scope)</w:t>
        <w:br/>
        <w:t xml:space="preserve">            elif can_expand_repair(action, witnesses):</w:t>
        <w:br/>
        <w:t xml:space="preserve">                mark_action_rejected(action)</w:t>
        <w:br/>
        <w:t xml:space="preserve">                add_barrier_counterexample_to_solver(barrier)</w:t>
        <w:br/>
        <w:t xml:space="preserve">            else:</w:t>
        <w:br/>
        <w:t xml:space="preserve">                activate_safe_fallback(barrier.affected_scope)</w:t>
        <w:br/>
        <w:t xml:space="preserve">            discard_preview(preview)</w:t>
        <w:br/>
        <w:t xml:space="preserve">            continue</w:t>
        <w:br/>
        <w:br/>
        <w:t xml:space="preserve">        fresh = validate_source_versions(action)</w:t>
        <w:br/>
        <w:t xml:space="preserve">        if not fresh:</w:t>
        <w:br/>
        <w:t xml:space="preserve">            discard_stale_embedding_jobs(action)</w:t>
        <w:br/>
        <w:t xml:space="preserve">            discard_preview(preview)</w:t>
        <w:br/>
        <w:t xml:space="preserve">            continue</w:t>
        <w:br/>
        <w:br/>
        <w:t xml:space="preserve">        commit = atomic_commit(preview, action, state)</w:t>
        <w:br/>
        <w:t xml:space="preserve">        state = commit.new_state</w:t>
        <w:br/>
        <w:t xml:space="preserve">        rerun_affected_and_heldout_probes(state)</w:t>
        <w:br/>
        <w:t xml:space="preserve">        persist_manifest(commit, barrier, witnesses, envelopes)</w:t>
        <w:br/>
        <w:br/>
        <w:t xml:space="preserve">    return finalize_or_cutover(state, model_B, policy)</w:t>
      </w:r>
    </w:p>
    <w:p>
      <w:r>
        <w:br w:type="page"/>
      </w:r>
    </w:p>
    <w:p>
      <w:pPr>
        <w:pStyle w:val="Heading1"/>
      </w:pPr>
      <w:r>
        <w:t>65. Example Walkthrough on a Toy Corpus</w:t>
      </w:r>
    </w:p>
    <w:p>
      <w:pPr>
        <w:spacing w:after="120" w:line="259" w:lineRule="auto"/>
      </w:pPr>
      <w:r>
        <w:t>Assume a corpus of 10,000 documents is indexed under Model A. A protected query q requires doc_42 to remain in top-5. Full-B offline evaluation shows that Model B would ultimately improve average nDCG, but a cheap partial migration candidate causes doc_42 to fall to rank 8 because two B-migrated competitors enter the fused top-k.</w:t>
      </w:r>
    </w:p>
    <w:p>
      <w:pPr>
        <w:pStyle w:val="ListNumber"/>
        <w:spacing w:after="40"/>
      </w:pPr>
      <w:r>
        <w:t>Candidate Envelope gathers the A top-100, lexical top-50, nearby A-index neighbors and cached B candidates. It materializes B embeddings for 137 unique documents, not the full corpus.</w:t>
      </w:r>
    </w:p>
    <w:p>
      <w:pPr>
        <w:pStyle w:val="ListNumber"/>
        <w:spacing w:after="40"/>
      </w:pPr>
      <w:r>
        <w:t>The violation detector records a protected-member-drop violation for doc_42.</w:t>
      </w:r>
    </w:p>
    <w:p>
      <w:pPr>
        <w:pStyle w:val="ListNumber"/>
        <w:spacing w:after="40"/>
      </w:pPr>
      <w:r>
        <w:t>Counterfactual witness evaluation shows that migrating doc_42 itself improves the protected margin by +0.31; migrating competitor doc_17 changes fusion ordering by +0.18; migrating unrelated doc_800 has approximately zero effect.</w:t>
      </w:r>
    </w:p>
    <w:p>
      <w:pPr>
        <w:pStyle w:val="ListNumber"/>
        <w:spacing w:after="40"/>
      </w:pPr>
      <w:r>
        <w:t>The greedy solver proposes {doc_42, doc_17} as a low-cost repair.</w:t>
      </w:r>
    </w:p>
    <w:p>
      <w:pPr>
        <w:pStyle w:val="ListNumber"/>
        <w:spacing w:after="40"/>
      </w:pPr>
      <w:r>
        <w:t>The preview overlay masks their A memberships, exposes tentative B vectors, and serves q using native A/B searches with rank fusion.</w:t>
      </w:r>
    </w:p>
    <w:p>
      <w:pPr>
        <w:pStyle w:val="ListNumber"/>
        <w:spacing w:after="40"/>
      </w:pPr>
      <w:r>
        <w:t>The barrier still fails because doc_42 reaches only rank 6 after conservative envelope uncertainty is subtracted.</w:t>
      </w:r>
    </w:p>
    <w:p>
      <w:pPr>
        <w:pStyle w:val="ListNumber"/>
        <w:spacing w:after="40"/>
      </w:pPr>
      <w:r>
        <w:t>The failed preview becomes a new counterexample. The envelope expands around a previously unseen lexical competitor and materializes one additional B vector.</w:t>
      </w:r>
    </w:p>
    <w:p>
      <w:pPr>
        <w:pStyle w:val="ListNumber"/>
        <w:spacing w:after="40"/>
      </w:pPr>
      <w:r>
        <w:t>A second action adds doc_99. The preview now keeps doc_42 at rank 4 and passes all protected constraints.</w:t>
      </w:r>
    </w:p>
    <w:p>
      <w:pPr>
        <w:pStyle w:val="ListNumber"/>
        <w:spacing w:after="40"/>
      </w:pPr>
      <w:r>
        <w:t>The commit coordinator verifies source hashes/versions, inserts the three B vectors, updates routing/version metadata, and records migration epoch 3.</w:t>
      </w:r>
    </w:p>
    <w:p>
      <w:pPr>
        <w:pStyle w:val="ListNumber"/>
        <w:spacing w:after="40"/>
      </w:pPr>
      <w:r>
        <w:t>Progress metrics show that only 3 of 10,000 documents were migrated in this epoch while the protected failure was repaired. The experiment then continues toward the configured Full-B quality target.</w:t>
      </w:r>
    </w:p>
    <w:p>
      <w:r>
        <w:br w:type="page"/>
      </w:r>
    </w:p>
    <w:p>
      <w:pPr>
        <w:pStyle w:val="Heading1"/>
      </w:pPr>
      <w:r>
        <w:t>66. Example of a Barrier-Rejected Cheap Repair</w:t>
      </w:r>
    </w:p>
    <w:p>
      <w:pPr>
        <w:spacing w:after="120" w:line="259" w:lineRule="auto"/>
      </w:pPr>
      <w:r>
        <w:t>This example is important because the patent story depends on the barrier being load-bearing. Suppose two candidate repairs cover the same witness hyperedges. Repair R1 migrates 20 objects and costs 20 B calls; Repair R2 migrates 31 objects and costs 31 B calls. A cost-only optimizer prefers R1. The preview reveals that R1 repairs the originally observed failures but creates a new protected exclusion violation on query q_77. R2 avoids that violation. TopoPatch therefore rejects R1 despite its lower resource cost and commits R2, or uses scoped fallback if R2 exceeds the current resource budget.</w:t>
      </w:r>
    </w:p>
    <w:p>
      <w:pPr>
        <w:spacing w:before="80" w:after="140"/>
        <w:ind w:left="259" w:right="259"/>
        <w:shd w:fill="F2F4F7"/>
      </w:pPr>
      <w:r>
        <w:rPr>
          <w:rFonts w:ascii="Consolas" w:hAnsi="Consolas"/>
          <w:sz w:val="18"/>
        </w:rPr>
        <w:t>Cost-only solver:      choose R1 (20 calls)</w:t>
        <w:br/>
        <w:t>Preview safety R1:      FAIL on q_77</w:t>
        <w:br/>
        <w:t>TopoPatch decision:      reject R1</w:t>
        <w:br/>
        <w:t>Next feasible repair:    R2 (31 calls)</w:t>
        <w:br/>
        <w:t>Preview safety R2:      PASS</w:t>
        <w:br/>
        <w:t>Durable commit:          R2</w:t>
        <w:br/>
        <w:br/>
        <w:t>This is the experiment that demonstrates the safety gate changes the state transition rather than merely reporting a metric after the fact.</w:t>
      </w:r>
    </w:p>
    <w:p>
      <w:r>
        <w:br w:type="page"/>
      </w:r>
    </w:p>
    <w:p>
      <w:pPr>
        <w:pStyle w:val="Heading1"/>
      </w:pPr>
      <w:r>
        <w:t>67. Example of Candidate Envelope Failure and Fail-Closed Behavior</w:t>
      </w:r>
    </w:p>
    <w:p>
      <w:pPr>
        <w:spacing w:after="120" w:line="259" w:lineRule="auto"/>
      </w:pPr>
      <w:r>
        <w:t>Suppose the A-space candidate list is badly misaligned with B. The first envelope of 150 candidates appears to satisfy the protected ranking, but an audit sample repeatedly discovers strong B competitors outside the envelope. Residual uncertainty remains above the allowed bound after three expansions. TopoPatch must return UNBOUNDED rather than SAFE. The affected query slice remains on legacy fallback or is checked through a more expensive shadow-B path. This outcome is acceptable; it demonstrates that the system refuses to manufacture certainty when the information required for a safe partial migration is unavailable.</w:t>
      </w:r>
    </w:p>
    <w:p>
      <w:r>
        <w:br w:type="page"/>
      </w:r>
    </w:p>
    <w:p>
      <w:pPr>
        <w:pStyle w:val="Heading1"/>
      </w:pPr>
      <w:r>
        <w:t>68. Example of Concurrent Update Protection</w:t>
      </w:r>
    </w:p>
    <w:p>
      <w:pPr>
        <w:spacing w:after="120" w:line="259" w:lineRule="auto"/>
      </w:pPr>
      <w:r>
        <w:t>An object doc_500 is read at source_version=12 and embedded with Model B. Before the candidate state commits, the source document changes to version 13. The commit coordinator compares the current version/hash with the embedding job metadata, discards the stale B vector, and requeues doc_500. The rest of the accepted migration action may commit only if its safety evidence remains valid without doc_500 or if the preview is recomputed. This prevents a common backfill race in which an older embedding overwrites a newer object state.</w:t>
      </w:r>
    </w:p>
    <w:p>
      <w:r>
        <w:br w:type="page"/>
      </w:r>
    </w:p>
    <w:p>
      <w:pPr>
        <w:pStyle w:val="Heading1"/>
      </w:pPr>
      <w:r>
        <w:t>69. Implementation Technology Stack</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78"/>
            <w:vAlign w:val="center"/>
          </w:tcPr>
          <w:p>
            <w:r>
              <w:rPr>
                <w:b/>
                <w:color w:val="FFFFFF"/>
              </w:rPr>
              <w:t>Layer</w:t>
            </w:r>
          </w:p>
        </w:tc>
        <w:tc>
          <w:tcPr>
            <w:tcW w:type="dxa" w:w="3331"/>
            <w:shd w:fill="1F4E78"/>
            <w:vAlign w:val="center"/>
          </w:tcPr>
          <w:p>
            <w:r>
              <w:rPr>
                <w:b/>
                <w:color w:val="FFFFFF"/>
              </w:rPr>
              <w:t>Recommended technology</w:t>
            </w:r>
          </w:p>
        </w:tc>
        <w:tc>
          <w:tcPr>
            <w:tcW w:type="dxa" w:w="3331"/>
            <w:shd w:fill="1F4E78"/>
            <w:vAlign w:val="center"/>
          </w:tcPr>
          <w:p>
            <w:r>
              <w:rPr>
                <w:b/>
                <w:color w:val="FFFFFF"/>
              </w:rPr>
              <w:t>Reason</w:t>
            </w:r>
          </w:p>
        </w:tc>
      </w:tr>
      <w:tr>
        <w:tc>
          <w:tcPr>
            <w:tcW w:type="dxa" w:w="3331"/>
            <w:vAlign w:val="top"/>
          </w:tcPr>
          <w:p>
            <w:pPr>
              <w:spacing w:after="20"/>
            </w:pPr>
            <w:r>
              <w:rPr>
                <w:sz w:val="18"/>
              </w:rPr>
              <w:t>Language</w:t>
            </w:r>
          </w:p>
        </w:tc>
        <w:tc>
          <w:tcPr>
            <w:tcW w:type="dxa" w:w="3331"/>
            <w:vAlign w:val="top"/>
          </w:tcPr>
          <w:p>
            <w:pPr>
              <w:spacing w:after="20"/>
            </w:pPr>
            <w:r>
              <w:rPr>
                <w:sz w:val="18"/>
              </w:rPr>
              <w:t>Python 3.11+</w:t>
            </w:r>
          </w:p>
        </w:tc>
        <w:tc>
          <w:tcPr>
            <w:tcW w:type="dxa" w:w="3331"/>
            <w:vAlign w:val="top"/>
          </w:tcPr>
          <w:p>
            <w:pPr>
              <w:spacing w:after="20"/>
            </w:pPr>
            <w:r>
              <w:rPr>
                <w:sz w:val="18"/>
              </w:rPr>
              <w:t>Best ecosystem for embeddings, FAISS, optimization, experiments.</w:t>
            </w:r>
          </w:p>
        </w:tc>
      </w:tr>
      <w:tr>
        <w:tc>
          <w:tcPr>
            <w:tcW w:type="dxa" w:w="3331"/>
            <w:vAlign w:val="top"/>
          </w:tcPr>
          <w:p>
            <w:pPr>
              <w:spacing w:after="20"/>
            </w:pPr>
            <w:r>
              <w:rPr>
                <w:sz w:val="18"/>
              </w:rPr>
              <w:t>Embeddings</w:t>
            </w:r>
          </w:p>
        </w:tc>
        <w:tc>
          <w:tcPr>
            <w:tcW w:type="dxa" w:w="3331"/>
            <w:vAlign w:val="top"/>
          </w:tcPr>
          <w:p>
            <w:pPr>
              <w:spacing w:after="20"/>
            </w:pPr>
            <w:r>
              <w:rPr>
                <w:sz w:val="18"/>
              </w:rPr>
              <w:t>sentence-transformers / Hugging Face</w:t>
            </w:r>
          </w:p>
        </w:tc>
        <w:tc>
          <w:tcPr>
            <w:tcW w:type="dxa" w:w="3331"/>
            <w:vAlign w:val="top"/>
          </w:tcPr>
          <w:p>
            <w:pPr>
              <w:spacing w:after="20"/>
            </w:pPr>
            <w:r>
              <w:rPr>
                <w:sz w:val="18"/>
              </w:rPr>
              <w:t>Local reproducible model execution.</w:t>
            </w:r>
          </w:p>
        </w:tc>
      </w:tr>
      <w:tr>
        <w:tc>
          <w:tcPr>
            <w:tcW w:type="dxa" w:w="3331"/>
            <w:vAlign w:val="top"/>
          </w:tcPr>
          <w:p>
            <w:pPr>
              <w:spacing w:after="20"/>
            </w:pPr>
            <w:r>
              <w:rPr>
                <w:sz w:val="18"/>
              </w:rPr>
              <w:t>Exact vector math</w:t>
            </w:r>
          </w:p>
        </w:tc>
        <w:tc>
          <w:tcPr>
            <w:tcW w:type="dxa" w:w="3331"/>
            <w:vAlign w:val="top"/>
          </w:tcPr>
          <w:p>
            <w:pPr>
              <w:spacing w:after="20"/>
            </w:pPr>
            <w:r>
              <w:rPr>
                <w:sz w:val="18"/>
              </w:rPr>
              <w:t>NumPy / PyTorch</w:t>
            </w:r>
          </w:p>
        </w:tc>
        <w:tc>
          <w:tcPr>
            <w:tcW w:type="dxa" w:w="3331"/>
            <w:vAlign w:val="top"/>
          </w:tcPr>
          <w:p>
            <w:pPr>
              <w:spacing w:after="20"/>
            </w:pPr>
            <w:r>
              <w:rPr>
                <w:sz w:val="18"/>
              </w:rPr>
              <w:t>Ground truth and batch scoring.</w:t>
            </w:r>
          </w:p>
        </w:tc>
      </w:tr>
      <w:tr>
        <w:tc>
          <w:tcPr>
            <w:tcW w:type="dxa" w:w="3331"/>
            <w:vAlign w:val="top"/>
          </w:tcPr>
          <w:p>
            <w:pPr>
              <w:spacing w:after="20"/>
            </w:pPr>
            <w:r>
              <w:rPr>
                <w:sz w:val="18"/>
              </w:rPr>
              <w:t>Vector index</w:t>
            </w:r>
          </w:p>
        </w:tc>
        <w:tc>
          <w:tcPr>
            <w:tcW w:type="dxa" w:w="3331"/>
            <w:vAlign w:val="top"/>
          </w:tcPr>
          <w:p>
            <w:pPr>
              <w:spacing w:after="20"/>
            </w:pPr>
            <w:r>
              <w:rPr>
                <w:sz w:val="18"/>
              </w:rPr>
              <w:t>FAISS first; Qdrant second</w:t>
            </w:r>
          </w:p>
        </w:tc>
        <w:tc>
          <w:tcPr>
            <w:tcW w:type="dxa" w:w="3331"/>
            <w:vAlign w:val="top"/>
          </w:tcPr>
          <w:p>
            <w:pPr>
              <w:spacing w:after="20"/>
            </w:pPr>
            <w:r>
              <w:rPr>
                <w:sz w:val="18"/>
              </w:rPr>
              <w:t>Low friction MVP, then production-like APIs.</w:t>
            </w:r>
          </w:p>
        </w:tc>
      </w:tr>
      <w:tr>
        <w:tc>
          <w:tcPr>
            <w:tcW w:type="dxa" w:w="3331"/>
            <w:vAlign w:val="top"/>
          </w:tcPr>
          <w:p>
            <w:pPr>
              <w:spacing w:after="20"/>
            </w:pPr>
            <w:r>
              <w:rPr>
                <w:sz w:val="18"/>
              </w:rPr>
              <w:t>Lexical candidate source</w:t>
            </w:r>
          </w:p>
        </w:tc>
        <w:tc>
          <w:tcPr>
            <w:tcW w:type="dxa" w:w="3331"/>
            <w:vAlign w:val="top"/>
          </w:tcPr>
          <w:p>
            <w:pPr>
              <w:spacing w:after="20"/>
            </w:pPr>
            <w:r>
              <w:rPr>
                <w:sz w:val="18"/>
              </w:rPr>
              <w:t>BM25 via rank-bm25 / Elasticsearch optional</w:t>
            </w:r>
          </w:p>
        </w:tc>
        <w:tc>
          <w:tcPr>
            <w:tcW w:type="dxa" w:w="3331"/>
            <w:vAlign w:val="top"/>
          </w:tcPr>
          <w:p>
            <w:pPr>
              <w:spacing w:after="20"/>
            </w:pPr>
            <w:r>
              <w:rPr>
                <w:sz w:val="18"/>
              </w:rPr>
              <w:t>Independent candidate path.</w:t>
            </w:r>
          </w:p>
        </w:tc>
      </w:tr>
      <w:tr>
        <w:tc>
          <w:tcPr>
            <w:tcW w:type="dxa" w:w="3331"/>
            <w:vAlign w:val="top"/>
          </w:tcPr>
          <w:p>
            <w:pPr>
              <w:spacing w:after="20"/>
            </w:pPr>
            <w:r>
              <w:rPr>
                <w:sz w:val="18"/>
              </w:rPr>
              <w:t>Optimization</w:t>
            </w:r>
          </w:p>
        </w:tc>
        <w:tc>
          <w:tcPr>
            <w:tcW w:type="dxa" w:w="3331"/>
            <w:vAlign w:val="top"/>
          </w:tcPr>
          <w:p>
            <w:pPr>
              <w:spacing w:after="20"/>
            </w:pPr>
            <w:r>
              <w:rPr>
                <w:sz w:val="18"/>
              </w:rPr>
              <w:t>Python greedy + OR-Tools/PuLP/scipy milp optional</w:t>
            </w:r>
          </w:p>
        </w:tc>
        <w:tc>
          <w:tcPr>
            <w:tcW w:type="dxa" w:w="3331"/>
            <w:vAlign w:val="top"/>
          </w:tcPr>
          <w:p>
            <w:pPr>
              <w:spacing w:after="20"/>
            </w:pPr>
            <w:r>
              <w:rPr>
                <w:sz w:val="18"/>
              </w:rPr>
              <w:t>Transparent MVP + exact small-case oracle.</w:t>
            </w:r>
          </w:p>
        </w:tc>
      </w:tr>
      <w:tr>
        <w:tc>
          <w:tcPr>
            <w:tcW w:type="dxa" w:w="3331"/>
            <w:vAlign w:val="top"/>
          </w:tcPr>
          <w:p>
            <w:pPr>
              <w:spacing w:after="20"/>
            </w:pPr>
            <w:r>
              <w:rPr>
                <w:sz w:val="18"/>
              </w:rPr>
              <w:t>Metadata</w:t>
            </w:r>
          </w:p>
        </w:tc>
        <w:tc>
          <w:tcPr>
            <w:tcW w:type="dxa" w:w="3331"/>
            <w:vAlign w:val="top"/>
          </w:tcPr>
          <w:p>
            <w:pPr>
              <w:spacing w:after="20"/>
            </w:pPr>
            <w:r>
              <w:rPr>
                <w:sz w:val="18"/>
              </w:rPr>
              <w:t>SQLite first / PostgreSQL later</w:t>
            </w:r>
          </w:p>
        </w:tc>
        <w:tc>
          <w:tcPr>
            <w:tcW w:type="dxa" w:w="3331"/>
            <w:vAlign w:val="top"/>
          </w:tcPr>
          <w:p>
            <w:pPr>
              <w:spacing w:after="20"/>
            </w:pPr>
            <w:r>
              <w:rPr>
                <w:sz w:val="18"/>
              </w:rPr>
              <w:t>Traceable relational control state.</w:t>
            </w:r>
          </w:p>
        </w:tc>
      </w:tr>
      <w:tr>
        <w:tc>
          <w:tcPr>
            <w:tcW w:type="dxa" w:w="3331"/>
            <w:vAlign w:val="top"/>
          </w:tcPr>
          <w:p>
            <w:pPr>
              <w:spacing w:after="20"/>
            </w:pPr>
            <w:r>
              <w:rPr>
                <w:sz w:val="18"/>
              </w:rPr>
              <w:t>API</w:t>
            </w:r>
          </w:p>
        </w:tc>
        <w:tc>
          <w:tcPr>
            <w:tcW w:type="dxa" w:w="3331"/>
            <w:vAlign w:val="top"/>
          </w:tcPr>
          <w:p>
            <w:pPr>
              <w:spacing w:after="20"/>
            </w:pPr>
            <w:r>
              <w:rPr>
                <w:sz w:val="18"/>
              </w:rPr>
              <w:t>FastAPI + Pydantic</w:t>
            </w:r>
          </w:p>
        </w:tc>
        <w:tc>
          <w:tcPr>
            <w:tcW w:type="dxa" w:w="3331"/>
            <w:vAlign w:val="top"/>
          </w:tcPr>
          <w:p>
            <w:pPr>
              <w:spacing w:after="20"/>
            </w:pPr>
            <w:r>
              <w:rPr>
                <w:sz w:val="18"/>
              </w:rPr>
              <w:t>Typed schemas and simple local service.</w:t>
            </w:r>
          </w:p>
        </w:tc>
      </w:tr>
      <w:tr>
        <w:tc>
          <w:tcPr>
            <w:tcW w:type="dxa" w:w="3331"/>
            <w:vAlign w:val="top"/>
          </w:tcPr>
          <w:p>
            <w:pPr>
              <w:spacing w:after="20"/>
            </w:pPr>
            <w:r>
              <w:rPr>
                <w:sz w:val="18"/>
              </w:rPr>
              <w:t>Dashboard</w:t>
            </w:r>
          </w:p>
        </w:tc>
        <w:tc>
          <w:tcPr>
            <w:tcW w:type="dxa" w:w="3331"/>
            <w:vAlign w:val="top"/>
          </w:tcPr>
          <w:p>
            <w:pPr>
              <w:spacing w:after="20"/>
            </w:pPr>
            <w:r>
              <w:rPr>
                <w:sz w:val="18"/>
              </w:rPr>
              <w:t>Next.js + Tailwind + charting library</w:t>
            </w:r>
          </w:p>
        </w:tc>
        <w:tc>
          <w:tcPr>
            <w:tcW w:type="dxa" w:w="3331"/>
            <w:vAlign w:val="top"/>
          </w:tcPr>
          <w:p>
            <w:pPr>
              <w:spacing w:after="20"/>
            </w:pPr>
            <w:r>
              <w:rPr>
                <w:sz w:val="18"/>
              </w:rPr>
              <w:t>Optional after core benchmark.</w:t>
            </w:r>
          </w:p>
        </w:tc>
      </w:tr>
      <w:tr>
        <w:tc>
          <w:tcPr>
            <w:tcW w:type="dxa" w:w="3331"/>
            <w:vAlign w:val="top"/>
          </w:tcPr>
          <w:p>
            <w:pPr>
              <w:spacing w:after="20"/>
            </w:pPr>
            <w:r>
              <w:rPr>
                <w:sz w:val="18"/>
              </w:rPr>
              <w:t>Experiment tracking</w:t>
            </w:r>
          </w:p>
        </w:tc>
        <w:tc>
          <w:tcPr>
            <w:tcW w:type="dxa" w:w="3331"/>
            <w:vAlign w:val="top"/>
          </w:tcPr>
          <w:p>
            <w:pPr>
              <w:spacing w:after="20"/>
            </w:pPr>
            <w:r>
              <w:rPr>
                <w:sz w:val="18"/>
              </w:rPr>
              <w:t>JSON/YAML manifests + CSV/Parquet + Git</w:t>
            </w:r>
          </w:p>
        </w:tc>
        <w:tc>
          <w:tcPr>
            <w:tcW w:type="dxa" w:w="3331"/>
            <w:vAlign w:val="top"/>
          </w:tcPr>
          <w:p>
            <w:pPr>
              <w:spacing w:after="20"/>
            </w:pPr>
            <w:r>
              <w:rPr>
                <w:sz w:val="18"/>
              </w:rPr>
              <w:t>Portable, auditable and private.</w:t>
            </w:r>
          </w:p>
        </w:tc>
      </w:tr>
      <w:tr>
        <w:tc>
          <w:tcPr>
            <w:tcW w:type="dxa" w:w="3331"/>
            <w:vAlign w:val="top"/>
          </w:tcPr>
          <w:p>
            <w:pPr>
              <w:spacing w:after="20"/>
            </w:pPr>
            <w:r>
              <w:rPr>
                <w:sz w:val="18"/>
              </w:rPr>
              <w:t>Testing</w:t>
            </w:r>
          </w:p>
        </w:tc>
        <w:tc>
          <w:tcPr>
            <w:tcW w:type="dxa" w:w="3331"/>
            <w:vAlign w:val="top"/>
          </w:tcPr>
          <w:p>
            <w:pPr>
              <w:spacing w:after="20"/>
            </w:pPr>
            <w:r>
              <w:rPr>
                <w:sz w:val="18"/>
              </w:rPr>
              <w:t>pytest</w:t>
            </w:r>
          </w:p>
        </w:tc>
        <w:tc>
          <w:tcPr>
            <w:tcW w:type="dxa" w:w="3331"/>
            <w:vAlign w:val="top"/>
          </w:tcPr>
          <w:p>
            <w:pPr>
              <w:spacing w:after="20"/>
            </w:pPr>
            <w:r>
              <w:rPr>
                <w:sz w:val="18"/>
              </w:rPr>
              <w:t>Unit/integration/property tests.</w:t>
            </w:r>
          </w:p>
        </w:tc>
      </w:tr>
      <w:tr>
        <w:tc>
          <w:tcPr>
            <w:tcW w:type="dxa" w:w="3331"/>
            <w:vAlign w:val="top"/>
          </w:tcPr>
          <w:p>
            <w:pPr>
              <w:spacing w:after="20"/>
            </w:pPr>
            <w:r>
              <w:rPr>
                <w:sz w:val="18"/>
              </w:rPr>
              <w:t>Containerization</w:t>
            </w:r>
          </w:p>
        </w:tc>
        <w:tc>
          <w:tcPr>
            <w:tcW w:type="dxa" w:w="3331"/>
            <w:vAlign w:val="top"/>
          </w:tcPr>
          <w:p>
            <w:pPr>
              <w:spacing w:after="20"/>
            </w:pPr>
            <w:r>
              <w:rPr>
                <w:sz w:val="18"/>
              </w:rPr>
              <w:t>Docker optional</w:t>
            </w:r>
          </w:p>
        </w:tc>
        <w:tc>
          <w:tcPr>
            <w:tcW w:type="dxa" w:w="3331"/>
            <w:vAlign w:val="top"/>
          </w:tcPr>
          <w:p>
            <w:pPr>
              <w:spacing w:after="20"/>
            </w:pPr>
            <w:r>
              <w:rPr>
                <w:sz w:val="18"/>
              </w:rPr>
              <w:t>Reproducibility after MVP.</w:t>
            </w:r>
          </w:p>
        </w:tc>
      </w:tr>
    </w:tbl>
    <w:p/>
    <w:p>
      <w:r>
        <w:br w:type="page"/>
      </w:r>
    </w:p>
    <w:p>
      <w:pPr>
        <w:pStyle w:val="Heading1"/>
      </w:pPr>
      <w:r>
        <w:t>70. Compute and Cost Expectations for the MVP</w:t>
      </w:r>
    </w:p>
    <w:p>
      <w:pPr>
        <w:spacing w:after="120" w:line="259" w:lineRule="auto"/>
      </w:pPr>
      <w:r>
        <w:t>The first prototype is intentionally designed to run without specialized radio hardware, sensors, or a distributed cluster. A modern laptop can validate the mechanism on tens of thousands of documents using compact sentence-transformer models. A GPU shortens embedding time but is not required for correctness. The most important cost accounting is relative: TopoPatch should report how many B embeddings and index operations it avoids compared with the Full-B baseline on the same corpus and hardware.</w:t>
      </w:r>
    </w:p>
    <w:p>
      <w:pPr>
        <w:pStyle w:val="Heading2"/>
      </w:pPr>
      <w:r>
        <w:t>70.1 When to use a GPU</w:t>
      </w:r>
    </w:p>
    <w:p>
      <w:pPr>
        <w:spacing w:after="120" w:line="259" w:lineRule="auto"/>
      </w:pPr>
      <w:r>
        <w:t>Use a GPU only when moving to larger corpora or heavier target models. The project should remain capable of running a small deterministic CI/smoke dataset on CPU. This avoids creating a research pipeline that cannot be reproduced by a reviewer or patent professional without special infrastructure.</w:t>
      </w:r>
    </w:p>
    <w:p>
      <w:r>
        <w:br w:type="page"/>
      </w:r>
    </w:p>
    <w:p>
      <w:pPr>
        <w:pStyle w:val="Heading1"/>
      </w:pPr>
      <w:r>
        <w:t>71. Deliverables at the End of Implementation</w:t>
      </w:r>
    </w:p>
    <w:p>
      <w:pPr>
        <w:pStyle w:val="ListBullet"/>
        <w:spacing w:after="40"/>
      </w:pPr>
      <w:r>
        <w:t>Private source repository with frozen v4.1 architecture.</w:t>
      </w:r>
    </w:p>
    <w:p>
      <w:pPr>
        <w:pStyle w:val="ListBullet"/>
        <w:spacing w:after="40"/>
      </w:pPr>
      <w:r>
        <w:t>Reproducible experiment manifests.</w:t>
      </w:r>
    </w:p>
    <w:p>
      <w:pPr>
        <w:pStyle w:val="ListBullet"/>
        <w:spacing w:after="40"/>
      </w:pPr>
      <w:r>
        <w:t>Full-A and evaluation-only Full-B benchmark harness.</w:t>
      </w:r>
    </w:p>
    <w:p>
      <w:pPr>
        <w:pStyle w:val="ListBullet"/>
        <w:spacing w:after="40"/>
      </w:pPr>
      <w:r>
        <w:t>Candidate Envelope with miss-rate curves.</w:t>
      </w:r>
    </w:p>
    <w:p>
      <w:pPr>
        <w:pStyle w:val="ListBullet"/>
        <w:spacing w:after="40"/>
      </w:pPr>
      <w:r>
        <w:t>Protected retrieval constraint DSL/evaluator.</w:t>
      </w:r>
    </w:p>
    <w:p>
      <w:pPr>
        <w:pStyle w:val="ListBullet"/>
        <w:spacing w:after="40"/>
      </w:pPr>
      <w:r>
        <w:t>Counterfactual witness hypergraph implementation.</w:t>
      </w:r>
    </w:p>
    <w:p>
      <w:pPr>
        <w:pStyle w:val="ListBullet"/>
        <w:spacing w:after="40"/>
      </w:pPr>
      <w:r>
        <w:t>Greedy repair solver + exact small-case oracle.</w:t>
      </w:r>
    </w:p>
    <w:p>
      <w:pPr>
        <w:pStyle w:val="ListBullet"/>
        <w:spacing w:after="40"/>
      </w:pPr>
      <w:r>
        <w:t>Copy-on-write PreviewState implementation.</w:t>
      </w:r>
    </w:p>
    <w:p>
      <w:pPr>
        <w:pStyle w:val="ListBullet"/>
        <w:spacing w:after="40"/>
      </w:pPr>
      <w:r>
        <w:t>Safety barrier that demonstrably changes some decisions.</w:t>
      </w:r>
    </w:p>
    <w:p>
      <w:pPr>
        <w:pStyle w:val="ListBullet"/>
        <w:spacing w:after="40"/>
      </w:pPr>
      <w:r>
        <w:t>Guarded source-version-aware commit logic.</w:t>
      </w:r>
    </w:p>
    <w:p>
      <w:pPr>
        <w:pStyle w:val="ListBullet"/>
        <w:spacing w:after="40"/>
      </w:pPr>
      <w:r>
        <w:t>Dual native-space A/B retrieval + fusion.</w:t>
      </w:r>
    </w:p>
    <w:p>
      <w:pPr>
        <w:pStyle w:val="ListBullet"/>
        <w:spacing w:after="40"/>
      </w:pPr>
      <w:r>
        <w:t>At least one ANN backend experiment.</w:t>
      </w:r>
    </w:p>
    <w:p>
      <w:pPr>
        <w:pStyle w:val="ListBullet"/>
        <w:spacing w:after="40"/>
      </w:pPr>
      <w:r>
        <w:t>Baseline comparison tables and plots.</w:t>
      </w:r>
    </w:p>
    <w:p>
      <w:pPr>
        <w:pStyle w:val="ListBullet"/>
        <w:spacing w:after="40"/>
      </w:pPr>
      <w:r>
        <w:t>Ablation and failure-injection results.</w:t>
      </w:r>
    </w:p>
    <w:p>
      <w:pPr>
        <w:pStyle w:val="ListBullet"/>
        <w:spacing w:after="40"/>
      </w:pPr>
      <w:r>
        <w:t>Private dashboard/demo.</w:t>
      </w:r>
    </w:p>
    <w:p>
      <w:pPr>
        <w:pStyle w:val="ListBullet"/>
        <w:spacing w:after="40"/>
      </w:pPr>
      <w:r>
        <w:t>Claim-support map and updated prior-art chart.</w:t>
      </w:r>
    </w:p>
    <w:p>
      <w:pPr>
        <w:pStyle w:val="ListBullet"/>
        <w:spacing w:after="40"/>
      </w:pPr>
      <w:r>
        <w:t>One-page attorney brief and invention disclosure.</w:t>
      </w:r>
    </w:p>
    <w:p>
      <w:r>
        <w:br w:type="page"/>
      </w:r>
    </w:p>
    <w:p>
      <w:pPr>
        <w:pStyle w:val="Heading1"/>
      </w:pPr>
      <w:r>
        <w:t>72. One-Page Attorney / Patent-Agent Brief</w:t>
      </w:r>
    </w:p>
    <w:p>
      <w:pPr>
        <w:spacing w:after="120" w:line="259" w:lineRule="auto"/>
      </w:pPr>
      <w:r>
        <w:t>Problem: upgrading an embedding model in a large vector retrieval system often requires expensive re-embedding/backfill and index reconstruction. Existing approaches include full reindexing, partial reindexing based on source changes, incremental ANN update, global/adaptive compatibility mechanisms, localized embedding patches, and progressive materialization of target embeddings.</w:t>
      </w:r>
    </w:p>
    <w:p>
      <w:pPr>
        <w:spacing w:after="120" w:line="259" w:lineRule="auto"/>
      </w:pPr>
      <w:r>
        <w:t>Proposed technical mechanism: TopoPatch does not merely choose a subset to re-embed. It converts protected cross-model retrieval failures into counterfactual migration-action witnesses, uses those witnesses to propose a low resource-cost index transition, materializes the proposed transition as a non-durable mixed-version preview state, and makes that transition durable only if the preview satisfies explicit protected retrieval constraints under candidate/ANN/fusion uncertainty. Otherwise, it expands evidence/repair or keeps the affected query scope on a known-safe path. Accepted B representations are source-version bound and committed as versioned migration epochs.</w:t>
      </w:r>
    </w:p>
    <w:p>
      <w:pPr>
        <w:spacing w:after="120" w:line="259" w:lineRule="auto"/>
      </w:pPr>
      <w:r>
        <w:t>Requested professional work: conduct a claim-level search and chart the closest references against the complete sequence, with special attention to patents/papers on embedding-model migration, selective vector reindexing, progressive target materialization, incremental ANN repair, retrieval regression testing, preview/shadow index state, and safety-gated database migration. If the sequence survives, draft method/system/CRM claim sets emphasizing concrete vector/index state transitions and measured technical resource effects.</w:t>
      </w:r>
    </w:p>
    <w:p>
      <w:r>
        <w:br w:type="page"/>
      </w:r>
    </w:p>
    <w:p>
      <w:pPr>
        <w:pStyle w:val="Heading1"/>
      </w:pPr>
      <w:r>
        <w:t>73. Selected Public References and Why They Matter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F4E78"/>
            <w:vAlign w:val="center"/>
          </w:tcPr>
          <w:p>
            <w:r>
              <w:rPr>
                <w:b/>
                <w:color w:val="FFFFFF"/>
              </w:rPr>
              <w:t>Reference</w:t>
            </w:r>
          </w:p>
        </w:tc>
        <w:tc>
          <w:tcPr>
            <w:tcW w:type="dxa" w:w="4608"/>
            <w:shd w:fill="1F4E78"/>
            <w:vAlign w:val="center"/>
          </w:tcPr>
          <w:p>
            <w:r>
              <w:rPr>
                <w:b/>
                <w:color w:val="FFFFFF"/>
              </w:rPr>
              <w:t>Relevance</w:t>
            </w:r>
          </w:p>
        </w:tc>
        <w:tc>
          <w:tcPr>
            <w:tcW w:type="dxa" w:w="2880"/>
            <w:shd w:fill="1F4E78"/>
            <w:vAlign w:val="center"/>
          </w:tcPr>
          <w:p>
            <w:r>
              <w:rPr>
                <w:b/>
                <w:color w:val="FFFFFF"/>
              </w:rPr>
              <w:t>URL</w:t>
            </w:r>
          </w:p>
        </w:tc>
      </w:tr>
      <w:tr>
        <w:tc>
          <w:tcPr>
            <w:tcW w:type="dxa" w:w="2880"/>
            <w:vAlign w:val="top"/>
          </w:tcPr>
          <w:p>
            <w:pPr>
              <w:spacing w:after="20"/>
            </w:pPr>
            <w:r>
              <w:rPr>
                <w:sz w:val="18"/>
              </w:rPr>
              <w:t>Qdrant, “Migrate to a New Embedding Model”</w:t>
            </w:r>
          </w:p>
        </w:tc>
        <w:tc>
          <w:tcPr>
            <w:tcW w:type="dxa" w:w="4608"/>
            <w:vAlign w:val="top"/>
          </w:tcPr>
          <w:p>
            <w:pPr>
              <w:spacing w:after="20"/>
            </w:pPr>
            <w:r>
              <w:rPr>
                <w:sz w:val="18"/>
              </w:rPr>
              <w:t>Production baseline: blue-green or named-vector workflows re-embed existing points under the new model.</w:t>
            </w:r>
          </w:p>
        </w:tc>
        <w:tc>
          <w:tcPr>
            <w:tcW w:type="dxa" w:w="2880"/>
            <w:vAlign w:val="top"/>
          </w:tcPr>
          <w:p>
            <w:pPr>
              <w:spacing w:after="20"/>
            </w:pPr>
            <w:r>
              <w:rPr>
                <w:sz w:val="18"/>
              </w:rPr>
              <w:t>https://qdrant.tech/documentation/tutorials-operations/embedding-model-migration/</w:t>
            </w:r>
          </w:p>
        </w:tc>
      </w:tr>
      <w:tr>
        <w:tc>
          <w:tcPr>
            <w:tcW w:type="dxa" w:w="2880"/>
            <w:vAlign w:val="top"/>
          </w:tcPr>
          <w:p>
            <w:pPr>
              <w:spacing w:after="20"/>
            </w:pPr>
            <w:r>
              <w:rPr>
                <w:sz w:val="18"/>
              </w:rPr>
              <w:t>US20240303516A1, “Vector as a service,” HubSpot</w:t>
            </w:r>
          </w:p>
        </w:tc>
        <w:tc>
          <w:tcPr>
            <w:tcW w:type="dxa" w:w="4608"/>
            <w:vAlign w:val="top"/>
          </w:tcPr>
          <w:p>
            <w:pPr>
              <w:spacing w:after="20"/>
            </w:pPr>
            <w:r>
              <w:rPr>
                <w:sz w:val="18"/>
              </w:rPr>
              <w:t>Patent baseline for reindexing/porting vectors across embedding models.</w:t>
            </w:r>
          </w:p>
        </w:tc>
        <w:tc>
          <w:tcPr>
            <w:tcW w:type="dxa" w:w="2880"/>
            <w:vAlign w:val="top"/>
          </w:tcPr>
          <w:p>
            <w:pPr>
              <w:spacing w:after="20"/>
            </w:pPr>
            <w:r>
              <w:rPr>
                <w:sz w:val="18"/>
              </w:rPr>
              <w:t>https://patents.google.com/patent/US20240303516A1/en</w:t>
            </w:r>
          </w:p>
        </w:tc>
      </w:tr>
      <w:tr>
        <w:tc>
          <w:tcPr>
            <w:tcW w:type="dxa" w:w="2880"/>
            <w:vAlign w:val="top"/>
          </w:tcPr>
          <w:p>
            <w:pPr>
              <w:spacing w:after="20"/>
            </w:pPr>
            <w:r>
              <w:rPr>
                <w:sz w:val="18"/>
              </w:rPr>
              <w:t>US20250342179A1, partial vector-index refresh</w:t>
            </w:r>
          </w:p>
        </w:tc>
        <w:tc>
          <w:tcPr>
            <w:tcW w:type="dxa" w:w="4608"/>
            <w:vAlign w:val="top"/>
          </w:tcPr>
          <w:p>
            <w:pPr>
              <w:spacing w:after="20"/>
            </w:pPr>
            <w:r>
              <w:rPr>
                <w:sz w:val="18"/>
              </w:rPr>
              <w:t>Patent baseline for re-indexing one portion without re-indexing another after dataset mutation.</w:t>
            </w:r>
          </w:p>
        </w:tc>
        <w:tc>
          <w:tcPr>
            <w:tcW w:type="dxa" w:w="2880"/>
            <w:vAlign w:val="top"/>
          </w:tcPr>
          <w:p>
            <w:pPr>
              <w:spacing w:after="20"/>
            </w:pPr>
            <w:r>
              <w:rPr>
                <w:sz w:val="18"/>
              </w:rPr>
              <w:t>https://patents.google.com/patent/US20250342179A1</w:t>
            </w:r>
          </w:p>
        </w:tc>
      </w:tr>
      <w:tr>
        <w:tc>
          <w:tcPr>
            <w:tcW w:type="dxa" w:w="2880"/>
            <w:vAlign w:val="top"/>
          </w:tcPr>
          <w:p>
            <w:pPr>
              <w:spacing w:after="20"/>
            </w:pPr>
            <w:r>
              <w:rPr>
                <w:sz w:val="18"/>
              </w:rPr>
              <w:t>SPFresh, Xu et al., SOSP 2023</w:t>
            </w:r>
          </w:p>
        </w:tc>
        <w:tc>
          <w:tcPr>
            <w:tcW w:type="dxa" w:w="4608"/>
            <w:vAlign w:val="top"/>
          </w:tcPr>
          <w:p>
            <w:pPr>
              <w:spacing w:after="20"/>
            </w:pPr>
            <w:r>
              <w:rPr>
                <w:sz w:val="18"/>
              </w:rPr>
              <w:t>Incremental in-place vector index update; local partition/boundary repair.</w:t>
            </w:r>
          </w:p>
        </w:tc>
        <w:tc>
          <w:tcPr>
            <w:tcW w:type="dxa" w:w="2880"/>
            <w:vAlign w:val="top"/>
          </w:tcPr>
          <w:p>
            <w:pPr>
              <w:spacing w:after="20"/>
            </w:pPr>
            <w:r>
              <w:rPr>
                <w:sz w:val="18"/>
              </w:rPr>
              <w:t>https://www.microsoft.com/en-us/research/publication/spfresh-incremental-in-place-update-for-billion-scale-vector-search/</w:t>
            </w:r>
          </w:p>
        </w:tc>
      </w:tr>
      <w:tr>
        <w:tc>
          <w:tcPr>
            <w:tcW w:type="dxa" w:w="2880"/>
            <w:vAlign w:val="top"/>
          </w:tcPr>
          <w:p>
            <w:pPr>
              <w:spacing w:after="20"/>
            </w:pPr>
            <w:r>
              <w:rPr>
                <w:sz w:val="18"/>
              </w:rPr>
              <w:t>Drift-Adapter, Vejendla, 2025</w:t>
            </w:r>
          </w:p>
        </w:tc>
        <w:tc>
          <w:tcPr>
            <w:tcW w:type="dxa" w:w="4608"/>
            <w:vAlign w:val="top"/>
          </w:tcPr>
          <w:p>
            <w:pPr>
              <w:spacing w:after="20"/>
            </w:pPr>
            <w:r>
              <w:rPr>
                <w:sz w:val="18"/>
              </w:rPr>
              <w:t>Global/lightweight transformation alternative to full embedding backfill.</w:t>
            </w:r>
          </w:p>
        </w:tc>
        <w:tc>
          <w:tcPr>
            <w:tcW w:type="dxa" w:w="2880"/>
            <w:vAlign w:val="top"/>
          </w:tcPr>
          <w:p>
            <w:pPr>
              <w:spacing w:after="20"/>
            </w:pPr>
            <w:r>
              <w:rPr>
                <w:sz w:val="18"/>
              </w:rPr>
              <w:t>https://arxiv.org/abs/2509.23471</w:t>
            </w:r>
          </w:p>
        </w:tc>
      </w:tr>
      <w:tr>
        <w:tc>
          <w:tcPr>
            <w:tcW w:type="dxa" w:w="2880"/>
            <w:vAlign w:val="top"/>
          </w:tcPr>
          <w:p>
            <w:pPr>
              <w:spacing w:after="20"/>
            </w:pPr>
            <w:r>
              <w:rPr>
                <w:sz w:val="18"/>
              </w:rPr>
              <w:t>EmbedFlow, 2026 public project</w:t>
            </w:r>
          </w:p>
        </w:tc>
        <w:tc>
          <w:tcPr>
            <w:tcW w:type="dxa" w:w="4608"/>
            <w:vAlign w:val="top"/>
          </w:tcPr>
          <w:p>
            <w:pPr>
              <w:spacing w:after="20"/>
            </w:pPr>
            <w:r>
              <w:rPr>
                <w:sz w:val="18"/>
              </w:rPr>
              <w:t>Progressive source-index candidate retrieval, target scoring/materialization, migration readiness signals; makes Candidate Envelope a supporting baseline rather than novelty.</w:t>
            </w:r>
          </w:p>
        </w:tc>
        <w:tc>
          <w:tcPr>
            <w:tcW w:type="dxa" w:w="2880"/>
            <w:vAlign w:val="top"/>
          </w:tcPr>
          <w:p>
            <w:pPr>
              <w:spacing w:after="20"/>
            </w:pPr>
            <w:r>
              <w:rPr>
                <w:sz w:val="18"/>
              </w:rPr>
              <w:t>https://github.com/arnsri33/embedflow</w:t>
            </w:r>
          </w:p>
        </w:tc>
      </w:tr>
      <w:tr>
        <w:tc>
          <w:tcPr>
            <w:tcW w:type="dxa" w:w="2880"/>
            <w:vAlign w:val="top"/>
          </w:tcPr>
          <w:p>
            <w:pPr>
              <w:spacing w:after="20"/>
            </w:pPr>
            <w:r>
              <w:rPr>
                <w:sz w:val="18"/>
              </w:rPr>
              <w:t>USPTO MPEP §2141</w:t>
            </w:r>
          </w:p>
        </w:tc>
        <w:tc>
          <w:tcPr>
            <w:tcW w:type="dxa" w:w="4608"/>
            <w:vAlign w:val="top"/>
          </w:tcPr>
          <w:p>
            <w:pPr>
              <w:spacing w:after="20"/>
            </w:pPr>
            <w:r>
              <w:rPr>
                <w:sz w:val="18"/>
              </w:rPr>
              <w:t>US obviousness framework; objective evidence including unexpected results may be considered.</w:t>
            </w:r>
          </w:p>
        </w:tc>
        <w:tc>
          <w:tcPr>
            <w:tcW w:type="dxa" w:w="2880"/>
            <w:vAlign w:val="top"/>
          </w:tcPr>
          <w:p>
            <w:pPr>
              <w:spacing w:after="20"/>
            </w:pPr>
            <w:r>
              <w:rPr>
                <w:sz w:val="18"/>
              </w:rPr>
              <w:t>https://www.uspto.gov/web/offices/pac/mpep/s2141.html</w:t>
            </w:r>
          </w:p>
        </w:tc>
      </w:tr>
      <w:tr>
        <w:tc>
          <w:tcPr>
            <w:tcW w:type="dxa" w:w="2880"/>
            <w:vAlign w:val="top"/>
          </w:tcPr>
          <w:p>
            <w:pPr>
              <w:spacing w:after="20"/>
            </w:pPr>
            <w:r>
              <w:rPr>
                <w:sz w:val="18"/>
              </w:rPr>
              <w:t>USPTO MPEP §716</w:t>
            </w:r>
          </w:p>
        </w:tc>
        <w:tc>
          <w:tcPr>
            <w:tcW w:type="dxa" w:w="4608"/>
            <w:vAlign w:val="top"/>
          </w:tcPr>
          <w:p>
            <w:pPr>
              <w:spacing w:after="20"/>
            </w:pPr>
            <w:r>
              <w:rPr>
                <w:sz w:val="18"/>
              </w:rPr>
              <w:t>Evidence traversing rejections and unexpected-results guidance.</w:t>
            </w:r>
          </w:p>
        </w:tc>
        <w:tc>
          <w:tcPr>
            <w:tcW w:type="dxa" w:w="2880"/>
            <w:vAlign w:val="top"/>
          </w:tcPr>
          <w:p>
            <w:pPr>
              <w:spacing w:after="20"/>
            </w:pPr>
            <w:r>
              <w:rPr>
                <w:sz w:val="18"/>
              </w:rPr>
              <w:t>https://www.uspto.gov/web/offices/pac/mpep/s716.html</w:t>
            </w:r>
          </w:p>
        </w:tc>
      </w:tr>
      <w:tr>
        <w:tc>
          <w:tcPr>
            <w:tcW w:type="dxa" w:w="2880"/>
            <w:vAlign w:val="top"/>
          </w:tcPr>
          <w:p>
            <w:pPr>
              <w:spacing w:after="20"/>
            </w:pPr>
            <w:r>
              <w:rPr>
                <w:sz w:val="18"/>
              </w:rPr>
              <w:t>IP India CRI Guidelines 2025</w:t>
            </w:r>
          </w:p>
        </w:tc>
        <w:tc>
          <w:tcPr>
            <w:tcW w:type="dxa" w:w="4608"/>
            <w:vAlign w:val="top"/>
          </w:tcPr>
          <w:p>
            <w:pPr>
              <w:spacing w:after="20"/>
            </w:pPr>
            <w:r>
              <w:rPr>
                <w:sz w:val="18"/>
              </w:rPr>
              <w:t>Current India guidance for computer-related inventions; supports technical-effect/sufficiency framing.</w:t>
            </w:r>
          </w:p>
        </w:tc>
        <w:tc>
          <w:tcPr>
            <w:tcW w:type="dxa" w:w="2880"/>
            <w:vAlign w:val="top"/>
          </w:tcPr>
          <w:p>
            <w:pPr>
              <w:spacing w:after="20"/>
            </w:pPr>
            <w:r>
              <w:rPr>
                <w:sz w:val="18"/>
              </w:rPr>
              <w:t>https://www.ipindia.gov.in/resource/patents-resources-guidelines</w:t>
            </w:r>
          </w:p>
        </w:tc>
      </w:tr>
    </w:tbl>
    <w:p/>
    <w:p>
      <w:pPr>
        <w:spacing w:after="120" w:line="259" w:lineRule="auto"/>
      </w:pPr>
      <w:r>
        <w:t>Reference-list caution: this is a selected engineering/patent-strategy list, not a complete prior-art search. A professional search must review patent families, prosecution histories where relevant, non-English art, citations, and unpublished-risk limitations.</w:t>
      </w:r>
    </w:p>
    <w:p>
      <w:r>
        <w:br w:type="page"/>
      </w:r>
    </w:p>
    <w:p>
      <w:pPr>
        <w:pStyle w:val="Heading1"/>
      </w:pPr>
      <w:r>
        <w:t>74. Final Freeze Checklist</w:t>
      </w:r>
    </w:p>
    <w:p>
      <w:pPr>
        <w:pStyle w:val="ListBullet"/>
      </w:pPr>
      <w:r>
        <w:t>☐ Project name frozen: TopoPatch.</w:t>
      </w:r>
    </w:p>
    <w:p>
      <w:pPr>
        <w:pStyle w:val="ListBullet"/>
      </w:pPr>
      <w:r>
        <w:t>☐ Technical version frozen: TopoPatch-CMR v4.1.</w:t>
      </w:r>
    </w:p>
    <w:p>
      <w:pPr>
        <w:pStyle w:val="ListBullet"/>
      </w:pPr>
      <w:r>
        <w:t>☐ Core architecture frozen around action-effect witnesses + minimum technical repair + ephemeral preview state + safety-controlled durable commit/fallback.</w:t>
      </w:r>
    </w:p>
    <w:p>
      <w:pPr>
        <w:pStyle w:val="ListBullet"/>
      </w:pPr>
      <w:r>
        <w:t>☐ Candidate Envelope treated as uncertainty-bounded supporting infrastructure, not novelty.</w:t>
      </w:r>
    </w:p>
    <w:p>
      <w:pPr>
        <w:pStyle w:val="ListBullet"/>
      </w:pPr>
      <w:r>
        <w:t>☐ Dual-space serving mandatory; raw A/B scores never directly compared.</w:t>
      </w:r>
    </w:p>
    <w:p>
      <w:pPr>
        <w:pStyle w:val="ListBullet"/>
      </w:pPr>
      <w:r>
        <w:t>☐ Safety floor defined from protected constraints, separate from progress to Full-B quality.</w:t>
      </w:r>
    </w:p>
    <w:p>
      <w:pPr>
        <w:pStyle w:val="ListBullet"/>
      </w:pPr>
      <w:r>
        <w:t>☐ B embeddings source-version/hash/epoch bound.</w:t>
      </w:r>
    </w:p>
    <w:p>
      <w:pPr>
        <w:pStyle w:val="ListBullet"/>
      </w:pPr>
      <w:r>
        <w:t>☐ Normal migration monotonic; rollback explicit.</w:t>
      </w:r>
    </w:p>
    <w:p>
      <w:pPr>
        <w:pStyle w:val="ListBullet"/>
      </w:pPr>
      <w:r>
        <w:t>☐ ProbeQuorum optional only.</w:t>
      </w:r>
    </w:p>
    <w:p>
      <w:pPr>
        <w:pStyle w:val="ListBullet"/>
      </w:pPr>
      <w:r>
        <w:t>☐ NCA/local correction outside core/MVP.</w:t>
      </w:r>
    </w:p>
    <w:p>
      <w:pPr>
        <w:pStyle w:val="ListBullet"/>
      </w:pPr>
      <w:r>
        <w:t>☐ No extra architecture added without observed implementation failure.</w:t>
      </w:r>
    </w:p>
    <w:p>
      <w:pPr>
        <w:pStyle w:val="ListBullet"/>
      </w:pPr>
      <w:r>
        <w:t>☐ Repo private until filing strategy is decided.</w:t>
      </w:r>
    </w:p>
    <w:p>
      <w:pPr>
        <w:pStyle w:val="ListBullet"/>
      </w:pPr>
      <w:r>
        <w:t>☐ Full-A/Full-B ground truth kept separate from charged algorithm work.</w:t>
      </w:r>
    </w:p>
    <w:p>
      <w:pPr>
        <w:pStyle w:val="ListBullet"/>
      </w:pPr>
      <w:r>
        <w:t>☐ EmbedFlow/progressive materialization added as a baseline.</w:t>
      </w:r>
    </w:p>
    <w:p>
      <w:pPr>
        <w:pStyle w:val="ListBullet"/>
      </w:pPr>
      <w:r>
        <w:t>☐ First benchmark precedes polished dashboard.</w:t>
      </w:r>
    </w:p>
    <w:p>
      <w:pPr>
        <w:pStyle w:val="ListBullet"/>
      </w:pPr>
      <w:r>
        <w:t>☐ Professional claim search follows first reproducible benchmark and precedes public disclosure.</w:t>
      </w:r>
    </w:p>
    <w:p>
      <w:r>
        <w:br w:type="page"/>
      </w:r>
    </w:p>
    <w:p>
      <w:pPr>
        <w:pStyle w:val="Heading1"/>
      </w:pPr>
      <w:r>
        <w:t>75. Final Implementation Start Decision</w:t>
      </w:r>
    </w:p>
    <w:tbl>
      <w:tblPr>
        <w:tblStyle w:val="TableGrid"/>
        <w:tblW w:type="auto" w:w="0"/>
        <w:tblLook w:firstColumn="1" w:firstRow="1" w:lastColumn="0" w:lastRow="0" w:noHBand="0" w:noVBand="1" w:val="04A0"/>
      </w:tblPr>
      <w:tblGrid>
        <w:gridCol w:w="9994"/>
      </w:tblGrid>
      <w:tr>
        <w:tc>
          <w:tcPr>
            <w:tcW w:type="dxa" w:w="9994"/>
            <w:shd w:fill="D9EAD3"/>
          </w:tcPr>
          <w:p>
            <w:r>
              <w:rPr>
                <w:b/>
                <w:sz w:val="21"/>
              </w:rPr>
              <w:t>FINAL STATUS</w:t>
              <w:br/>
            </w:r>
            <w:r>
              <w:rPr>
                <w:sz w:val="19"/>
              </w:rPr>
              <w:t>ARCHITECTURE FROZEN. START IMPLEMENTATION. The remaining uncertainty is empirical and legal-search uncertainty, not an unresolved design gap. The project should now earn or lose its patent value through reproducible technical evidence rather than through additional architectural brainstorming.</w:t>
            </w:r>
          </w:p>
        </w:tc>
      </w:tr>
    </w:tbl>
    <w:p/>
    <w:p>
      <w:pPr>
        <w:spacing w:after="120" w:line="259" w:lineRule="auto"/>
      </w:pPr>
      <w:r>
        <w:t>The first milestone is not a website and not a patent form. It is a reproducible experiment showing the complete control loop on a real retrieval dataset: Candidate Envelope obtains bounded B-side evidence; a protected retrieval violation is detected; counterfactual action-effect witnesses are constructed; the solver proposes a small repair; the repair is materialized as a non-durable preview; the safety evaluator either rejects or accepts it; and an accepted transition becomes a source-consistent durable A/B state. Once this is demonstrably real, benchmark against Full-B, random/heuristic partial migration, cost-only repair, progressive target materialization and an adapter baseline where feasible.</w:t>
      </w:r>
    </w:p>
    <w:p>
      <w:pPr>
        <w:spacing w:after="120" w:line="259" w:lineRule="auto"/>
      </w:pPr>
      <w:r>
        <w:t>If those experiments produce substantial resource savings and the safety gate measurably changes outcomes, preserve the raw evidence and move quickly to a professional claim-level search and patent drafting discussion before public disclosure. If the measurements fail the kill criteria, do not force the invention into a filing simply because the architecture is sophisticated. The frozen plan is designed to produce a decisive answer.</w:t>
      </w:r>
    </w:p>
    <w:p>
      <w:r>
        <w:br w:type="page"/>
      </w:r>
    </w:p>
    <w:p>
      <w:pPr>
        <w:pStyle w:val="Heading1"/>
      </w:pPr>
      <w:r>
        <w:t>Appendix A. Detailed Data-Structure Reference</w:t>
      </w:r>
    </w:p>
    <w:p>
      <w:pPr>
        <w:pStyle w:val="Heading2"/>
      </w:pPr>
      <w:r>
        <w:t>ModelPairRegistry</w:t>
      </w:r>
    </w:p>
    <w:p>
      <w:pPr>
        <w:spacing w:before="80" w:after="140"/>
        <w:ind w:left="259" w:right="259"/>
        <w:shd w:fill="F2F4F7"/>
      </w:pPr>
      <w:r>
        <w:rPr>
          <w:rFonts w:ascii="Consolas" w:hAnsi="Consolas"/>
          <w:sz w:val="18"/>
        </w:rPr>
        <w:t>ModelPairRegistry {</w:t>
        <w:br/>
        <w:t xml:space="preserve">  pair_id</w:t>
        <w:br/>
        <w:t xml:space="preserve">  model_A_id</w:t>
        <w:br/>
        <w:t xml:space="preserve">  model_A_revision</w:t>
        <w:br/>
        <w:t xml:space="preserve">  model_B_id</w:t>
        <w:br/>
        <w:t xml:space="preserve">  model_B_revision</w:t>
        <w:br/>
        <w:t xml:space="preserve">  dim_A</w:t>
        <w:br/>
        <w:t xml:space="preserve">  dim_B</w:t>
        <w:br/>
        <w:t xml:space="preserve">  metric_A</w:t>
        <w:br/>
        <w:t xml:space="preserve">  metric_B</w:t>
        <w:br/>
        <w:t xml:space="preserve">  normalization_A</w:t>
        <w:br/>
        <w:t xml:space="preserve">  normalization_B</w:t>
        <w:br/>
        <w:t xml:space="preserve">  instruction_template_A</w:t>
        <w:br/>
        <w:t xml:space="preserve">  instruction_template_B</w:t>
        <w:br/>
        <w:t xml:space="preserve">  created_at</w:t>
        <w:br/>
        <w:t>}</w:t>
      </w:r>
    </w:p>
    <w:p>
      <w:pPr>
        <w:pStyle w:val="Heading2"/>
      </w:pPr>
      <w:r>
        <w:t>CandidateEnvelope</w:t>
      </w:r>
    </w:p>
    <w:p>
      <w:pPr>
        <w:spacing w:before="80" w:after="140"/>
        <w:ind w:left="259" w:right="259"/>
        <w:shd w:fill="F2F4F7"/>
      </w:pPr>
      <w:r>
        <w:rPr>
          <w:rFonts w:ascii="Consolas" w:hAnsi="Consolas"/>
          <w:sz w:val="18"/>
        </w:rPr>
        <w:t>CandidateEnvelope {</w:t>
        <w:br/>
        <w:t xml:space="preserve">  envelope_id</w:t>
        <w:br/>
        <w:t xml:space="preserve">  query_id</w:t>
        <w:br/>
        <w:t xml:space="preserve">  candidate_ids</w:t>
        <w:br/>
        <w:t xml:space="preserve">  candidate_sources</w:t>
        <w:br/>
        <w:t xml:space="preserve">  B_embedded_ids</w:t>
        <w:br/>
        <w:t xml:space="preserve">  expansion_round</w:t>
        <w:br/>
        <w:t xml:space="preserve">  audit_sample_ids</w:t>
        <w:br/>
        <w:t xml:space="preserve">  estimated_miss_probability</w:t>
        <w:br/>
        <w:t xml:space="preserve">  confidence_level</w:t>
        <w:br/>
        <w:t xml:space="preserve">  residual_uncertainty</w:t>
        <w:br/>
        <w:t xml:space="preserve">  status</w:t>
        <w:br/>
        <w:t>}</w:t>
      </w:r>
    </w:p>
    <w:p>
      <w:pPr>
        <w:pStyle w:val="Heading2"/>
      </w:pPr>
      <w:r>
        <w:t>RetrievalViolation</w:t>
      </w:r>
    </w:p>
    <w:p>
      <w:pPr>
        <w:spacing w:before="80" w:after="140"/>
        <w:ind w:left="259" w:right="259"/>
        <w:shd w:fill="F2F4F7"/>
      </w:pPr>
      <w:r>
        <w:rPr>
          <w:rFonts w:ascii="Consolas" w:hAnsi="Consolas"/>
          <w:sz w:val="18"/>
        </w:rPr>
        <w:t>RetrievalViolation {</w:t>
        <w:br/>
        <w:t xml:space="preserve">  violation_id</w:t>
        <w:br/>
        <w:t xml:space="preserve">  query_id</w:t>
        <w:br/>
        <w:t xml:space="preserve">  constraint_id</w:t>
        <w:br/>
        <w:t xml:space="preserve">  reference_result</w:t>
        <w:br/>
        <w:t xml:space="preserve">  candidate_result</w:t>
        <w:br/>
        <w:t xml:space="preserve">  violated_items</w:t>
        <w:br/>
        <w:t xml:space="preserve">  rank_delta</w:t>
        <w:br/>
        <w:t xml:space="preserve">  margin_delta</w:t>
        <w:br/>
        <w:t xml:space="preserve">  severity</w:t>
        <w:br/>
        <w:t xml:space="preserve">  evidence_confidence</w:t>
        <w:br/>
        <w:t>}</w:t>
      </w:r>
    </w:p>
    <w:p>
      <w:pPr>
        <w:pStyle w:val="Heading2"/>
      </w:pPr>
      <w:r>
        <w:t>WitnessActionEffect</w:t>
      </w:r>
    </w:p>
    <w:p>
      <w:pPr>
        <w:spacing w:before="80" w:after="140"/>
        <w:ind w:left="259" w:right="259"/>
        <w:shd w:fill="F2F4F7"/>
      </w:pPr>
      <w:r>
        <w:rPr>
          <w:rFonts w:ascii="Consolas" w:hAnsi="Consolas"/>
          <w:sz w:val="18"/>
        </w:rPr>
        <w:t>WitnessActionEffect {</w:t>
        <w:br/>
        <w:t xml:space="preserve">  violation_id</w:t>
        <w:br/>
        <w:t xml:space="preserve">  action_id</w:t>
        <w:br/>
        <w:t xml:space="preserve">  object_ids</w:t>
        <w:br/>
        <w:t xml:space="preserve">  delta_rank</w:t>
        <w:br/>
        <w:t xml:space="preserve">  delta_margin</w:t>
        <w:br/>
        <w:t xml:space="preserve">  resolves_violation</w:t>
        <w:br/>
        <w:t xml:space="preserve">  new_violation_count</w:t>
        <w:br/>
        <w:t xml:space="preserve">  ann_scope_estimate</w:t>
        <w:br/>
        <w:t xml:space="preserve">  technical_cost</w:t>
        <w:br/>
        <w:t xml:space="preserve">  confidence</w:t>
        <w:br/>
        <w:t xml:space="preserve">  evaluation_mode</w:t>
        <w:br/>
        <w:t>}</w:t>
      </w:r>
    </w:p>
    <w:p>
      <w:pPr>
        <w:pStyle w:val="Heading2"/>
      </w:pPr>
      <w:r>
        <w:t>MigrationAction</w:t>
      </w:r>
    </w:p>
    <w:p>
      <w:pPr>
        <w:spacing w:before="80" w:after="140"/>
        <w:ind w:left="259" w:right="259"/>
        <w:shd w:fill="F2F4F7"/>
      </w:pPr>
      <w:r>
        <w:rPr>
          <w:rFonts w:ascii="Consolas" w:hAnsi="Consolas"/>
          <w:sz w:val="18"/>
        </w:rPr>
        <w:t>MigrationAction {</w:t>
        <w:br/>
        <w:t xml:space="preserve">  action_id</w:t>
        <w:br/>
        <w:t xml:space="preserve">  object_ids</w:t>
        <w:br/>
        <w:t xml:space="preserve">  embed_jobs</w:t>
        <w:br/>
        <w:t xml:space="preserve">  A_removals</w:t>
        <w:br/>
        <w:t xml:space="preserve">  B_insertions</w:t>
        <w:br/>
        <w:t xml:space="preserve">  ann_scope</w:t>
        <w:br/>
        <w:t xml:space="preserve">  routing_delta</w:t>
        <w:br/>
        <w:t xml:space="preserve">  estimated_compute</w:t>
        <w:br/>
        <w:t xml:space="preserve">  estimated_bytes</w:t>
        <w:br/>
        <w:t xml:space="preserve">  estimated_latency</w:t>
        <w:br/>
        <w:t xml:space="preserve">  base_epoch</w:t>
        <w:br/>
        <w:t>}</w:t>
      </w:r>
    </w:p>
    <w:p>
      <w:pPr>
        <w:pStyle w:val="Heading2"/>
      </w:pPr>
      <w:r>
        <w:t>PreviewStateDelta</w:t>
      </w:r>
    </w:p>
    <w:p>
      <w:pPr>
        <w:spacing w:before="80" w:after="140"/>
        <w:ind w:left="259" w:right="259"/>
        <w:shd w:fill="F2F4F7"/>
      </w:pPr>
      <w:r>
        <w:rPr>
          <w:rFonts w:ascii="Consolas" w:hAnsi="Consolas"/>
          <w:sz w:val="18"/>
        </w:rPr>
        <w:t>PreviewStateDelta {</w:t>
        <w:br/>
        <w:t xml:space="preserve">  preview_id</w:t>
        <w:br/>
        <w:t xml:space="preserve">  base_epoch</w:t>
        <w:br/>
        <w:t xml:space="preserve">  source_snapshot_id</w:t>
        <w:br/>
        <w:t xml:space="preserve">  tentative_A_removals</w:t>
        <w:br/>
        <w:t xml:space="preserve">  tentative_B_insertions</w:t>
        <w:br/>
        <w:t xml:space="preserve">  tentative_version_map</w:t>
        <w:br/>
        <w:t xml:space="preserve">  tentative_ann_delta</w:t>
        <w:br/>
        <w:t xml:space="preserve">  tentative_routing_state</w:t>
        <w:br/>
        <w:t xml:space="preserve">  fallback_change</w:t>
        <w:br/>
        <w:t xml:space="preserve">  cost_vector</w:t>
        <w:br/>
        <w:t xml:space="preserve">  content_hashes</w:t>
        <w:br/>
        <w:t>}</w:t>
      </w:r>
    </w:p>
    <w:p>
      <w:pPr>
        <w:pStyle w:val="Heading2"/>
      </w:pPr>
      <w:r>
        <w:t>BarrierEvidence</w:t>
      </w:r>
    </w:p>
    <w:p>
      <w:pPr>
        <w:spacing w:before="80" w:after="140"/>
        <w:ind w:left="259" w:right="259"/>
        <w:shd w:fill="F2F4F7"/>
      </w:pPr>
      <w:r>
        <w:rPr>
          <w:rFonts w:ascii="Consolas" w:hAnsi="Consolas"/>
          <w:sz w:val="18"/>
        </w:rPr>
        <w:t>BarrierEvidence {</w:t>
        <w:br/>
        <w:t xml:space="preserve">  evidence_id</w:t>
        <w:br/>
        <w:t xml:space="preserve">  preview_id</w:t>
        <w:br/>
        <w:t xml:space="preserve">  query_slice</w:t>
        <w:br/>
        <w:t xml:space="preserve">  constraint_results</w:t>
        <w:br/>
        <w:t xml:space="preserve">  lower_margin</w:t>
        <w:br/>
        <w:t xml:space="preserve">  candidate_uncertainty</w:t>
        <w:br/>
        <w:t xml:space="preserve">  fusion_uncertainty</w:t>
        <w:br/>
        <w:t xml:space="preserve">  ann_error_bound</w:t>
        <w:br/>
        <w:t xml:space="preserve">  statistical_confidence</w:t>
        <w:br/>
        <w:t xml:space="preserve">  threshold</w:t>
        <w:br/>
        <w:t xml:space="preserve">  pass_fail</w:t>
        <w:br/>
        <w:t>}</w:t>
      </w:r>
    </w:p>
    <w:p>
      <w:pPr>
        <w:pStyle w:val="Heading2"/>
      </w:pPr>
      <w:r>
        <w:t>MigrationCommitManifest</w:t>
      </w:r>
    </w:p>
    <w:p>
      <w:pPr>
        <w:spacing w:before="80" w:after="140"/>
        <w:ind w:left="259" w:right="259"/>
        <w:shd w:fill="F2F4F7"/>
      </w:pPr>
      <w:r>
        <w:rPr>
          <w:rFonts w:ascii="Consolas" w:hAnsi="Consolas"/>
          <w:sz w:val="18"/>
        </w:rPr>
        <w:t>MigrationCommitManifest {</w:t>
        <w:br/>
        <w:t xml:space="preserve">  epoch</w:t>
        <w:br/>
        <w:t xml:space="preserve">  previous_epoch</w:t>
        <w:br/>
        <w:t xml:space="preserve">  preview_id</w:t>
        <w:br/>
        <w:t xml:space="preserve">  source_snapshot_id</w:t>
        <w:br/>
        <w:t xml:space="preserve">  object_ids</w:t>
        <w:br/>
        <w:t xml:space="preserve">  source_versions</w:t>
        <w:br/>
        <w:t xml:space="preserve">  model_B_version</w:t>
        <w:br/>
        <w:t xml:space="preserve">  index_digests_before_after</w:t>
        <w:br/>
        <w:t xml:space="preserve">  routing_digests_before_after</w:t>
        <w:br/>
        <w:t xml:space="preserve">  barrier_evidence_ids</w:t>
        <w:br/>
        <w:t xml:space="preserve">  timestamp</w:t>
        <w:br/>
        <w:t>}</w:t>
      </w:r>
    </w:p>
    <w:p>
      <w:pPr>
        <w:pStyle w:val="Heading2"/>
      </w:pPr>
      <w:r>
        <w:t>CounterexampleCache</w:t>
      </w:r>
    </w:p>
    <w:p>
      <w:pPr>
        <w:spacing w:before="80" w:after="140"/>
        <w:ind w:left="259" w:right="259"/>
        <w:shd w:fill="F2F4F7"/>
      </w:pPr>
      <w:r>
        <w:rPr>
          <w:rFonts w:ascii="Consolas" w:hAnsi="Consolas"/>
          <w:sz w:val="18"/>
        </w:rPr>
        <w:t>CounterexampleCache {</w:t>
        <w:br/>
        <w:t xml:space="preserve">  counterexample_id</w:t>
        <w:br/>
        <w:t xml:space="preserve">  query_id</w:t>
        <w:br/>
        <w:t xml:space="preserve">  constraint_id</w:t>
        <w:br/>
        <w:t xml:space="preserve">  first_seen_epoch</w:t>
        <w:br/>
        <w:t xml:space="preserve">  last_seen_epoch</w:t>
        <w:br/>
        <w:t xml:space="preserve">  failed_preview_ids</w:t>
        <w:br/>
        <w:t xml:space="preserve">  severity</w:t>
        <w:br/>
        <w:t xml:space="preserve">  tags</w:t>
        <w:br/>
        <w:t xml:space="preserve">  priority</w:t>
        <w:br/>
        <w:t>}</w:t>
      </w:r>
    </w:p>
    <w:p>
      <w:r>
        <w:br w:type="page"/>
      </w:r>
    </w:p>
    <w:p>
      <w:pPr>
        <w:pStyle w:val="Heading1"/>
      </w:pPr>
      <w:r>
        <w:t>Appendix B. Detailed Experiment Output Template</w:t>
      </w:r>
    </w:p>
    <w:p>
      <w:pPr>
        <w:spacing w:before="80" w:after="140"/>
        <w:ind w:left="259" w:right="259"/>
        <w:shd w:fill="F2F4F7"/>
      </w:pPr>
      <w:r>
        <w:rPr>
          <w:rFonts w:ascii="Consolas" w:hAnsi="Consolas"/>
          <w:sz w:val="18"/>
        </w:rPr>
        <w:t>run_id: exp_YYYYMMDD_001</w:t>
        <w:br/>
        <w:t>manifest_hash: ...</w:t>
        <w:br/>
        <w:t>git_commit: ...</w:t>
        <w:br/>
        <w:t>model_pair: A -&gt; B</w:t>
        <w:br/>
        <w:t>dataset: ...</w:t>
        <w:br/>
        <w:t>corpus_size: ...</w:t>
        <w:br/>
        <w:t>protected_queries: ...</w:t>
        <w:br/>
        <w:t>progress_queries: ...</w:t>
        <w:br/>
        <w:br/>
        <w:t>FULL-A</w:t>
        <w:br/>
        <w:t xml:space="preserve">  recall@10: ...</w:t>
        <w:br/>
        <w:t xml:space="preserve">  ndcg@10: ...</w:t>
        <w:br/>
        <w:br/>
        <w:t>FULL-B (evaluation-only)</w:t>
        <w:br/>
        <w:t xml:space="preserve">  recall@10: ...</w:t>
        <w:br/>
        <w:t xml:space="preserve">  ndcg@10: ...</w:t>
        <w:br/>
        <w:t xml:space="preserve">  B_embeddings: N  # not charged to TopoPatch</w:t>
        <w:br/>
        <w:br/>
        <w:t>TOPOPATCH</w:t>
        <w:br/>
        <w:t xml:space="preserve">  charged_B_embeddings: ...</w:t>
        <w:br/>
        <w:t xml:space="preserve">  migrated_fraction: ...</w:t>
        <w:br/>
        <w:t xml:space="preserve">  candidate_envelope_miss_rate: ...</w:t>
        <w:br/>
        <w:t xml:space="preserve">  witness_build_ms: ...</w:t>
        <w:br/>
        <w:t xml:space="preserve">  optimizer_ms: ...</w:t>
        <w:br/>
        <w:t xml:space="preserve">  preview_ms: ...</w:t>
        <w:br/>
        <w:t xml:space="preserve">  barrier_ms: ...</w:t>
        <w:br/>
        <w:t xml:space="preserve">  bytes_written: ...</w:t>
        <w:br/>
        <w:t xml:space="preserve">  ann_updates: ...</w:t>
        <w:br/>
        <w:t xml:space="preserve">  wall_clock: ...</w:t>
        <w:br/>
        <w:t xml:space="preserve">  peak_duplicate_storage: ...</w:t>
        <w:br/>
        <w:t xml:space="preserve">  protected_violations: ...</w:t>
        <w:br/>
        <w:t xml:space="preserve">  recall@10: ...</w:t>
        <w:br/>
        <w:t xml:space="preserve">  ndcg@10: ...</w:t>
        <w:br/>
        <w:t xml:space="preserve">  quality_gap_to_fullB: ...</w:t>
        <w:br/>
        <w:t xml:space="preserve">  barrier_rejections: ...</w:t>
        <w:br/>
        <w:t xml:space="preserve">  fallback_fraction: ...</w:t>
        <w:br/>
        <w:br/>
        <w:t>BASELINES</w:t>
        <w:br/>
        <w:t xml:space="preserve">  random_partial: ...</w:t>
        <w:br/>
        <w:t xml:space="preserve">  popularity_partial: ...</w:t>
        <w:br/>
        <w:t xml:space="preserve">  progressive_materialization: ...</w:t>
        <w:br/>
        <w:t xml:space="preserve">  global_adapter: ...</w:t>
        <w:br/>
        <w:t xml:space="preserve">  cost_only_no_barrier: ...</w:t>
        <w:br/>
        <w:br/>
        <w:t>NOTES</w:t>
        <w:br/>
        <w:t xml:space="preserve">  unexpected behavior:</w:t>
        <w:br/>
        <w:t xml:space="preserve">  failures:</w:t>
        <w:br/>
        <w:t xml:space="preserve">  follow-up:</w:t>
      </w:r>
    </w:p>
    <w:p>
      <w:r>
        <w:br w:type="page"/>
      </w:r>
    </w:p>
    <w:p>
      <w:pPr>
        <w:pStyle w:val="Heading1"/>
      </w:pPr>
      <w:r>
        <w:t>Appendix C. Patent Claim-Support Matrix Template</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shd w:fill="1F4E78"/>
            <w:vAlign w:val="center"/>
          </w:tcPr>
          <w:p>
            <w:r>
              <w:rPr>
                <w:b/>
                <w:color w:val="FFFFFF"/>
              </w:rPr>
              <w:t>Claim limitation</w:t>
            </w:r>
          </w:p>
        </w:tc>
        <w:tc>
          <w:tcPr>
            <w:tcW w:type="dxa" w:w="1999"/>
            <w:shd w:fill="1F4E78"/>
            <w:vAlign w:val="center"/>
          </w:tcPr>
          <w:p>
            <w:r>
              <w:rPr>
                <w:b/>
                <w:color w:val="FFFFFF"/>
              </w:rPr>
              <w:t>Code/module</w:t>
            </w:r>
          </w:p>
        </w:tc>
        <w:tc>
          <w:tcPr>
            <w:tcW w:type="dxa" w:w="1999"/>
            <w:shd w:fill="1F4E78"/>
            <w:vAlign w:val="center"/>
          </w:tcPr>
          <w:p>
            <w:r>
              <w:rPr>
                <w:b/>
                <w:color w:val="FFFFFF"/>
              </w:rPr>
              <w:t>Experiment evidence</w:t>
            </w:r>
          </w:p>
        </w:tc>
        <w:tc>
          <w:tcPr>
            <w:tcW w:type="dxa" w:w="1999"/>
            <w:shd w:fill="1F4E78"/>
            <w:vAlign w:val="center"/>
          </w:tcPr>
          <w:p>
            <w:r>
              <w:rPr>
                <w:b/>
                <w:color w:val="FFFFFF"/>
              </w:rPr>
              <w:t>Figure/log</w:t>
            </w:r>
          </w:p>
        </w:tc>
        <w:tc>
          <w:tcPr>
            <w:tcW w:type="dxa" w:w="1999"/>
            <w:shd w:fill="1F4E78"/>
            <w:vAlign w:val="center"/>
          </w:tcPr>
          <w:p>
            <w:r>
              <w:rPr>
                <w:b/>
                <w:color w:val="FFFFFF"/>
              </w:rPr>
              <w:t>Open issue</w:t>
            </w:r>
          </w:p>
        </w:tc>
      </w:tr>
      <w:tr>
        <w:tc>
          <w:tcPr>
            <w:tcW w:type="dxa" w:w="1999"/>
            <w:vAlign w:val="top"/>
          </w:tcPr>
          <w:p>
            <w:pPr>
              <w:spacing w:after="20"/>
            </w:pPr>
            <w:r>
              <w:rPr>
                <w:sz w:val="18"/>
              </w:rPr>
              <w:t>Cross-model protected retrieval violation</w:t>
            </w:r>
          </w:p>
        </w:tc>
        <w:tc>
          <w:tcPr>
            <w:tcW w:type="dxa" w:w="1999"/>
            <w:vAlign w:val="top"/>
          </w:tcPr>
          <w:p>
            <w:pPr>
              <w:spacing w:after="20"/>
            </w:pPr>
            <w:r>
              <w:rPr>
                <w:sz w:val="18"/>
              </w:rPr>
              <w:t>probing/constraints</w:t>
            </w:r>
          </w:p>
        </w:tc>
        <w:tc>
          <w:tcPr>
            <w:tcW w:type="dxa" w:w="1999"/>
            <w:vAlign w:val="top"/>
          </w:tcPr>
          <w:p>
            <w:pPr>
              <w:spacing w:after="20"/>
            </w:pPr>
            <w:r>
              <w:rPr>
                <w:sz w:val="18"/>
              </w:rPr>
              <w:t>Run IDs</w:t>
            </w:r>
          </w:p>
        </w:tc>
        <w:tc>
          <w:tcPr>
            <w:tcW w:type="dxa" w:w="1999"/>
            <w:vAlign w:val="top"/>
          </w:tcPr>
          <w:p>
            <w:pPr>
              <w:spacing w:after="20"/>
            </w:pPr>
            <w:r>
              <w:rPr>
                <w:sz w:val="18"/>
              </w:rPr>
              <w:t>Violation explorer</w:t>
            </w:r>
          </w:p>
        </w:tc>
        <w:tc>
          <w:tcPr>
            <w:tcW w:type="dxa" w:w="1999"/>
            <w:vAlign w:val="top"/>
          </w:tcPr>
          <w:p>
            <w:pPr>
              <w:spacing w:after="20"/>
            </w:pPr>
            <w:r>
              <w:rPr>
                <w:sz w:val="18"/>
              </w:rPr>
            </w:r>
          </w:p>
        </w:tc>
      </w:tr>
      <w:tr>
        <w:tc>
          <w:tcPr>
            <w:tcW w:type="dxa" w:w="1999"/>
            <w:vAlign w:val="top"/>
          </w:tcPr>
          <w:p>
            <w:pPr>
              <w:spacing w:after="20"/>
            </w:pPr>
            <w:r>
              <w:rPr>
                <w:sz w:val="18"/>
              </w:rPr>
              <w:t>Counterfactual migration-action witness</w:t>
            </w:r>
          </w:p>
        </w:tc>
        <w:tc>
          <w:tcPr>
            <w:tcW w:type="dxa" w:w="1999"/>
            <w:vAlign w:val="top"/>
          </w:tcPr>
          <w:p>
            <w:pPr>
              <w:spacing w:after="20"/>
            </w:pPr>
            <w:r>
              <w:rPr>
                <w:sz w:val="18"/>
              </w:rPr>
              <w:t>witnesses/preview</w:t>
            </w:r>
          </w:p>
        </w:tc>
        <w:tc>
          <w:tcPr>
            <w:tcW w:type="dxa" w:w="1999"/>
            <w:vAlign w:val="top"/>
          </w:tcPr>
          <w:p>
            <w:pPr>
              <w:spacing w:after="20"/>
            </w:pPr>
            <w:r>
              <w:rPr>
                <w:sz w:val="18"/>
              </w:rPr>
              <w:t>Ablation + delta-rank test</w:t>
            </w:r>
          </w:p>
        </w:tc>
        <w:tc>
          <w:tcPr>
            <w:tcW w:type="dxa" w:w="1999"/>
            <w:vAlign w:val="top"/>
          </w:tcPr>
          <w:p>
            <w:pPr>
              <w:spacing w:after="20"/>
            </w:pPr>
            <w:r>
              <w:rPr>
                <w:sz w:val="18"/>
              </w:rPr>
              <w:t>Witness graph</w:t>
            </w:r>
          </w:p>
        </w:tc>
        <w:tc>
          <w:tcPr>
            <w:tcW w:type="dxa" w:w="1999"/>
            <w:vAlign w:val="top"/>
          </w:tcPr>
          <w:p>
            <w:pPr>
              <w:spacing w:after="20"/>
            </w:pPr>
            <w:r>
              <w:rPr>
                <w:sz w:val="18"/>
              </w:rPr>
            </w:r>
          </w:p>
        </w:tc>
      </w:tr>
      <w:tr>
        <w:tc>
          <w:tcPr>
            <w:tcW w:type="dxa" w:w="1999"/>
            <w:vAlign w:val="top"/>
          </w:tcPr>
          <w:p>
            <w:pPr>
              <w:spacing w:after="20"/>
            </w:pPr>
            <w:r>
              <w:rPr>
                <w:sz w:val="18"/>
              </w:rPr>
              <w:t>Technical-cost candidate repair</w:t>
            </w:r>
          </w:p>
        </w:tc>
        <w:tc>
          <w:tcPr>
            <w:tcW w:type="dxa" w:w="1999"/>
            <w:vAlign w:val="top"/>
          </w:tcPr>
          <w:p>
            <w:pPr>
              <w:spacing w:after="20"/>
            </w:pPr>
            <w:r>
              <w:rPr>
                <w:sz w:val="18"/>
              </w:rPr>
              <w:t>optimizer</w:t>
            </w:r>
          </w:p>
        </w:tc>
        <w:tc>
          <w:tcPr>
            <w:tcW w:type="dxa" w:w="1999"/>
            <w:vAlign w:val="top"/>
          </w:tcPr>
          <w:p>
            <w:pPr>
              <w:spacing w:after="20"/>
            </w:pPr>
            <w:r>
              <w:rPr>
                <w:sz w:val="18"/>
              </w:rPr>
              <w:t>Cost curves + ILP comparison</w:t>
            </w:r>
          </w:p>
        </w:tc>
        <w:tc>
          <w:tcPr>
            <w:tcW w:type="dxa" w:w="1999"/>
            <w:vAlign w:val="top"/>
          </w:tcPr>
          <w:p>
            <w:pPr>
              <w:spacing w:after="20"/>
            </w:pPr>
            <w:r>
              <w:rPr>
                <w:sz w:val="18"/>
              </w:rPr>
              <w:t>Repair table</w:t>
            </w:r>
          </w:p>
        </w:tc>
        <w:tc>
          <w:tcPr>
            <w:tcW w:type="dxa" w:w="1999"/>
            <w:vAlign w:val="top"/>
          </w:tcPr>
          <w:p>
            <w:pPr>
              <w:spacing w:after="20"/>
            </w:pPr>
            <w:r>
              <w:rPr>
                <w:sz w:val="18"/>
              </w:rPr>
            </w:r>
          </w:p>
        </w:tc>
      </w:tr>
      <w:tr>
        <w:tc>
          <w:tcPr>
            <w:tcW w:type="dxa" w:w="1999"/>
            <w:vAlign w:val="top"/>
          </w:tcPr>
          <w:p>
            <w:pPr>
              <w:spacing w:after="20"/>
            </w:pPr>
            <w:r>
              <w:rPr>
                <w:sz w:val="18"/>
              </w:rPr>
              <w:t>Non-durable mixed-version preview</w:t>
            </w:r>
          </w:p>
        </w:tc>
        <w:tc>
          <w:tcPr>
            <w:tcW w:type="dxa" w:w="1999"/>
            <w:vAlign w:val="top"/>
          </w:tcPr>
          <w:p>
            <w:pPr>
              <w:spacing w:after="20"/>
            </w:pPr>
            <w:r>
              <w:rPr>
                <w:sz w:val="18"/>
              </w:rPr>
              <w:t>preview/retrieval</w:t>
            </w:r>
          </w:p>
        </w:tc>
        <w:tc>
          <w:tcPr>
            <w:tcW w:type="dxa" w:w="1999"/>
            <w:vAlign w:val="top"/>
          </w:tcPr>
          <w:p>
            <w:pPr>
              <w:spacing w:after="20"/>
            </w:pPr>
            <w:r>
              <w:rPr>
                <w:sz w:val="18"/>
              </w:rPr>
              <w:t>Preview-vs-commit parity test</w:t>
            </w:r>
          </w:p>
        </w:tc>
        <w:tc>
          <w:tcPr>
            <w:tcW w:type="dxa" w:w="1999"/>
            <w:vAlign w:val="top"/>
          </w:tcPr>
          <w:p>
            <w:pPr>
              <w:spacing w:after="20"/>
            </w:pPr>
            <w:r>
              <w:rPr>
                <w:sz w:val="18"/>
              </w:rPr>
              <w:t>Preview architecture</w:t>
            </w:r>
          </w:p>
        </w:tc>
        <w:tc>
          <w:tcPr>
            <w:tcW w:type="dxa" w:w="1999"/>
            <w:vAlign w:val="top"/>
          </w:tcPr>
          <w:p>
            <w:pPr>
              <w:spacing w:after="20"/>
            </w:pPr>
            <w:r>
              <w:rPr>
                <w:sz w:val="18"/>
              </w:rPr>
            </w:r>
          </w:p>
        </w:tc>
      </w:tr>
      <w:tr>
        <w:tc>
          <w:tcPr>
            <w:tcW w:type="dxa" w:w="1999"/>
            <w:vAlign w:val="top"/>
          </w:tcPr>
          <w:p>
            <w:pPr>
              <w:spacing w:after="20"/>
            </w:pPr>
            <w:r>
              <w:rPr>
                <w:sz w:val="18"/>
              </w:rPr>
              <w:t>Safety-controlled commit</w:t>
            </w:r>
          </w:p>
        </w:tc>
        <w:tc>
          <w:tcPr>
            <w:tcW w:type="dxa" w:w="1999"/>
            <w:vAlign w:val="top"/>
          </w:tcPr>
          <w:p>
            <w:pPr>
              <w:spacing w:after="20"/>
            </w:pPr>
            <w:r>
              <w:rPr>
                <w:sz w:val="18"/>
              </w:rPr>
              <w:t>barrier/migration</w:t>
            </w:r>
          </w:p>
        </w:tc>
        <w:tc>
          <w:tcPr>
            <w:tcW w:type="dxa" w:w="1999"/>
            <w:vAlign w:val="top"/>
          </w:tcPr>
          <w:p>
            <w:pPr>
              <w:spacing w:after="20"/>
            </w:pPr>
            <w:r>
              <w:rPr>
                <w:sz w:val="18"/>
              </w:rPr>
              <w:t>No-barrier ablation + rejected repair case</w:t>
            </w:r>
          </w:p>
        </w:tc>
        <w:tc>
          <w:tcPr>
            <w:tcW w:type="dxa" w:w="1999"/>
            <w:vAlign w:val="top"/>
          </w:tcPr>
          <w:p>
            <w:pPr>
              <w:spacing w:after="20"/>
            </w:pPr>
            <w:r>
              <w:rPr>
                <w:sz w:val="18"/>
              </w:rPr>
              <w:t>Barrier timeline</w:t>
            </w:r>
          </w:p>
        </w:tc>
        <w:tc>
          <w:tcPr>
            <w:tcW w:type="dxa" w:w="1999"/>
            <w:vAlign w:val="top"/>
          </w:tcPr>
          <w:p>
            <w:pPr>
              <w:spacing w:after="20"/>
            </w:pPr>
            <w:r>
              <w:rPr>
                <w:sz w:val="18"/>
              </w:rPr>
            </w:r>
          </w:p>
        </w:tc>
      </w:tr>
      <w:tr>
        <w:tc>
          <w:tcPr>
            <w:tcW w:type="dxa" w:w="1999"/>
            <w:vAlign w:val="top"/>
          </w:tcPr>
          <w:p>
            <w:pPr>
              <w:spacing w:after="20"/>
            </w:pPr>
            <w:r>
              <w:rPr>
                <w:sz w:val="18"/>
              </w:rPr>
              <w:t>Selective B/index mutation</w:t>
            </w:r>
          </w:p>
        </w:tc>
        <w:tc>
          <w:tcPr>
            <w:tcW w:type="dxa" w:w="1999"/>
            <w:vAlign w:val="top"/>
          </w:tcPr>
          <w:p>
            <w:pPr>
              <w:spacing w:after="20"/>
            </w:pPr>
            <w:r>
              <w:rPr>
                <w:sz w:val="18"/>
              </w:rPr>
              <w:t>migration/indexes</w:t>
            </w:r>
          </w:p>
        </w:tc>
        <w:tc>
          <w:tcPr>
            <w:tcW w:type="dxa" w:w="1999"/>
            <w:vAlign w:val="top"/>
          </w:tcPr>
          <w:p>
            <w:pPr>
              <w:spacing w:after="20"/>
            </w:pPr>
            <w:r>
              <w:rPr>
                <w:sz w:val="18"/>
              </w:rPr>
              <w:t>B calls/bytes/ANN work</w:t>
            </w:r>
          </w:p>
        </w:tc>
        <w:tc>
          <w:tcPr>
            <w:tcW w:type="dxa" w:w="1999"/>
            <w:vAlign w:val="top"/>
          </w:tcPr>
          <w:p>
            <w:pPr>
              <w:spacing w:after="20"/>
            </w:pPr>
            <w:r>
              <w:rPr>
                <w:sz w:val="18"/>
              </w:rPr>
              <w:t>Cost plot</w:t>
            </w:r>
          </w:p>
        </w:tc>
        <w:tc>
          <w:tcPr>
            <w:tcW w:type="dxa" w:w="1999"/>
            <w:vAlign w:val="top"/>
          </w:tcPr>
          <w:p>
            <w:pPr>
              <w:spacing w:after="20"/>
            </w:pPr>
            <w:r>
              <w:rPr>
                <w:sz w:val="18"/>
              </w:rPr>
            </w:r>
          </w:p>
        </w:tc>
      </w:tr>
      <w:tr>
        <w:tc>
          <w:tcPr>
            <w:tcW w:type="dxa" w:w="1999"/>
            <w:vAlign w:val="top"/>
          </w:tcPr>
          <w:p>
            <w:pPr>
              <w:spacing w:after="20"/>
            </w:pPr>
            <w:r>
              <w:rPr>
                <w:sz w:val="18"/>
              </w:rPr>
              <w:t>Repair expansion / scoped fallback</w:t>
            </w:r>
          </w:p>
        </w:tc>
        <w:tc>
          <w:tcPr>
            <w:tcW w:type="dxa" w:w="1999"/>
            <w:vAlign w:val="top"/>
          </w:tcPr>
          <w:p>
            <w:pPr>
              <w:spacing w:after="20"/>
            </w:pPr>
            <w:r>
              <w:rPr>
                <w:sz w:val="18"/>
              </w:rPr>
              <w:t>fallback/controller</w:t>
            </w:r>
          </w:p>
        </w:tc>
        <w:tc>
          <w:tcPr>
            <w:tcW w:type="dxa" w:w="1999"/>
            <w:vAlign w:val="top"/>
          </w:tcPr>
          <w:p>
            <w:pPr>
              <w:spacing w:after="20"/>
            </w:pPr>
            <w:r>
              <w:rPr>
                <w:sz w:val="18"/>
              </w:rPr>
              <w:t>Rejected preview scenario</w:t>
            </w:r>
          </w:p>
        </w:tc>
        <w:tc>
          <w:tcPr>
            <w:tcW w:type="dxa" w:w="1999"/>
            <w:vAlign w:val="top"/>
          </w:tcPr>
          <w:p>
            <w:pPr>
              <w:spacing w:after="20"/>
            </w:pPr>
            <w:r>
              <w:rPr>
                <w:sz w:val="18"/>
              </w:rPr>
              <w:t>Fallback log</w:t>
            </w:r>
          </w:p>
        </w:tc>
        <w:tc>
          <w:tcPr>
            <w:tcW w:type="dxa" w:w="1999"/>
            <w:vAlign w:val="top"/>
          </w:tcPr>
          <w:p>
            <w:pPr>
              <w:spacing w:after="20"/>
            </w:pPr>
            <w:r>
              <w:rPr>
                <w:sz w:val="18"/>
              </w:rPr>
            </w:r>
          </w:p>
        </w:tc>
      </w:tr>
    </w:tbl>
    <w:p/>
    <w:p>
      <w:r>
        <w:br w:type="page"/>
      </w:r>
    </w:p>
    <w:p>
      <w:pPr>
        <w:pStyle w:val="Heading1"/>
      </w:pPr>
      <w:r>
        <w:t>Appendix D. Glossary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F4E78"/>
            <w:vAlign w:val="center"/>
          </w:tcPr>
          <w:p>
            <w:r>
              <w:rPr>
                <w:b/>
                <w:color w:val="FFFFFF"/>
              </w:rPr>
              <w:t>Term</w:t>
            </w:r>
          </w:p>
        </w:tc>
        <w:tc>
          <w:tcPr>
            <w:tcW w:type="dxa" w:w="8208"/>
            <w:shd w:fill="1F4E78"/>
            <w:vAlign w:val="center"/>
          </w:tcPr>
          <w:p>
            <w:r>
              <w:rPr>
                <w:b/>
                <w:color w:val="FFFFFF"/>
              </w:rPr>
              <w:t>Definition</w:t>
            </w:r>
          </w:p>
        </w:tc>
      </w:tr>
      <w:tr>
        <w:tc>
          <w:tcPr>
            <w:tcW w:type="dxa" w:w="2160"/>
            <w:vAlign w:val="top"/>
          </w:tcPr>
          <w:p>
            <w:pPr>
              <w:spacing w:after="20"/>
            </w:pPr>
            <w:r>
              <w:rPr>
                <w:sz w:val="18"/>
              </w:rPr>
              <w:t>ANN</w:t>
            </w:r>
          </w:p>
        </w:tc>
        <w:tc>
          <w:tcPr>
            <w:tcW w:type="dxa" w:w="8208"/>
            <w:vAlign w:val="top"/>
          </w:tcPr>
          <w:p>
            <w:pPr>
              <w:spacing w:after="20"/>
            </w:pPr>
            <w:r>
              <w:rPr>
                <w:sz w:val="18"/>
              </w:rPr>
              <w:t>Approximate Nearest Neighbor; an index/search technique for retrieving close high-dimensional vectors efficiently.</w:t>
            </w:r>
          </w:p>
        </w:tc>
      </w:tr>
      <w:tr>
        <w:tc>
          <w:tcPr>
            <w:tcW w:type="dxa" w:w="2160"/>
            <w:vAlign w:val="top"/>
          </w:tcPr>
          <w:p>
            <w:pPr>
              <w:spacing w:after="20"/>
            </w:pPr>
            <w:r>
              <w:rPr>
                <w:sz w:val="18"/>
              </w:rPr>
              <w:t>Embedding</w:t>
            </w:r>
          </w:p>
        </w:tc>
        <w:tc>
          <w:tcPr>
            <w:tcW w:type="dxa" w:w="8208"/>
            <w:vAlign w:val="top"/>
          </w:tcPr>
          <w:p>
            <w:pPr>
              <w:spacing w:after="20"/>
            </w:pPr>
            <w:r>
              <w:rPr>
                <w:sz w:val="18"/>
              </w:rPr>
              <w:t>Numeric vector representation produced by a machine-learning model.</w:t>
            </w:r>
          </w:p>
        </w:tc>
      </w:tr>
      <w:tr>
        <w:tc>
          <w:tcPr>
            <w:tcW w:type="dxa" w:w="2160"/>
            <w:vAlign w:val="top"/>
          </w:tcPr>
          <w:p>
            <w:pPr>
              <w:spacing w:after="20"/>
            </w:pPr>
            <w:r>
              <w:rPr>
                <w:sz w:val="18"/>
              </w:rPr>
              <w:t>Embedding backfill</w:t>
            </w:r>
          </w:p>
        </w:tc>
        <w:tc>
          <w:tcPr>
            <w:tcW w:type="dxa" w:w="8208"/>
            <w:vAlign w:val="top"/>
          </w:tcPr>
          <w:p>
            <w:pPr>
              <w:spacing w:after="20"/>
            </w:pPr>
            <w:r>
              <w:rPr>
                <w:sz w:val="18"/>
              </w:rPr>
              <w:t>Recomputing stored embeddings for an existing corpus using a new model.</w:t>
            </w:r>
          </w:p>
        </w:tc>
      </w:tr>
      <w:tr>
        <w:tc>
          <w:tcPr>
            <w:tcW w:type="dxa" w:w="2160"/>
            <w:vAlign w:val="top"/>
          </w:tcPr>
          <w:p>
            <w:pPr>
              <w:spacing w:after="20"/>
            </w:pPr>
            <w:r>
              <w:rPr>
                <w:sz w:val="18"/>
              </w:rPr>
              <w:t>RAG</w:t>
            </w:r>
          </w:p>
        </w:tc>
        <w:tc>
          <w:tcPr>
            <w:tcW w:type="dxa" w:w="8208"/>
            <w:vAlign w:val="top"/>
          </w:tcPr>
          <w:p>
            <w:pPr>
              <w:spacing w:after="20"/>
            </w:pPr>
            <w:r>
              <w:rPr>
                <w:sz w:val="18"/>
              </w:rPr>
              <w:t>Retrieval-Augmented Generation; a system that retrieves external information for use by a generative model.</w:t>
            </w:r>
          </w:p>
        </w:tc>
      </w:tr>
      <w:tr>
        <w:tc>
          <w:tcPr>
            <w:tcW w:type="dxa" w:w="2160"/>
            <w:vAlign w:val="top"/>
          </w:tcPr>
          <w:p>
            <w:pPr>
              <w:spacing w:after="20"/>
            </w:pPr>
            <w:r>
              <w:rPr>
                <w:sz w:val="18"/>
              </w:rPr>
              <w:t>qrels</w:t>
            </w:r>
          </w:p>
        </w:tc>
        <w:tc>
          <w:tcPr>
            <w:tcW w:type="dxa" w:w="8208"/>
            <w:vAlign w:val="top"/>
          </w:tcPr>
          <w:p>
            <w:pPr>
              <w:spacing w:after="20"/>
            </w:pPr>
            <w:r>
              <w:rPr>
                <w:sz w:val="18"/>
              </w:rPr>
              <w:t>Query relevance judgments used to evaluate information-retrieval systems.</w:t>
            </w:r>
          </w:p>
        </w:tc>
      </w:tr>
      <w:tr>
        <w:tc>
          <w:tcPr>
            <w:tcW w:type="dxa" w:w="2160"/>
            <w:vAlign w:val="top"/>
          </w:tcPr>
          <w:p>
            <w:pPr>
              <w:spacing w:after="20"/>
            </w:pPr>
            <w:r>
              <w:rPr>
                <w:sz w:val="18"/>
              </w:rPr>
              <w:t>Recall@k</w:t>
            </w:r>
          </w:p>
        </w:tc>
        <w:tc>
          <w:tcPr>
            <w:tcW w:type="dxa" w:w="8208"/>
            <w:vAlign w:val="top"/>
          </w:tcPr>
          <w:p>
            <w:pPr>
              <w:spacing w:after="20"/>
            </w:pPr>
            <w:r>
              <w:rPr>
                <w:sz w:val="18"/>
              </w:rPr>
              <w:t>Fraction of relevant items recovered in the first k results.</w:t>
            </w:r>
          </w:p>
        </w:tc>
      </w:tr>
      <w:tr>
        <w:tc>
          <w:tcPr>
            <w:tcW w:type="dxa" w:w="2160"/>
            <w:vAlign w:val="top"/>
          </w:tcPr>
          <w:p>
            <w:pPr>
              <w:spacing w:after="20"/>
            </w:pPr>
            <w:r>
              <w:rPr>
                <w:sz w:val="18"/>
              </w:rPr>
              <w:t>nDCG</w:t>
            </w:r>
          </w:p>
        </w:tc>
        <w:tc>
          <w:tcPr>
            <w:tcW w:type="dxa" w:w="8208"/>
            <w:vAlign w:val="top"/>
          </w:tcPr>
          <w:p>
            <w:pPr>
              <w:spacing w:after="20"/>
            </w:pPr>
            <w:r>
              <w:rPr>
                <w:sz w:val="18"/>
              </w:rPr>
              <w:t>Normalized Discounted Cumulative Gain; ranking-quality metric that rewards relevant items near the top.</w:t>
            </w:r>
          </w:p>
        </w:tc>
      </w:tr>
      <w:tr>
        <w:tc>
          <w:tcPr>
            <w:tcW w:type="dxa" w:w="2160"/>
            <w:vAlign w:val="top"/>
          </w:tcPr>
          <w:p>
            <w:pPr>
              <w:spacing w:after="20"/>
            </w:pPr>
            <w:r>
              <w:rPr>
                <w:sz w:val="18"/>
              </w:rPr>
              <w:t>MRR</w:t>
            </w:r>
          </w:p>
        </w:tc>
        <w:tc>
          <w:tcPr>
            <w:tcW w:type="dxa" w:w="8208"/>
            <w:vAlign w:val="top"/>
          </w:tcPr>
          <w:p>
            <w:pPr>
              <w:spacing w:after="20"/>
            </w:pPr>
            <w:r>
              <w:rPr>
                <w:sz w:val="18"/>
              </w:rPr>
              <w:t>Mean Reciprocal Rank; ranking metric based on the rank of the first relevant result.</w:t>
            </w:r>
          </w:p>
        </w:tc>
      </w:tr>
      <w:tr>
        <w:tc>
          <w:tcPr>
            <w:tcW w:type="dxa" w:w="2160"/>
            <w:vAlign w:val="top"/>
          </w:tcPr>
          <w:p>
            <w:pPr>
              <w:spacing w:after="20"/>
            </w:pPr>
            <w:r>
              <w:rPr>
                <w:sz w:val="18"/>
              </w:rPr>
              <w:t>RRF</w:t>
            </w:r>
          </w:p>
        </w:tc>
        <w:tc>
          <w:tcPr>
            <w:tcW w:type="dxa" w:w="8208"/>
            <w:vAlign w:val="top"/>
          </w:tcPr>
          <w:p>
            <w:pPr>
              <w:spacing w:after="20"/>
            </w:pPr>
            <w:r>
              <w:rPr>
                <w:sz w:val="18"/>
              </w:rPr>
              <w:t>Reciprocal Rank Fusion; combines ranked lists using rank positions rather than raw scores.</w:t>
            </w:r>
          </w:p>
        </w:tc>
      </w:tr>
      <w:tr>
        <w:tc>
          <w:tcPr>
            <w:tcW w:type="dxa" w:w="2160"/>
            <w:vAlign w:val="top"/>
          </w:tcPr>
          <w:p>
            <w:pPr>
              <w:spacing w:after="20"/>
            </w:pPr>
            <w:r>
              <w:rPr>
                <w:sz w:val="18"/>
              </w:rPr>
              <w:t>Candidate Envelope</w:t>
            </w:r>
          </w:p>
        </w:tc>
        <w:tc>
          <w:tcPr>
            <w:tcW w:type="dxa" w:w="8208"/>
            <w:vAlign w:val="top"/>
          </w:tcPr>
          <w:p>
            <w:pPr>
              <w:spacing w:after="20"/>
            </w:pPr>
            <w:r>
              <w:rPr>
                <w:sz w:val="18"/>
              </w:rPr>
              <w:t>Selective B-side evidence set used to reason about retrieval changes without full corpus B encoding.</w:t>
            </w:r>
          </w:p>
        </w:tc>
      </w:tr>
      <w:tr>
        <w:tc>
          <w:tcPr>
            <w:tcW w:type="dxa" w:w="2160"/>
            <w:vAlign w:val="top"/>
          </w:tcPr>
          <w:p>
            <w:pPr>
              <w:spacing w:after="20"/>
            </w:pPr>
            <w:r>
              <w:rPr>
                <w:sz w:val="18"/>
              </w:rPr>
              <w:t>Witness Hypergraph</w:t>
            </w:r>
          </w:p>
        </w:tc>
        <w:tc>
          <w:tcPr>
            <w:tcW w:type="dxa" w:w="8208"/>
            <w:vAlign w:val="top"/>
          </w:tcPr>
          <w:p>
            <w:pPr>
              <w:spacing w:after="20"/>
            </w:pPr>
            <w:r>
              <w:rPr>
                <w:sz w:val="18"/>
              </w:rPr>
              <w:t>Graph-like data structure connecting protected retrieval violations to candidate migration actions.</w:t>
            </w:r>
          </w:p>
        </w:tc>
      </w:tr>
      <w:tr>
        <w:tc>
          <w:tcPr>
            <w:tcW w:type="dxa" w:w="2160"/>
            <w:vAlign w:val="top"/>
          </w:tcPr>
          <w:p>
            <w:pPr>
              <w:spacing w:after="20"/>
            </w:pPr>
            <w:r>
              <w:rPr>
                <w:sz w:val="18"/>
              </w:rPr>
              <w:t>Preview State</w:t>
            </w:r>
          </w:p>
        </w:tc>
        <w:tc>
          <w:tcPr>
            <w:tcW w:type="dxa" w:w="8208"/>
            <w:vAlign w:val="top"/>
          </w:tcPr>
          <w:p>
            <w:pPr>
              <w:spacing w:after="20"/>
            </w:pPr>
            <w:r>
              <w:rPr>
                <w:sz w:val="18"/>
              </w:rPr>
              <w:t>Non-durable copy-on-write/shadow representation of a candidate mixed A/B state.</w:t>
            </w:r>
          </w:p>
        </w:tc>
      </w:tr>
      <w:tr>
        <w:tc>
          <w:tcPr>
            <w:tcW w:type="dxa" w:w="2160"/>
            <w:vAlign w:val="top"/>
          </w:tcPr>
          <w:p>
            <w:pPr>
              <w:spacing w:after="20"/>
            </w:pPr>
            <w:r>
              <w:rPr>
                <w:sz w:val="18"/>
              </w:rPr>
              <w:t>Barrier</w:t>
            </w:r>
          </w:p>
        </w:tc>
        <w:tc>
          <w:tcPr>
            <w:tcW w:type="dxa" w:w="8208"/>
            <w:vAlign w:val="top"/>
          </w:tcPr>
          <w:p>
            <w:pPr>
              <w:spacing w:after="20"/>
            </w:pPr>
            <w:r>
              <w:rPr>
                <w:sz w:val="18"/>
              </w:rPr>
              <w:t>Safety-admissibility test that controls whether a preview migration action can become durable.</w:t>
            </w:r>
          </w:p>
        </w:tc>
      </w:tr>
      <w:tr>
        <w:tc>
          <w:tcPr>
            <w:tcW w:type="dxa" w:w="2160"/>
            <w:vAlign w:val="top"/>
          </w:tcPr>
          <w:p>
            <w:pPr>
              <w:spacing w:after="20"/>
            </w:pPr>
            <w:r>
              <w:rPr>
                <w:sz w:val="18"/>
              </w:rPr>
              <w:t>Fallback</w:t>
            </w:r>
          </w:p>
        </w:tc>
        <w:tc>
          <w:tcPr>
            <w:tcW w:type="dxa" w:w="8208"/>
            <w:vAlign w:val="top"/>
          </w:tcPr>
          <w:p>
            <w:pPr>
              <w:spacing w:after="20"/>
            </w:pPr>
            <w:r>
              <w:rPr>
                <w:sz w:val="18"/>
              </w:rPr>
              <w:t>Known-safe retrieval path used when evidence or migration safety is insufficient.</w:t>
            </w:r>
          </w:p>
        </w:tc>
      </w:tr>
      <w:tr>
        <w:tc>
          <w:tcPr>
            <w:tcW w:type="dxa" w:w="2160"/>
            <w:vAlign w:val="top"/>
          </w:tcPr>
          <w:p>
            <w:pPr>
              <w:spacing w:after="20"/>
            </w:pPr>
            <w:r>
              <w:rPr>
                <w:sz w:val="18"/>
              </w:rPr>
              <w:t>Migration Epoch</w:t>
            </w:r>
          </w:p>
        </w:tc>
        <w:tc>
          <w:tcPr>
            <w:tcW w:type="dxa" w:w="8208"/>
            <w:vAlign w:val="top"/>
          </w:tcPr>
          <w:p>
            <w:pPr>
              <w:spacing w:after="20"/>
            </w:pPr>
            <w:r>
              <w:rPr>
                <w:sz w:val="18"/>
              </w:rPr>
              <w:t>Versioned durable step of the A→B transition.</w:t>
            </w:r>
          </w:p>
        </w:tc>
      </w:tr>
      <w:tr>
        <w:tc>
          <w:tcPr>
            <w:tcW w:type="dxa" w:w="2160"/>
            <w:vAlign w:val="top"/>
          </w:tcPr>
          <w:p>
            <w:pPr>
              <w:spacing w:after="20"/>
            </w:pPr>
            <w:r>
              <w:rPr>
                <w:sz w:val="18"/>
              </w:rPr>
              <w:t>Source-Version Binding</w:t>
            </w:r>
          </w:p>
        </w:tc>
        <w:tc>
          <w:tcPr>
            <w:tcW w:type="dxa" w:w="8208"/>
            <w:vAlign w:val="top"/>
          </w:tcPr>
          <w:p>
            <w:pPr>
              <w:spacing w:after="20"/>
            </w:pPr>
            <w:r>
              <w:rPr>
                <w:sz w:val="18"/>
              </w:rPr>
              <w:t>Requirement that a B embedding is committed only for the same source version/hash from which it was computed.</w:t>
            </w:r>
          </w:p>
        </w:tc>
      </w:tr>
      <w:tr>
        <w:tc>
          <w:tcPr>
            <w:tcW w:type="dxa" w:w="2160"/>
            <w:vAlign w:val="top"/>
          </w:tcPr>
          <w:p>
            <w:pPr>
              <w:spacing w:after="20"/>
            </w:pPr>
            <w:r>
              <w:rPr>
                <w:sz w:val="18"/>
              </w:rPr>
              <w:t>Protected Safety Floor</w:t>
            </w:r>
          </w:p>
        </w:tc>
        <w:tc>
          <w:tcPr>
            <w:tcW w:type="dxa" w:w="8208"/>
            <w:vAlign w:val="top"/>
          </w:tcPr>
          <w:p>
            <w:pPr>
              <w:spacing w:after="20"/>
            </w:pPr>
            <w:r>
              <w:rPr>
                <w:sz w:val="18"/>
              </w:rPr>
              <w:t>Explicit retrieval behavior that cannot be violated during migration.</w:t>
            </w:r>
          </w:p>
        </w:tc>
      </w:tr>
      <w:tr>
        <w:tc>
          <w:tcPr>
            <w:tcW w:type="dxa" w:w="2160"/>
            <w:vAlign w:val="top"/>
          </w:tcPr>
          <w:p>
            <w:pPr>
              <w:spacing w:after="20"/>
            </w:pPr>
            <w:r>
              <w:rPr>
                <w:sz w:val="18"/>
              </w:rPr>
              <w:t>Progress Objective</w:t>
            </w:r>
          </w:p>
        </w:tc>
        <w:tc>
          <w:tcPr>
            <w:tcW w:type="dxa" w:w="8208"/>
            <w:vAlign w:val="top"/>
          </w:tcPr>
          <w:p>
            <w:pPr>
              <w:spacing w:after="20"/>
            </w:pPr>
            <w:r>
              <w:rPr>
                <w:sz w:val="18"/>
              </w:rPr>
              <w:t>Metric measuring movement toward the quality of Full-B or another target state.</w:t>
            </w:r>
          </w:p>
        </w:tc>
      </w:tr>
    </w:tbl>
    <w:p/>
    <w:p>
      <w:pPr>
        <w:jc w:val="center"/>
      </w:pPr>
      <w:r>
        <w:rPr>
          <w:b/>
          <w:sz w:val="24"/>
        </w:rPr>
        <w:t>END OF MASTER FREEZE &amp; IMPLEMENTATION BIBLE — TOPOPATCH-CMR v4.1</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 xml:space="preserve">Working technical/patent-strategy draft — not legal advice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TopoPatch v4.1 | Final Frozen R&amp;D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qdrant.tech/documentation/tutorials-operations/embedding-model-migration/" TargetMode="External"/><Relationship Id="rId15" Type="http://schemas.openxmlformats.org/officeDocument/2006/relationships/hyperlink" Target="https://docs.weaviate.io/weaviate/tutorials/vectorizer-migration" TargetMode="External"/><Relationship Id="rId16" Type="http://schemas.openxmlformats.org/officeDocument/2006/relationships/hyperlink" Target="https://patents.google.com/patent/US20240303516A1/en" TargetMode="External"/><Relationship Id="rId17" Type="http://schemas.openxmlformats.org/officeDocument/2006/relationships/hyperlink" Target="https://patents.google.com/patent/US20250342179A1" TargetMode="External"/><Relationship Id="rId18" Type="http://schemas.openxmlformats.org/officeDocument/2006/relationships/hyperlink" Target="https://arxiv.org/abs/2410.14452" TargetMode="External"/><Relationship Id="rId19" Type="http://schemas.openxmlformats.org/officeDocument/2006/relationships/hyperlink" Target="https://arxiv.org/abs/2503.00402" TargetMode="External"/><Relationship Id="rId20" Type="http://schemas.openxmlformats.org/officeDocument/2006/relationships/hyperlink" Target="https://arxiv.org/abs/2206.03040" TargetMode="External"/><Relationship Id="rId21" Type="http://schemas.openxmlformats.org/officeDocument/2006/relationships/hyperlink" Target="https://openaccess.thecvf.com/content/CVPR2022/html/Ramanujan_Forward_Compatible_Training_for_Large-Scale_Embedding_Retrieval_Systems_CVPR_2022_paper.html" TargetMode="External"/><Relationship Id="rId22" Type="http://schemas.openxmlformats.org/officeDocument/2006/relationships/hyperlink" Target="https://ojs.aaai.org/index.php/AAAI/article/view/25447" TargetMode="External"/><Relationship Id="rId23" Type="http://schemas.openxmlformats.org/officeDocument/2006/relationships/hyperlink" Target="https://patents.justia.com/patent/20260195572" TargetMode="External"/><Relationship Id="rId24" Type="http://schemas.openxmlformats.org/officeDocument/2006/relationships/hyperlink" Target="https://doi.org/10.1145/3511808.3557256" TargetMode="External"/><Relationship Id="rId25" Type="http://schemas.openxmlformats.org/officeDocument/2006/relationships/hyperlink" Target="https://arxiv.org/abs/1903.11199" TargetMode="External"/><Relationship Id="rId26" Type="http://schemas.openxmlformats.org/officeDocument/2006/relationships/hyperlink" Target="https://proceedings.iclr.cc/paper_files/paper/2025/hash/8c4d21a4b33361c40c2142db9511c126-Abstract-Conference.html" TargetMode="External"/><Relationship Id="rId27" Type="http://schemas.openxmlformats.org/officeDocument/2006/relationships/hyperlink" Target="https://faiss.ai/" TargetMode="External"/><Relationship Id="rId28" Type="http://schemas.openxmlformats.org/officeDocument/2006/relationships/hyperlink" Target="https://qdrant.tech/documentation/manage-data/vectors/" TargetMode="External"/><Relationship Id="rId29" Type="http://schemas.openxmlformats.org/officeDocument/2006/relationships/hyperlink" Target="https://www.uspto.gov/web/offices/pac/mpep/s2106.html" TargetMode="External"/><Relationship Id="rId30" Type="http://schemas.openxmlformats.org/officeDocument/2006/relationships/hyperlink" Target="https://www.uspto.gov/web/offices/pac/mpep/s2141.html" TargetMode="External"/><Relationship Id="rId31" Type="http://schemas.openxmlformats.org/officeDocument/2006/relationships/hyperlink" Target="https://www.epo.org/en/legal/guidelines-epc/2026/j.html" TargetMode="External"/><Relationship Id="rId32" Type="http://schemas.openxmlformats.org/officeDocument/2006/relationships/hyperlink" Target="https://ipindia.gov.in/resource/patents-resources-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TopoPatch-CMR v4.1 — Master Freeze &amp; Implementation Bible</dc:title>
  <dc:subject>Complete technical, implementation, experimental and patent/R&amp;D specification for TopoPatch</dc:subject>
  <dc:creator>OpenAI / User working draft</dc:creator>
  <cp:keywords>TopoPatch, vector database, embedding migration, ANN, RAG, patent, information retrieval</cp:keywords>
  <dc:description>Frozen implementation specification. Technical/patent-strategy working document; not legal advice.</dc:description>
  <cp:lastModifiedBy/>
  <cp:revision>1</cp:revision>
  <dcterms:created xsi:type="dcterms:W3CDTF">2013-12-23T23:15:00Z</dcterms:created>
  <dcterms:modified xsi:type="dcterms:W3CDTF">2013-12-23T23:15:00Z</dcterms:modified>
  <cp:category/>
</cp:coreProperties>
</file>