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color w:val="1F3864"/>
          <w:sz w:val="40"/>
          <w:szCs w:val="40"/>
        </w:rPr>
        <w:t xml:space="preserve">The Missing Layer:</w:t>
      </w:r>
    </w:p>
    <w:p>
      <w:pPr>
        <w:spacing w:before="0" w:after="80"/>
        <w:jc w:val="center"/>
      </w:pPr>
      <w:r>
        <w:rPr>
          <w:rFonts w:ascii="Calibri" w:cs="Calibri" w:eastAsia="Calibri" w:hAnsi="Calibri"/>
          <w:b w:val="false"/>
          <w:bCs w:val="false"/>
          <w:color w:val="2E5496"/>
          <w:sz w:val="30"/>
          <w:szCs w:val="30"/>
        </w:rPr>
        <w:t xml:space="preserve">Financial Infrastructure for the Autonomous Agent Economy</w:t>
      </w:r>
    </w:p>
    <w:p>
      <w:pPr>
        <w:pBdr>
          <w:bottom w:val="single" w:color="2E5496" w:sz="4" w:space="1"/>
        </w:pBdr>
        <w:spacing w:before="0" w:after="480"/>
        <w:jc w:val="center"/>
      </w:pPr>
      <w:r>
        <w:t xml:space="preserve"/>
      </w:r>
    </w:p>
    <w:p>
      <w:pPr>
        <w:pStyle w:val="Heading1"/>
      </w:pPr>
      <w:r>
        <w:t xml:space="preserve">Introduction</w:t>
      </w:r>
    </w:p>
    <w:p>
      <w:pPr>
        <w:spacing w:before="0" w:after="200"/>
        <w:jc w:val="both"/>
      </w:pPr>
      <w:r>
        <w:rPr>
          <w:rFonts w:ascii="Calibri" w:cs="Calibri" w:eastAsia="Calibri" w:hAnsi="Calibri"/>
          <w:sz w:val="22"/>
          <w:szCs w:val="22"/>
        </w:rPr>
        <w:t xml:space="preserve">The first wave of Generative AI was defined by 'chat' — the ability of Large Language Models to simulate human conversation. However, we are now entering the second wave: the Autonomous Agent Economy. In this new paradigm, AI systems are no longer just talking; they are acting, using tools, and making real-world economic decisions. For AI to become a standard part of the global workforce, businesses must move from 'token-counting' to Unit Economics.</w:t>
      </w:r>
    </w:p>
    <w:p>
      <w:pPr>
        <w:spacing w:before="0" w:after="200"/>
        <w:jc w:val="both"/>
      </w:pPr>
      <w:r>
        <w:rPr>
          <w:rFonts w:ascii="Calibri" w:cs="Calibri" w:eastAsia="Calibri" w:hAnsi="Calibri"/>
          <w:sz w:val="22"/>
          <w:szCs w:val="22"/>
        </w:rPr>
        <w:t xml:space="preserve">MetricAI provides the financial dashboard required to bridge this gap, ensuring that the intelligence of an agent never exceeds its economic value — by providing complete visibility over cross-provider spending and behaviour.</w:t>
      </w:r>
    </w:p>
    <w:p>
      <w:pPr>
        <w:pStyle w:val="Heading1"/>
      </w:pPr>
      <w:r>
        <w:t xml:space="preserve">The Problem: What is the Measurement Gap?</w:t>
      </w:r>
    </w:p>
    <w:p>
      <w:pPr>
        <w:spacing w:before="0" w:after="200"/>
        <w:jc w:val="both"/>
      </w:pPr>
      <w:r>
        <w:rPr>
          <w:rFonts w:ascii="Calibri" w:cs="Calibri" w:eastAsia="Calibri" w:hAnsi="Calibri"/>
          <w:sz w:val="22"/>
          <w:szCs w:val="22"/>
        </w:rPr>
        <w:t xml:space="preserve">While startups and enterprises are rapidly deploying autonomous agents to automate complex workflows, they are encountering a critical 'Measurement Gap' in their production environments. Current AI agent architectures are often non-deterministic; an agent may execute an unpredictable number of recursive API calls, sub-optimal tool selections, and high-context reasoning loops to complete a single objective. Without specialized infrastructure, this leads to Broken Unit Economics, where the cost-to-serve exceeds the business value generated.</w:t>
      </w:r>
    </w:p>
    <w:p>
      <w:pPr>
        <w:spacing w:before="0" w:after="200"/>
        <w:jc w:val="both"/>
      </w:pPr>
      <w:r>
        <w:rPr>
          <w:rFonts w:ascii="Calibri" w:cs="Calibri" w:eastAsia="Calibri" w:hAnsi="Calibri"/>
          <w:sz w:val="22"/>
          <w:szCs w:val="22"/>
        </w:rPr>
        <w:t xml:space="preserve">MetricAI addresses this by providing a unified Observability and Financial Orchestration layer. By monitoring execution latency, token-level unit costs, and resource utilization across fragmented providers, MetricAI transforms raw computational usage into economically intelligible insights — allowing developers to audit the 'call economy' and ensure their autonomous systems are both performant and profitable.</w:t>
      </w:r>
    </w:p>
    <w:p>
      <w:pPr>
        <w:pStyle w:val="Heading1"/>
      </w:pPr>
      <w:r>
        <w:t xml:space="preserve">Why AI Agents Require Measurement Infrastructure in Production</w:t>
      </w:r>
    </w:p>
    <w:p>
      <w:pPr>
        <w:spacing w:before="0" w:after="200"/>
        <w:jc w:val="both"/>
      </w:pPr>
      <w:r>
        <w:rPr>
          <w:rFonts w:ascii="Calibri" w:cs="Calibri" w:eastAsia="Calibri" w:hAnsi="Calibri"/>
          <w:sz w:val="22"/>
          <w:szCs w:val="22"/>
        </w:rPr>
        <w:t xml:space="preserve">Agents face a major architectural risk called Infinite Reasoning Loops, which usually stem from poor Exception Handling in their Autonomy Logic. If an agent hits a Non-deterministic API Error, it may enter a Recursive Retry Cycle without a proper exit strategy. Because there is no Observability Layer, the agent keeps pre-pending failed execution logs into its Context Window, causing Context Inflation — where the Input Token Metadata grows exponentially, making every subsequent loop more expensive than the last.</w:t>
      </w:r>
    </w:p>
    <w:p>
      <w:pPr>
        <w:spacing w:before="0" w:after="200"/>
        <w:jc w:val="both"/>
      </w:pPr>
      <w:r>
        <w:rPr>
          <w:rFonts w:ascii="Calibri" w:cs="Calibri" w:eastAsia="Calibri" w:hAnsi="Calibri"/>
          <w:sz w:val="22"/>
          <w:szCs w:val="22"/>
        </w:rPr>
        <w:t xml:space="preserve">This creates a massive spike in Token Velocity that quickly hits Provider Rate Limits (RPM or TPM), or drains the entire billing quota in seconds. Once this Budget Threshold is breached, the Orchestration Layer loses its connection to the Inference Engine, meaning the agent can no longer perform State Recovery or execute a Graceful Degradation protocol.</w:t>
      </w:r>
    </w:p>
    <w:p>
      <w:pPr>
        <w:spacing w:before="0" w:after="200"/>
        <w:jc w:val="both"/>
      </w:pPr>
      <w:r>
        <w:rPr>
          <w:rFonts w:ascii="Calibri" w:cs="Calibri" w:eastAsia="Calibri" w:hAnsi="Calibri"/>
          <w:sz w:val="22"/>
          <w:szCs w:val="22"/>
        </w:rPr>
        <w:t xml:space="preserve">MetricAI acts as a programmable Circuit Breaker in this scenario. It uses Real-time Telemetry to identify High-Entropy Loops and terminates the process before it causes total Resource Exhaustion.</w:t>
      </w:r>
    </w:p>
    <w:p>
      <w:pPr>
        <w:pStyle w:val="Heading1"/>
      </w:pPr>
      <w:r>
        <w:t xml:space="preserve">Three Proposed Features for MetricAI</w:t>
      </w:r>
    </w:p>
    <w:p>
      <w:pPr>
        <w:pStyle w:val="Heading2"/>
      </w:pPr>
      <w:r>
        <w:t xml:space="preserve">Feature 1: The "Bot-Shield" Pre-Flight Check</w:t>
      </w:r>
    </w:p>
    <w:p>
      <w:pPr>
        <w:spacing w:before="0" w:after="200"/>
        <w:jc w:val="both"/>
      </w:pPr>
      <w:r>
        <w:rPr>
          <w:rFonts w:ascii="Calibri" w:cs="Calibri" w:eastAsia="Calibri" w:hAnsi="Calibri"/>
          <w:sz w:val="22"/>
          <w:szCs w:val="22"/>
        </w:rPr>
        <w:t xml:space="preserve">Before an agent strikes an external API or website, MetricAI should perform a Pre-Flight Analysis of the target's security posture. Agents often fail because they encounter WAF (Web Application Firewall) protections like Cloudflare or Akamai. This feature would identify the Bot Detection Severity of a target URL before the agent begins its task. If the target has high-security triggers — such as JS-challenges or CAPTCHAs — MetricAI can automatically route the agent's request through a Residential Proxy Pool or a Fortified Headless Browser (such as Playwright-Stealth).</w:t>
      </w:r>
    </w:p>
    <w:p>
      <w:pPr>
        <w:spacing w:before="0" w:after="200"/>
        <w:jc w:val="both"/>
      </w:pPr>
      <w:r>
        <w:rPr>
          <w:rFonts w:ascii="Calibri" w:cs="Calibri" w:eastAsia="Calibri" w:hAnsi="Calibri"/>
          <w:sz w:val="22"/>
          <w:szCs w:val="22"/>
        </w:rPr>
        <w:t xml:space="preserve">This prevents the agent from entering a Failed Retry Loop where it wastes tokens attempting to read a page it cannot access.</w:t>
      </w:r>
    </w:p>
    <w:p>
      <w:pPr>
        <w:pStyle w:val="Heading2"/>
      </w:pPr>
      <w:r>
        <w:t xml:space="preserve">Feature 2: Dynamic LLM Model Switching</w:t>
      </w:r>
    </w:p>
    <w:p>
      <w:pPr>
        <w:spacing w:before="0" w:after="200"/>
        <w:jc w:val="both"/>
      </w:pPr>
      <w:r>
        <w:rPr>
          <w:rFonts w:ascii="Calibri" w:cs="Calibri" w:eastAsia="Calibri" w:hAnsi="Calibri"/>
          <w:sz w:val="22"/>
          <w:szCs w:val="22"/>
        </w:rPr>
        <w:t xml:space="preserve">A real-time routing engine that switches the model powering the agent based on the complexity of each specific step. For simple tasks — such as data formatting or basic classification — MetricAI routes the request to a Small Language Model (SLM) like Llama-3-8B or GPT-4o-mini. For complex reasoning steps, it switches back to a high-tier model.</w:t>
      </w:r>
    </w:p>
    <w:p>
      <w:pPr>
        <w:spacing w:before="0" w:after="200"/>
        <w:jc w:val="both"/>
      </w:pPr>
      <w:r>
        <w:rPr>
          <w:rFonts w:ascii="Calibri" w:cs="Calibri" w:eastAsia="Calibri" w:hAnsi="Calibri"/>
          <w:sz w:val="22"/>
          <w:szCs w:val="22"/>
        </w:rPr>
        <w:t xml:space="preserve">This directly optimizes the Unit Economics of the agent. By deploying cheaper models for simpler tasks, businesses can significantly reduce their Total Cost of Ownership without sacrificing output quality.</w:t>
      </w:r>
    </w:p>
    <w:p>
      <w:pPr>
        <w:pStyle w:val="Heading2"/>
      </w:pPr>
      <w:r>
        <w:t xml:space="preserve">Feature 3: The Semantic Circuit Breaker</w:t>
      </w:r>
    </w:p>
    <w:p>
      <w:pPr>
        <w:spacing w:before="0" w:after="200"/>
        <w:jc w:val="both"/>
      </w:pPr>
      <w:r>
        <w:rPr>
          <w:rFonts w:ascii="Calibri" w:cs="Calibri" w:eastAsia="Calibri" w:hAnsi="Calibri"/>
          <w:sz w:val="22"/>
          <w:szCs w:val="22"/>
        </w:rPr>
        <w:t xml:space="preserve">An automated kill-switch that halts an agent when its reasoning begins to drift or become repetitive. Standard circuit breakers only stop an agent if it overspends financially. A Semantic Circuit Breaker goes further — it uses Embeddings Analysis to monitor the agent's Chain of Thought (CoT). If MetricAI detects that the agent's reasoning has become High-Entropy (repeating the same logic or losing track of the original goal), it triggers a Graceful Degradation protocol.</w:t>
      </w:r>
    </w:p>
    <w:p>
      <w:pPr>
        <w:spacing w:before="0" w:after="200"/>
        <w:jc w:val="both"/>
      </w:pPr>
      <w:r>
        <w:rPr>
          <w:rFonts w:ascii="Calibri" w:cs="Calibri" w:eastAsia="Calibri" w:hAnsi="Calibri"/>
          <w:sz w:val="22"/>
          <w:szCs w:val="22"/>
        </w:rPr>
        <w:t xml:space="preserve">This prevents Context Inflation — where a confused agent generates expensive and meaningless tokens — and ensures that the agent's Intelligence Infrastructure remains aligned with user intent, even in non-deterministic environments.</w:t>
      </w:r>
    </w:p>
    <w:p>
      <w:pPr>
        <w:pStyle w:val="Heading1"/>
      </w:pPr>
      <w:r>
        <w:t xml:space="preserve">Measuring Real-World Agent Performance</w:t>
      </w:r>
    </w:p>
    <w:p>
      <w:pPr>
        <w:spacing w:before="0" w:after="200"/>
        <w:jc w:val="both"/>
      </w:pPr>
      <w:r>
        <w:rPr>
          <w:rFonts w:ascii="Calibri" w:cs="Calibri" w:eastAsia="Calibri" w:hAnsi="Calibri"/>
          <w:sz w:val="22"/>
          <w:szCs w:val="22"/>
        </w:rPr>
        <w:t xml:space="preserve">Effective performance measurement for autonomous agents requires two primary dimensions. First, End-to-End Latency and the Time Slice of resource usage must be tracked to identify whether an agent is taking too long to reason, which wastes server time and increases cost.</w:t>
      </w:r>
    </w:p>
    <w:p>
      <w:pPr>
        <w:spacing w:before="0" w:after="200"/>
        <w:jc w:val="both"/>
      </w:pPr>
      <w:r>
        <w:rPr>
          <w:rFonts w:ascii="Calibri" w:cs="Calibri" w:eastAsia="Calibri" w:hAnsi="Calibri"/>
          <w:sz w:val="22"/>
          <w:szCs w:val="22"/>
        </w:rPr>
        <w:t xml:space="preserve">Second, Economic Cost must be calculated as total money spent per successful outcome — incorporating Token Velocity and per-API-call costs. If an agent takes an excessive number of steps to complete a simple task, its Reasoning Density is low and it is consuming budget inefficiently. By leveraging MetricAI to track metrics such as Context Saturation and Loop-to-Success ratios, companies can finally determine whether their autonomous agents are genuinely profitable or merely a resource drain.</w:t>
      </w:r>
    </w:p>
    <w:p>
      <w:pPr>
        <w:pStyle w:val="Heading1"/>
      </w:pPr>
      <w:r>
        <w:t xml:space="preserve">Emergent Ecosystems: If MetricAI Becomes Global Infrastructure</w:t>
      </w:r>
    </w:p>
    <w:p>
      <w:pPr>
        <w:pStyle w:val="Heading2"/>
      </w:pPr>
      <w:r>
        <w:t xml:space="preserve">Standardized Agent Marketplaces</w:t>
      </w:r>
    </w:p>
    <w:p>
      <w:pPr>
        <w:spacing w:before="0" w:after="200"/>
        <w:jc w:val="both"/>
      </w:pPr>
      <w:r>
        <w:rPr>
          <w:rFonts w:ascii="Calibri" w:cs="Calibri" w:eastAsia="Calibri" w:hAnsi="Calibri"/>
          <w:sz w:val="22"/>
          <w:szCs w:val="22"/>
        </w:rPr>
        <w:t xml:space="preserve">If MetricAI metrics become universally adopted, we will see the emergence of Verifiable Agent Marketplaces — global rating systems where agents are ranked by their Cost-per-Success and Latency-to-Value ratios. A "MetricAI Verified" badge would serve as a trust signal, certifying that an agent completes tasks within an optimal token count and with high reliability. This would transform how businesses procure and evaluate AI agents.</w:t>
      </w:r>
    </w:p>
    <w:p>
      <w:pPr>
        <w:pStyle w:val="Heading2"/>
      </w:pPr>
      <w:r>
        <w:t xml:space="preserve">Regulatory and Compliance Ecosystems</w:t>
      </w:r>
    </w:p>
    <w:p>
      <w:pPr>
        <w:spacing w:before="0" w:after="200"/>
        <w:jc w:val="both"/>
      </w:pPr>
      <w:r>
        <w:rPr>
          <w:rFonts w:ascii="Calibri" w:cs="Calibri" w:eastAsia="Calibri" w:hAnsi="Calibri"/>
          <w:sz w:val="22"/>
          <w:szCs w:val="22"/>
        </w:rPr>
        <w:t xml:space="preserve">MetricAI could also provide the technical foundation for Automated Regulatory Compliance. With real-time auditing capabilities for AI ethics and data privacy, MetricAI could offer a "Compliance API" that automatically flags agent behaviour violating regional laws — such as the EU AI Act. This would position MetricAI not just as a financial tool, but as a critical piece of the global AI governance infrastructure.</w:t>
      </w:r>
    </w:p>
    <w:p>
      <w:pPr>
        <w:pStyle w:val="Heading1"/>
      </w:pPr>
      <w:r>
        <w:t xml:space="preserve">Conclusion</w:t>
      </w:r>
    </w:p>
    <w:p>
      <w:pPr>
        <w:spacing w:before="0" w:after="200"/>
        <w:jc w:val="both"/>
      </w:pPr>
      <w:r>
        <w:rPr>
          <w:rFonts w:ascii="Calibri" w:cs="Calibri" w:eastAsia="Calibri" w:hAnsi="Calibri"/>
          <w:sz w:val="22"/>
          <w:szCs w:val="22"/>
        </w:rPr>
        <w:t xml:space="preserve">The Autonomous Agent Economy is not a distant forecast — it is unfolding now. Yet the financial and observability infrastructure needed to govern it responsibly does not yet exist at scale. MetricAI represents the missing layer: a purpose-built platform that ensures autonomous agents remain economically accountable, operationally transparent, and aligned with business intent.</w:t>
      </w:r>
    </w:p>
    <w:p>
      <w:pPr>
        <w:spacing w:before="0" w:after="200"/>
        <w:jc w:val="both"/>
      </w:pPr>
      <w:r>
        <w:rPr>
          <w:rFonts w:ascii="Calibri" w:cs="Calibri" w:eastAsia="Calibri" w:hAnsi="Calibri"/>
          <w:sz w:val="22"/>
          <w:szCs w:val="22"/>
        </w:rPr>
        <w:t xml:space="preserve">From circuit breakers that prevent runaway inference loops, to dynamic model routing that optimizes cost, to semantic monitoring that keeps agents on task — the capabilities outlined in this essay are not incremental improvements. They are foundational requirements for any organization serious about deploying AI agents responsibly and profitably. The measurement gap is real. Closing it is the defining infrastructure challenge of this generation of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2026-03-09T18:53:31.519Z</dcterms:created>
  <dcterms:modified xsi:type="dcterms:W3CDTF">2026-03-09T18:53:31.520Z</dcterms:modified>
</cp:coreProperties>
</file>

<file path=docProps/custom.xml><?xml version="1.0" encoding="utf-8"?>
<Properties xmlns="http://schemas.openxmlformats.org/officeDocument/2006/custom-properties" xmlns:vt="http://schemas.openxmlformats.org/officeDocument/2006/docPropsVTypes"/>
</file>