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after="280"/>
        <w:jc w:val="center"/>
      </w:pPr>
      <w:r>
        <w:t>CodeShield Review 3 Report Writing Brief</w:t>
      </w:r>
    </w:p>
    <w:p>
      <w:pPr>
        <w:spacing w:after="440"/>
        <w:jc w:val="center"/>
      </w:pPr>
      <w:r>
        <w:rPr>
          <w:rFonts w:ascii="Arial" w:hAnsi="Arial"/>
          <w:color w:val="53606B"/>
          <w:sz w:val="26"/>
        </w:rPr>
        <w:t>Verified project facts section guidance experimental evidence and a reusable master prompt</w:t>
      </w:r>
    </w:p>
    <w:p>
      <w:pPr>
        <w:spacing w:after="160"/>
        <w:jc w:val="center"/>
      </w:pPr>
      <w:r>
        <w:rPr>
          <w:rFonts w:ascii="Arial" w:hAnsi="Arial"/>
          <w:b/>
          <w:color w:val="1F2933"/>
          <w:sz w:val="22"/>
        </w:rPr>
        <w:t>Project  CodeShield Context Aware Security Drift Analyzer</w:t>
      </w:r>
    </w:p>
    <w:p>
      <w:pPr>
        <w:jc w:val="center"/>
      </w:pPr>
      <w:r>
        <w:rPr>
          <w:rFonts w:ascii="Arial" w:hAnsi="Arial"/>
          <w:color w:val="53606B"/>
          <w:sz w:val="21"/>
        </w:rPr>
        <w:t>Prepared for Review 3  October 2026</w:t>
      </w:r>
    </w:p>
    <w:p>
      <w:r>
        <w:br w:type="page"/>
      </w:r>
    </w:p>
    <w:p>
      <w:pPr>
        <w:pStyle w:val="Heading1"/>
        <w:keepNext/>
        <w:spacing w:before="240" w:after="100"/>
      </w:pPr>
      <w:r>
        <w:t>How to use this document</w:t>
      </w:r>
    </w:p>
    <w:p>
      <w:pPr>
        <w:spacing w:after="120" w:line="269" w:lineRule="auto"/>
      </w:pPr>
      <w:r>
        <w:rPr>
          <w:rFonts w:ascii="Arial" w:hAnsi="Arial"/>
          <w:i w:val="0"/>
          <w:color w:val="1F2933"/>
          <w:sz w:val="21"/>
        </w:rPr>
        <w:t>This document contains the factual material needed to write a Review 3 report with the sections Abstract, Introduction, Relevant Work, Methodology, Experimental Results, and Conclusions. It is a writing brief and prompt pack rather than the final report. Copy the master prompt at the end into a writing tool, attach the listed project files when possible, and retain the truth boundaries in this document.</w:t>
      </w:r>
    </w:p>
    <w:p>
      <w:pPr>
        <w:spacing w:after="120" w:line="269" w:lineRule="auto"/>
      </w:pPr>
      <w:r>
        <w:rPr>
          <w:rFonts w:ascii="Arial" w:hAnsi="Arial"/>
          <w:i w:val="0"/>
          <w:color w:val="1F2933"/>
          <w:sz w:val="21"/>
        </w:rPr>
        <w:t>Main conclusion  CodeShield is a functional Spring Boot prototype for deterministic security drift detection. It compares a registered application baseline with repository configuration or supplied runtime observations, produces evidence linked findings, assigns context adjusted risk scores, and stores scan history. The current implementation supports real public Git repositories, but it does not yet include autonomous runtime agents, live vulnerability feeds, authentication, or machine learning.</w:t>
      </w:r>
    </w:p>
    <w:p>
      <w:pPr>
        <w:pStyle w:val="Heading2"/>
        <w:keepNext/>
        <w:spacing w:before="160" w:after="100"/>
      </w:pPr>
      <w:r>
        <w:t>Recommended report scope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73B57"/>
            <w:vAlign w:val="center"/>
            <w:tcMar>
              <w:top w:w="110" w:type="dxa"/>
              <w:start w:w="110" w:type="dxa"/>
              <w:bottom w:w="110" w:type="dxa"/>
              <w:end w:w="110" w:type="dxa"/>
            </w:tcMar>
          </w:tcPr>
          <w:p>
            <w:pPr>
              <w:spacing w:after="0"/>
              <w:jc w:val="center"/>
            </w:pPr>
            <w:r>
              <w:rPr>
                <w:rFonts w:ascii="Arial" w:hAnsi="Arial"/>
                <w:b/>
                <w:color w:val="FFFFFF"/>
                <w:sz w:val="18"/>
              </w:rPr>
              <w:t>Section</w:t>
            </w:r>
          </w:p>
        </w:tc>
        <w:tc>
          <w:tcPr>
            <w:tcW w:type="dxa" w:w="1944"/>
            <w:shd w:fill="173B57"/>
            <w:vAlign w:val="center"/>
            <w:tcMar>
              <w:top w:w="110" w:type="dxa"/>
              <w:start w:w="110" w:type="dxa"/>
              <w:bottom w:w="110" w:type="dxa"/>
              <w:end w:w="110" w:type="dxa"/>
            </w:tcMar>
          </w:tcPr>
          <w:p>
            <w:pPr>
              <w:spacing w:after="0"/>
              <w:jc w:val="center"/>
            </w:pPr>
            <w:r>
              <w:rPr>
                <w:rFonts w:ascii="Arial" w:hAnsi="Arial"/>
                <w:b/>
                <w:color w:val="FFFFFF"/>
                <w:sz w:val="18"/>
              </w:rPr>
              <w:t>Recommended length</w:t>
            </w:r>
          </w:p>
        </w:tc>
        <w:tc>
          <w:tcPr>
            <w:tcW w:type="dxa" w:w="6696"/>
            <w:shd w:fill="173B57"/>
            <w:vAlign w:val="center"/>
            <w:tcMar>
              <w:top w:w="110" w:type="dxa"/>
              <w:start w:w="110" w:type="dxa"/>
              <w:bottom w:w="110" w:type="dxa"/>
              <w:end w:w="110" w:type="dxa"/>
            </w:tcMar>
          </w:tcPr>
          <w:p>
            <w:pPr>
              <w:spacing w:after="0"/>
              <w:jc w:val="center"/>
            </w:pPr>
            <w:r>
              <w:rPr>
                <w:rFonts w:ascii="Arial" w:hAnsi="Arial"/>
                <w:b/>
                <w:color w:val="FFFFFF"/>
                <w:sz w:val="18"/>
              </w:rPr>
              <w:t>Purpose</w:t>
            </w:r>
          </w:p>
        </w:tc>
      </w:tr>
      <w:tr>
        <w:trPr>
          <w:cantSplit/>
        </w:trPr>
        <w:tc>
          <w:tcPr>
            <w:tcW w:type="dxa" w:w="1800"/>
            <w:vAlign w:val="center"/>
            <w:tcMar>
              <w:top w:w="100" w:type="dxa"/>
              <w:start w:w="110" w:type="dxa"/>
              <w:bottom w:w="100" w:type="dxa"/>
              <w:end w:w="110" w:type="dxa"/>
            </w:tcMar>
          </w:tcPr>
          <w:p>
            <w:pPr>
              <w:spacing w:after="0" w:line="252" w:lineRule="auto"/>
            </w:pPr>
            <w:r>
              <w:rPr>
                <w:rFonts w:ascii="Arial" w:hAnsi="Arial"/>
                <w:color w:val="1F2933"/>
                <w:sz w:val="18"/>
              </w:rPr>
              <w:t>Abstract</w:t>
            </w:r>
          </w:p>
        </w:tc>
        <w:tc>
          <w:tcPr>
            <w:tcW w:type="dxa" w:w="1944"/>
            <w:vAlign w:val="center"/>
            <w:tcMar>
              <w:top w:w="100" w:type="dxa"/>
              <w:start w:w="110" w:type="dxa"/>
              <w:bottom w:w="100" w:type="dxa"/>
              <w:end w:w="110" w:type="dxa"/>
            </w:tcMar>
          </w:tcPr>
          <w:p>
            <w:pPr>
              <w:spacing w:after="0" w:line="252" w:lineRule="auto"/>
            </w:pPr>
            <w:r>
              <w:rPr>
                <w:rFonts w:ascii="Arial" w:hAnsi="Arial"/>
                <w:color w:val="1F2933"/>
                <w:sz w:val="18"/>
              </w:rPr>
              <w:t>180 to 250 words</w:t>
            </w:r>
          </w:p>
        </w:tc>
        <w:tc>
          <w:tcPr>
            <w:tcW w:type="dxa" w:w="6696"/>
            <w:vAlign w:val="center"/>
            <w:tcMar>
              <w:top w:w="100" w:type="dxa"/>
              <w:start w:w="110" w:type="dxa"/>
              <w:bottom w:w="100" w:type="dxa"/>
              <w:end w:w="110" w:type="dxa"/>
            </w:tcMar>
          </w:tcPr>
          <w:p>
            <w:pPr>
              <w:spacing w:after="0" w:line="252" w:lineRule="auto"/>
            </w:pPr>
            <w:r>
              <w:rPr>
                <w:rFonts w:ascii="Arial" w:hAnsi="Arial"/>
                <w:color w:val="1F2933"/>
                <w:sz w:val="18"/>
              </w:rPr>
              <w:t>Summarize the problem, method, implementation, verified results, and conclusion.</w:t>
            </w:r>
          </w:p>
        </w:tc>
      </w:tr>
      <w:tr>
        <w:trPr>
          <w:cantSplit/>
        </w:trPr>
        <w:tc>
          <w:tcPr>
            <w:tcW w:type="dxa" w:w="1800"/>
            <w:shd w:fill="F4F6F7"/>
            <w:vAlign w:val="center"/>
            <w:tcMar>
              <w:top w:w="100" w:type="dxa"/>
              <w:start w:w="110" w:type="dxa"/>
              <w:bottom w:w="100" w:type="dxa"/>
              <w:end w:w="110" w:type="dxa"/>
            </w:tcMar>
          </w:tcPr>
          <w:p>
            <w:pPr>
              <w:spacing w:after="0" w:line="252" w:lineRule="auto"/>
            </w:pPr>
            <w:r>
              <w:rPr>
                <w:rFonts w:ascii="Arial" w:hAnsi="Arial"/>
                <w:color w:val="1F2933"/>
                <w:sz w:val="18"/>
              </w:rPr>
              <w:t>Introduction</w:t>
            </w:r>
          </w:p>
        </w:tc>
        <w:tc>
          <w:tcPr>
            <w:tcW w:type="dxa" w:w="1944"/>
            <w:shd w:fill="F4F6F7"/>
            <w:vAlign w:val="center"/>
            <w:tcMar>
              <w:top w:w="100" w:type="dxa"/>
              <w:start w:w="110" w:type="dxa"/>
              <w:bottom w:w="100" w:type="dxa"/>
              <w:end w:w="110" w:type="dxa"/>
            </w:tcMar>
          </w:tcPr>
          <w:p>
            <w:pPr>
              <w:spacing w:after="0" w:line="252" w:lineRule="auto"/>
            </w:pPr>
            <w:r>
              <w:rPr>
                <w:rFonts w:ascii="Arial" w:hAnsi="Arial"/>
                <w:color w:val="1F2933"/>
                <w:sz w:val="18"/>
              </w:rPr>
              <w:t>800 to 1100 words</w:t>
            </w:r>
          </w:p>
        </w:tc>
        <w:tc>
          <w:tcPr>
            <w:tcW w:type="dxa" w:w="6696"/>
            <w:shd w:fill="F4F6F7"/>
            <w:vAlign w:val="center"/>
            <w:tcMar>
              <w:top w:w="100" w:type="dxa"/>
              <w:start w:w="110" w:type="dxa"/>
              <w:bottom w:w="100" w:type="dxa"/>
              <w:end w:w="110" w:type="dxa"/>
            </w:tcMar>
          </w:tcPr>
          <w:p>
            <w:pPr>
              <w:spacing w:after="0" w:line="252" w:lineRule="auto"/>
            </w:pPr>
            <w:r>
              <w:rPr>
                <w:rFonts w:ascii="Arial" w:hAnsi="Arial"/>
                <w:color w:val="1F2933"/>
                <w:sz w:val="18"/>
              </w:rPr>
              <w:t>Define security drift, motivate the problem, state the gap, objectives, contributions, and scope.</w:t>
            </w:r>
          </w:p>
        </w:tc>
      </w:tr>
      <w:tr>
        <w:trPr>
          <w:cantSplit/>
        </w:trPr>
        <w:tc>
          <w:tcPr>
            <w:tcW w:type="dxa" w:w="1800"/>
            <w:vAlign w:val="center"/>
            <w:tcMar>
              <w:top w:w="100" w:type="dxa"/>
              <w:start w:w="110" w:type="dxa"/>
              <w:bottom w:w="100" w:type="dxa"/>
              <w:end w:w="110" w:type="dxa"/>
            </w:tcMar>
          </w:tcPr>
          <w:p>
            <w:pPr>
              <w:spacing w:after="0" w:line="252" w:lineRule="auto"/>
            </w:pPr>
            <w:r>
              <w:rPr>
                <w:rFonts w:ascii="Arial" w:hAnsi="Arial"/>
                <w:color w:val="1F2933"/>
                <w:sz w:val="18"/>
              </w:rPr>
              <w:t>Relevant Work</w:t>
            </w:r>
          </w:p>
        </w:tc>
        <w:tc>
          <w:tcPr>
            <w:tcW w:type="dxa" w:w="1944"/>
            <w:vAlign w:val="center"/>
            <w:tcMar>
              <w:top w:w="100" w:type="dxa"/>
              <w:start w:w="110" w:type="dxa"/>
              <w:bottom w:w="100" w:type="dxa"/>
              <w:end w:w="110" w:type="dxa"/>
            </w:tcMar>
          </w:tcPr>
          <w:p>
            <w:pPr>
              <w:spacing w:after="0" w:line="252" w:lineRule="auto"/>
            </w:pPr>
            <w:r>
              <w:rPr>
                <w:rFonts w:ascii="Arial" w:hAnsi="Arial"/>
                <w:color w:val="1F2933"/>
                <w:sz w:val="18"/>
              </w:rPr>
              <w:t>900 to 1200 words</w:t>
            </w:r>
          </w:p>
        </w:tc>
        <w:tc>
          <w:tcPr>
            <w:tcW w:type="dxa" w:w="6696"/>
            <w:vAlign w:val="center"/>
            <w:tcMar>
              <w:top w:w="100" w:type="dxa"/>
              <w:start w:w="110" w:type="dxa"/>
              <w:bottom w:w="100" w:type="dxa"/>
              <w:end w:w="110" w:type="dxa"/>
            </w:tcMar>
          </w:tcPr>
          <w:p>
            <w:pPr>
              <w:spacing w:after="0" w:line="252" w:lineRule="auto"/>
            </w:pPr>
            <w:r>
              <w:rPr>
                <w:rFonts w:ascii="Arial" w:hAnsi="Arial"/>
                <w:color w:val="1F2933"/>
                <w:sz w:val="18"/>
              </w:rPr>
              <w:t>Synthesize recent container, configuration, dependency, SBOM, exposure, and runtime research.</w:t>
            </w:r>
          </w:p>
        </w:tc>
      </w:tr>
      <w:tr>
        <w:trPr>
          <w:cantSplit/>
        </w:trPr>
        <w:tc>
          <w:tcPr>
            <w:tcW w:type="dxa" w:w="1800"/>
            <w:shd w:fill="F4F6F7"/>
            <w:vAlign w:val="center"/>
            <w:tcMar>
              <w:top w:w="100" w:type="dxa"/>
              <w:start w:w="110" w:type="dxa"/>
              <w:bottom w:w="100" w:type="dxa"/>
              <w:end w:w="110" w:type="dxa"/>
            </w:tcMar>
          </w:tcPr>
          <w:p>
            <w:pPr>
              <w:spacing w:after="0" w:line="252" w:lineRule="auto"/>
            </w:pPr>
            <w:r>
              <w:rPr>
                <w:rFonts w:ascii="Arial" w:hAnsi="Arial"/>
                <w:color w:val="1F2933"/>
                <w:sz w:val="18"/>
              </w:rPr>
              <w:t>Methodology</w:t>
            </w:r>
          </w:p>
        </w:tc>
        <w:tc>
          <w:tcPr>
            <w:tcW w:type="dxa" w:w="1944"/>
            <w:shd w:fill="F4F6F7"/>
            <w:vAlign w:val="center"/>
            <w:tcMar>
              <w:top w:w="100" w:type="dxa"/>
              <w:start w:w="110" w:type="dxa"/>
              <w:bottom w:w="100" w:type="dxa"/>
              <w:end w:w="110" w:type="dxa"/>
            </w:tcMar>
          </w:tcPr>
          <w:p>
            <w:pPr>
              <w:spacing w:after="0" w:line="252" w:lineRule="auto"/>
            </w:pPr>
            <w:r>
              <w:rPr>
                <w:rFonts w:ascii="Arial" w:hAnsi="Arial"/>
                <w:color w:val="1F2933"/>
                <w:sz w:val="18"/>
              </w:rPr>
              <w:t>1200 to 1600 words</w:t>
            </w:r>
          </w:p>
        </w:tc>
        <w:tc>
          <w:tcPr>
            <w:tcW w:type="dxa" w:w="6696"/>
            <w:shd w:fill="F4F6F7"/>
            <w:vAlign w:val="center"/>
            <w:tcMar>
              <w:top w:w="100" w:type="dxa"/>
              <w:start w:w="110" w:type="dxa"/>
              <w:bottom w:w="100" w:type="dxa"/>
              <w:end w:w="110" w:type="dxa"/>
            </w:tcMar>
          </w:tcPr>
          <w:p>
            <w:pPr>
              <w:spacing w:after="0" w:line="252" w:lineRule="auto"/>
            </w:pPr>
            <w:r>
              <w:rPr>
                <w:rFonts w:ascii="Arial" w:hAnsi="Arial"/>
                <w:color w:val="1F2933"/>
                <w:sz w:val="18"/>
              </w:rPr>
              <w:t>Explain the design, data model, repository inspection, rule engine, scoring, persistence, and evaluation plan.</w:t>
            </w:r>
          </w:p>
        </w:tc>
      </w:tr>
      <w:tr>
        <w:trPr>
          <w:cantSplit/>
        </w:trPr>
        <w:tc>
          <w:tcPr>
            <w:tcW w:type="dxa" w:w="1800"/>
            <w:vAlign w:val="center"/>
            <w:tcMar>
              <w:top w:w="100" w:type="dxa"/>
              <w:start w:w="110" w:type="dxa"/>
              <w:bottom w:w="100" w:type="dxa"/>
              <w:end w:w="110" w:type="dxa"/>
            </w:tcMar>
          </w:tcPr>
          <w:p>
            <w:pPr>
              <w:spacing w:after="0" w:line="252" w:lineRule="auto"/>
            </w:pPr>
            <w:r>
              <w:rPr>
                <w:rFonts w:ascii="Arial" w:hAnsi="Arial"/>
                <w:color w:val="1F2933"/>
                <w:sz w:val="18"/>
              </w:rPr>
              <w:t>Experimental Results</w:t>
            </w:r>
          </w:p>
        </w:tc>
        <w:tc>
          <w:tcPr>
            <w:tcW w:type="dxa" w:w="1944"/>
            <w:vAlign w:val="center"/>
            <w:tcMar>
              <w:top w:w="100" w:type="dxa"/>
              <w:start w:w="110" w:type="dxa"/>
              <w:bottom w:w="100" w:type="dxa"/>
              <w:end w:w="110" w:type="dxa"/>
            </w:tcMar>
          </w:tcPr>
          <w:p>
            <w:pPr>
              <w:spacing w:after="0" w:line="252" w:lineRule="auto"/>
            </w:pPr>
            <w:r>
              <w:rPr>
                <w:rFonts w:ascii="Arial" w:hAnsi="Arial"/>
                <w:color w:val="1F2933"/>
                <w:sz w:val="18"/>
              </w:rPr>
              <w:t>700 to 1000 words</w:t>
            </w:r>
          </w:p>
        </w:tc>
        <w:tc>
          <w:tcPr>
            <w:tcW w:type="dxa" w:w="6696"/>
            <w:vAlign w:val="center"/>
            <w:tcMar>
              <w:top w:w="100" w:type="dxa"/>
              <w:start w:w="110" w:type="dxa"/>
              <w:bottom w:w="100" w:type="dxa"/>
              <w:end w:w="110" w:type="dxa"/>
            </w:tcMar>
          </w:tcPr>
          <w:p>
            <w:pPr>
              <w:spacing w:after="0" w:line="252" w:lineRule="auto"/>
            </w:pPr>
            <w:r>
              <w:rPr>
                <w:rFonts w:ascii="Arial" w:hAnsi="Arial"/>
                <w:color w:val="1F2933"/>
                <w:sz w:val="18"/>
              </w:rPr>
              <w:t>Report only measured tests, benchmark composition, and recorded repository scans with limitations.</w:t>
            </w:r>
          </w:p>
        </w:tc>
      </w:tr>
      <w:tr>
        <w:trPr>
          <w:cantSplit/>
        </w:trPr>
        <w:tc>
          <w:tcPr>
            <w:tcW w:type="dxa" w:w="1800"/>
            <w:shd w:fill="F4F6F7"/>
            <w:vAlign w:val="center"/>
            <w:tcMar>
              <w:top w:w="100" w:type="dxa"/>
              <w:start w:w="110" w:type="dxa"/>
              <w:bottom w:w="100" w:type="dxa"/>
              <w:end w:w="110" w:type="dxa"/>
            </w:tcMar>
          </w:tcPr>
          <w:p>
            <w:pPr>
              <w:spacing w:after="0" w:line="252" w:lineRule="auto"/>
            </w:pPr>
            <w:r>
              <w:rPr>
                <w:rFonts w:ascii="Arial" w:hAnsi="Arial"/>
                <w:color w:val="1F2933"/>
                <w:sz w:val="18"/>
              </w:rPr>
              <w:t>Conclusions</w:t>
            </w:r>
          </w:p>
        </w:tc>
        <w:tc>
          <w:tcPr>
            <w:tcW w:type="dxa" w:w="1944"/>
            <w:shd w:fill="F4F6F7"/>
            <w:vAlign w:val="center"/>
            <w:tcMar>
              <w:top w:w="100" w:type="dxa"/>
              <w:start w:w="110" w:type="dxa"/>
              <w:bottom w:w="100" w:type="dxa"/>
              <w:end w:w="110" w:type="dxa"/>
            </w:tcMar>
          </w:tcPr>
          <w:p>
            <w:pPr>
              <w:spacing w:after="0" w:line="252" w:lineRule="auto"/>
            </w:pPr>
            <w:r>
              <w:rPr>
                <w:rFonts w:ascii="Arial" w:hAnsi="Arial"/>
                <w:color w:val="1F2933"/>
                <w:sz w:val="18"/>
              </w:rPr>
              <w:t>350 to 500 words</w:t>
            </w:r>
          </w:p>
        </w:tc>
        <w:tc>
          <w:tcPr>
            <w:tcW w:type="dxa" w:w="6696"/>
            <w:shd w:fill="F4F6F7"/>
            <w:vAlign w:val="center"/>
            <w:tcMar>
              <w:top w:w="100" w:type="dxa"/>
              <w:start w:w="110" w:type="dxa"/>
              <w:bottom w:w="100" w:type="dxa"/>
              <w:end w:w="110" w:type="dxa"/>
            </w:tcMar>
          </w:tcPr>
          <w:p>
            <w:pPr>
              <w:spacing w:after="0" w:line="252" w:lineRule="auto"/>
            </w:pPr>
            <w:r>
              <w:rPr>
                <w:rFonts w:ascii="Arial" w:hAnsi="Arial"/>
                <w:color w:val="1F2933"/>
                <w:sz w:val="18"/>
              </w:rPr>
              <w:t>Answer the objectives, summarize evidence, state limitations, and identify specific next work.</w:t>
            </w:r>
          </w:p>
        </w:tc>
      </w:tr>
    </w:tbl>
    <w:p>
      <w:pPr>
        <w:spacing w:after="40"/>
      </w:pPr>
    </w:p>
    <w:p>
      <w:pPr>
        <w:pStyle w:val="Heading1"/>
        <w:keepNext/>
        <w:spacing w:before="240" w:after="100"/>
      </w:pPr>
      <w:r>
        <w:t>Verified project fact sheet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73B57"/>
            <w:vAlign w:val="center"/>
            <w:tcMar>
              <w:top w:w="110" w:type="dxa"/>
              <w:start w:w="110" w:type="dxa"/>
              <w:bottom w:w="110" w:type="dxa"/>
              <w:end w:w="110" w:type="dxa"/>
            </w:tcMar>
          </w:tcPr>
          <w:p>
            <w:pPr>
              <w:spacing w:after="0"/>
              <w:jc w:val="center"/>
            </w:pPr>
            <w:r>
              <w:rPr>
                <w:rFonts w:ascii="Arial" w:hAnsi="Arial"/>
                <w:b/>
                <w:color w:val="FFFFFF"/>
                <w:sz w:val="18"/>
              </w:rPr>
              <w:t>Area</w:t>
            </w:r>
          </w:p>
        </w:tc>
        <w:tc>
          <w:tcPr>
            <w:tcW w:type="dxa" w:w="8208"/>
            <w:shd w:fill="173B57"/>
            <w:vAlign w:val="center"/>
            <w:tcMar>
              <w:top w:w="110" w:type="dxa"/>
              <w:start w:w="110" w:type="dxa"/>
              <w:bottom w:w="110" w:type="dxa"/>
              <w:end w:w="110" w:type="dxa"/>
            </w:tcMar>
          </w:tcPr>
          <w:p>
            <w:pPr>
              <w:spacing w:after="0"/>
              <w:jc w:val="center"/>
            </w:pPr>
            <w:r>
              <w:rPr>
                <w:rFonts w:ascii="Arial" w:hAnsi="Arial"/>
                <w:b/>
                <w:color w:val="FFFFFF"/>
                <w:sz w:val="18"/>
              </w:rPr>
              <w:t>Verified information</w:t>
            </w:r>
          </w:p>
        </w:tc>
      </w:tr>
      <w:tr>
        <w:trPr>
          <w:cantSplit/>
        </w:trPr>
        <w:tc>
          <w:tcPr>
            <w:tcW w:type="dxa" w:w="2232"/>
            <w:vAlign w:val="center"/>
            <w:tcMar>
              <w:top w:w="100" w:type="dxa"/>
              <w:start w:w="110" w:type="dxa"/>
              <w:bottom w:w="100" w:type="dxa"/>
              <w:end w:w="110" w:type="dxa"/>
            </w:tcMar>
          </w:tcPr>
          <w:p>
            <w:pPr>
              <w:spacing w:after="0" w:line="252" w:lineRule="auto"/>
            </w:pPr>
            <w:r>
              <w:rPr>
                <w:rFonts w:ascii="Arial" w:hAnsi="Arial"/>
                <w:color w:val="1F2933"/>
                <w:sz w:val="18"/>
              </w:rPr>
              <w:t>Project title</w:t>
            </w:r>
          </w:p>
        </w:tc>
        <w:tc>
          <w:tcPr>
            <w:tcW w:type="dxa" w:w="8208"/>
            <w:vAlign w:val="center"/>
            <w:tcMar>
              <w:top w:w="100" w:type="dxa"/>
              <w:start w:w="110" w:type="dxa"/>
              <w:bottom w:w="100" w:type="dxa"/>
              <w:end w:w="110" w:type="dxa"/>
            </w:tcMar>
          </w:tcPr>
          <w:p>
            <w:pPr>
              <w:spacing w:after="0" w:line="252" w:lineRule="auto"/>
            </w:pPr>
            <w:r>
              <w:rPr>
                <w:rFonts w:ascii="Arial" w:hAnsi="Arial"/>
                <w:color w:val="1F2933"/>
                <w:sz w:val="18"/>
              </w:rPr>
              <w:t>CodeShield Context Aware Security Drift Analyzer</w:t>
            </w:r>
          </w:p>
        </w:tc>
      </w:tr>
      <w:tr>
        <w:trPr>
          <w:cantSplit/>
        </w:trPr>
        <w:tc>
          <w:tcPr>
            <w:tcW w:type="dxa" w:w="2232"/>
            <w:shd w:fill="F4F6F7"/>
            <w:vAlign w:val="center"/>
            <w:tcMar>
              <w:top w:w="100" w:type="dxa"/>
              <w:start w:w="110" w:type="dxa"/>
              <w:bottom w:w="100" w:type="dxa"/>
              <w:end w:w="110" w:type="dxa"/>
            </w:tcMar>
          </w:tcPr>
          <w:p>
            <w:pPr>
              <w:spacing w:after="0" w:line="252" w:lineRule="auto"/>
            </w:pPr>
            <w:r>
              <w:rPr>
                <w:rFonts w:ascii="Arial" w:hAnsi="Arial"/>
                <w:color w:val="1F2933"/>
                <w:sz w:val="18"/>
              </w:rPr>
              <w:t>Problem</w:t>
            </w:r>
          </w:p>
        </w:tc>
        <w:tc>
          <w:tcPr>
            <w:tcW w:type="dxa" w:w="8208"/>
            <w:shd w:fill="F4F6F7"/>
            <w:vAlign w:val="center"/>
            <w:tcMar>
              <w:top w:w="100" w:type="dxa"/>
              <w:start w:w="110" w:type="dxa"/>
              <w:bottom w:w="100" w:type="dxa"/>
              <w:end w:w="110" w:type="dxa"/>
            </w:tcMar>
          </w:tcPr>
          <w:p>
            <w:pPr>
              <w:spacing w:after="0" w:line="252" w:lineRule="auto"/>
            </w:pPr>
            <w:r>
              <w:rPr>
                <w:rFonts w:ascii="Arial" w:hAnsi="Arial"/>
                <w:color w:val="1F2933"/>
                <w:sz w:val="18"/>
              </w:rPr>
              <w:t>Security controls can drift after deployment. Runtime versions, dependency versions, network exposure, container users, mounts, and image identities may differ from the approved state.</w:t>
            </w:r>
          </w:p>
        </w:tc>
      </w:tr>
      <w:tr>
        <w:trPr>
          <w:cantSplit/>
        </w:trPr>
        <w:tc>
          <w:tcPr>
            <w:tcW w:type="dxa" w:w="2232"/>
            <w:vAlign w:val="center"/>
            <w:tcMar>
              <w:top w:w="100" w:type="dxa"/>
              <w:start w:w="110" w:type="dxa"/>
              <w:bottom w:w="100" w:type="dxa"/>
              <w:end w:w="110" w:type="dxa"/>
            </w:tcMar>
          </w:tcPr>
          <w:p>
            <w:pPr>
              <w:spacing w:after="0" w:line="252" w:lineRule="auto"/>
            </w:pPr>
            <w:r>
              <w:rPr>
                <w:rFonts w:ascii="Arial" w:hAnsi="Arial"/>
                <w:color w:val="1F2933"/>
                <w:sz w:val="18"/>
              </w:rPr>
              <w:t>Primary objective</w:t>
            </w:r>
          </w:p>
        </w:tc>
        <w:tc>
          <w:tcPr>
            <w:tcW w:type="dxa" w:w="8208"/>
            <w:vAlign w:val="center"/>
            <w:tcMar>
              <w:top w:w="100" w:type="dxa"/>
              <w:start w:w="110" w:type="dxa"/>
              <w:bottom w:w="100" w:type="dxa"/>
              <w:end w:w="110" w:type="dxa"/>
            </w:tcMar>
          </w:tcPr>
          <w:p>
            <w:pPr>
              <w:spacing w:after="0" w:line="252" w:lineRule="auto"/>
            </w:pPr>
            <w:r>
              <w:rPr>
                <w:rFonts w:ascii="Arial" w:hAnsi="Arial"/>
                <w:color w:val="1F2933"/>
                <w:sz w:val="18"/>
              </w:rPr>
              <w:t>Detect and explain mismatches between application intent and observed repository or runtime evidence.</w:t>
            </w:r>
          </w:p>
        </w:tc>
      </w:tr>
      <w:tr>
        <w:trPr>
          <w:cantSplit/>
        </w:trPr>
        <w:tc>
          <w:tcPr>
            <w:tcW w:type="dxa" w:w="2232"/>
            <w:shd w:fill="F4F6F7"/>
            <w:vAlign w:val="center"/>
            <w:tcMar>
              <w:top w:w="100" w:type="dxa"/>
              <w:start w:w="110" w:type="dxa"/>
              <w:bottom w:w="100" w:type="dxa"/>
              <w:end w:w="110" w:type="dxa"/>
            </w:tcMar>
          </w:tcPr>
          <w:p>
            <w:pPr>
              <w:spacing w:after="0" w:line="252" w:lineRule="auto"/>
            </w:pPr>
            <w:r>
              <w:rPr>
                <w:rFonts w:ascii="Arial" w:hAnsi="Arial"/>
                <w:color w:val="1F2933"/>
                <w:sz w:val="18"/>
              </w:rPr>
              <w:t>Implementation</w:t>
            </w:r>
          </w:p>
        </w:tc>
        <w:tc>
          <w:tcPr>
            <w:tcW w:type="dxa" w:w="8208"/>
            <w:shd w:fill="F4F6F7"/>
            <w:vAlign w:val="center"/>
            <w:tcMar>
              <w:top w:w="100" w:type="dxa"/>
              <w:start w:w="110" w:type="dxa"/>
              <w:bottom w:w="100" w:type="dxa"/>
              <w:end w:w="110" w:type="dxa"/>
            </w:tcMar>
          </w:tcPr>
          <w:p>
            <w:pPr>
              <w:spacing w:after="0" w:line="252" w:lineRule="auto"/>
            </w:pPr>
            <w:r>
              <w:rPr>
                <w:rFonts w:ascii="Arial" w:hAnsi="Arial"/>
                <w:color w:val="1F2933"/>
                <w:sz w:val="18"/>
              </w:rPr>
              <w:t>Java 21, Spring Boot 3.3.6, Spring MVC, Thymeleaf, Spring Data JPA, H2, Maven, JUnit 5, and Eclipse JGit.</w:t>
            </w:r>
          </w:p>
        </w:tc>
      </w:tr>
      <w:tr>
        <w:trPr>
          <w:cantSplit/>
        </w:trPr>
        <w:tc>
          <w:tcPr>
            <w:tcW w:type="dxa" w:w="2232"/>
            <w:vAlign w:val="center"/>
            <w:tcMar>
              <w:top w:w="100" w:type="dxa"/>
              <w:start w:w="110" w:type="dxa"/>
              <w:bottom w:w="100" w:type="dxa"/>
              <w:end w:w="110" w:type="dxa"/>
            </w:tcMar>
          </w:tcPr>
          <w:p>
            <w:pPr>
              <w:spacing w:after="0" w:line="252" w:lineRule="auto"/>
            </w:pPr>
            <w:r>
              <w:rPr>
                <w:rFonts w:ascii="Arial" w:hAnsi="Arial"/>
                <w:color w:val="1F2933"/>
                <w:sz w:val="18"/>
              </w:rPr>
              <w:t>Repository inputs</w:t>
            </w:r>
          </w:p>
        </w:tc>
        <w:tc>
          <w:tcPr>
            <w:tcW w:type="dxa" w:w="8208"/>
            <w:vAlign w:val="center"/>
            <w:tcMar>
              <w:top w:w="100" w:type="dxa"/>
              <w:start w:w="110" w:type="dxa"/>
              <w:bottom w:w="100" w:type="dxa"/>
              <w:end w:w="110" w:type="dxa"/>
            </w:tcMar>
          </w:tcPr>
          <w:p>
            <w:pPr>
              <w:spacing w:after="0" w:line="252" w:lineRule="auto"/>
            </w:pPr>
            <w:r>
              <w:rPr>
                <w:rFonts w:ascii="Arial" w:hAnsi="Arial"/>
                <w:color w:val="1F2933"/>
                <w:sz w:val="18"/>
              </w:rPr>
              <w:t>Public HTTPS Git clone URLs or readable local repository paths supplied by the user.</w:t>
            </w:r>
          </w:p>
        </w:tc>
      </w:tr>
      <w:tr>
        <w:trPr>
          <w:cantSplit/>
        </w:trPr>
        <w:tc>
          <w:tcPr>
            <w:tcW w:type="dxa" w:w="2232"/>
            <w:shd w:fill="F4F6F7"/>
            <w:vAlign w:val="center"/>
            <w:tcMar>
              <w:top w:w="100" w:type="dxa"/>
              <w:start w:w="110" w:type="dxa"/>
              <w:bottom w:w="100" w:type="dxa"/>
              <w:end w:w="110" w:type="dxa"/>
            </w:tcMar>
          </w:tcPr>
          <w:p>
            <w:pPr>
              <w:spacing w:after="0" w:line="252" w:lineRule="auto"/>
            </w:pPr>
            <w:r>
              <w:rPr>
                <w:rFonts w:ascii="Arial" w:hAnsi="Arial"/>
                <w:color w:val="1F2933"/>
                <w:sz w:val="18"/>
              </w:rPr>
              <w:t>Supported files</w:t>
            </w:r>
          </w:p>
        </w:tc>
        <w:tc>
          <w:tcPr>
            <w:tcW w:type="dxa" w:w="8208"/>
            <w:shd w:fill="F4F6F7"/>
            <w:vAlign w:val="center"/>
            <w:tcMar>
              <w:top w:w="100" w:type="dxa"/>
              <w:start w:w="110" w:type="dxa"/>
              <w:bottom w:w="100" w:type="dxa"/>
              <w:end w:w="110" w:type="dxa"/>
            </w:tcMar>
          </w:tcPr>
          <w:p>
            <w:pPr>
              <w:spacing w:after="0" w:line="252" w:lineRule="auto"/>
            </w:pPr>
            <w:r>
              <w:rPr>
                <w:rFonts w:ascii="Arial" w:hAnsi="Arial"/>
                <w:color w:val="1F2933"/>
                <w:sz w:val="18"/>
              </w:rPr>
              <w:t>pom.xml, build.gradle, build.gradle.kts, Dockerfile variants, compose.yaml, compose.yml, docker-compose.yaml, and docker-compose.yml.</w:t>
            </w:r>
          </w:p>
        </w:tc>
      </w:tr>
      <w:tr>
        <w:trPr>
          <w:cantSplit/>
        </w:trPr>
        <w:tc>
          <w:tcPr>
            <w:tcW w:type="dxa" w:w="2232"/>
            <w:vAlign w:val="center"/>
            <w:tcMar>
              <w:top w:w="100" w:type="dxa"/>
              <w:start w:w="110" w:type="dxa"/>
              <w:bottom w:w="100" w:type="dxa"/>
              <w:end w:w="110" w:type="dxa"/>
            </w:tcMar>
          </w:tcPr>
          <w:p>
            <w:pPr>
              <w:spacing w:after="0" w:line="252" w:lineRule="auto"/>
            </w:pPr>
            <w:r>
              <w:rPr>
                <w:rFonts w:ascii="Arial" w:hAnsi="Arial"/>
                <w:color w:val="1F2933"/>
                <w:sz w:val="18"/>
              </w:rPr>
              <w:t>Runtime inputs</w:t>
            </w:r>
          </w:p>
        </w:tc>
        <w:tc>
          <w:tcPr>
            <w:tcW w:type="dxa" w:w="8208"/>
            <w:vAlign w:val="center"/>
            <w:tcMar>
              <w:top w:w="100" w:type="dxa"/>
              <w:start w:w="110" w:type="dxa"/>
              <w:bottom w:w="100" w:type="dxa"/>
              <w:end w:w="110" w:type="dxa"/>
            </w:tcMar>
          </w:tcPr>
          <w:p>
            <w:pPr>
              <w:spacing w:after="0" w:line="252" w:lineRule="auto"/>
            </w:pPr>
            <w:r>
              <w:rPr>
                <w:rFonts w:ascii="Arial" w:hAnsi="Arial"/>
                <w:color w:val="1F2933"/>
                <w:sz w:val="18"/>
              </w:rPr>
              <w:t>Manual browser form or POST /api/scans. Values include Java version, database exposure, container user, Docker socket mount, image digest, dependency version, Internet exposure, exploit evidence, and evidence source.</w:t>
            </w:r>
          </w:p>
        </w:tc>
      </w:tr>
      <w:tr>
        <w:trPr>
          <w:cantSplit/>
        </w:trPr>
        <w:tc>
          <w:tcPr>
            <w:tcW w:type="dxa" w:w="2232"/>
            <w:shd w:fill="F4F6F7"/>
            <w:vAlign w:val="center"/>
            <w:tcMar>
              <w:top w:w="100" w:type="dxa"/>
              <w:start w:w="110" w:type="dxa"/>
              <w:bottom w:w="100" w:type="dxa"/>
              <w:end w:w="110" w:type="dxa"/>
            </w:tcMar>
          </w:tcPr>
          <w:p>
            <w:pPr>
              <w:spacing w:after="0" w:line="252" w:lineRule="auto"/>
            </w:pPr>
            <w:r>
              <w:rPr>
                <w:rFonts w:ascii="Arial" w:hAnsi="Arial"/>
                <w:color w:val="1F2933"/>
                <w:sz w:val="18"/>
              </w:rPr>
              <w:t>Output</w:t>
            </w:r>
          </w:p>
        </w:tc>
        <w:tc>
          <w:tcPr>
            <w:tcW w:type="dxa" w:w="8208"/>
            <w:shd w:fill="F4F6F7"/>
            <w:vAlign w:val="center"/>
            <w:tcMar>
              <w:top w:w="100" w:type="dxa"/>
              <w:start w:w="110" w:type="dxa"/>
              <w:bottom w:w="100" w:type="dxa"/>
              <w:end w:w="110" w:type="dxa"/>
            </w:tcMar>
          </w:tcPr>
          <w:p>
            <w:pPr>
              <w:spacing w:after="0" w:line="252" w:lineRule="auto"/>
            </w:pPr>
            <w:r>
              <w:rPr>
                <w:rFonts w:ascii="Arial" w:hAnsi="Arial"/>
                <w:color w:val="1F2933"/>
                <w:sz w:val="18"/>
              </w:rPr>
              <w:t>Persisted findings with a rule ID, expected state, observed state, evidence, remediation, score, severity, and workflow status.</w:t>
            </w:r>
          </w:p>
        </w:tc>
      </w:tr>
      <w:tr>
        <w:trPr>
          <w:cantSplit/>
        </w:trPr>
        <w:tc>
          <w:tcPr>
            <w:tcW w:type="dxa" w:w="2232"/>
            <w:vAlign w:val="center"/>
            <w:tcMar>
              <w:top w:w="100" w:type="dxa"/>
              <w:start w:w="110" w:type="dxa"/>
              <w:bottom w:w="100" w:type="dxa"/>
              <w:end w:w="110" w:type="dxa"/>
            </w:tcMar>
          </w:tcPr>
          <w:p>
            <w:pPr>
              <w:spacing w:after="0" w:line="252" w:lineRule="auto"/>
            </w:pPr>
            <w:r>
              <w:rPr>
                <w:rFonts w:ascii="Arial" w:hAnsi="Arial"/>
                <w:color w:val="1F2933"/>
                <w:sz w:val="18"/>
              </w:rPr>
              <w:t>Persistence</w:t>
            </w:r>
          </w:p>
        </w:tc>
        <w:tc>
          <w:tcPr>
            <w:tcW w:type="dxa" w:w="8208"/>
            <w:vAlign w:val="center"/>
            <w:tcMar>
              <w:top w:w="100" w:type="dxa"/>
              <w:start w:w="110" w:type="dxa"/>
              <w:bottom w:w="100" w:type="dxa"/>
              <w:end w:w="110" w:type="dxa"/>
            </w:tcMar>
          </w:tcPr>
          <w:p>
            <w:pPr>
              <w:spacing w:after="0" w:line="252" w:lineRule="auto"/>
            </w:pPr>
            <w:r>
              <w:rPr>
                <w:rFonts w:ascii="Arial" w:hAnsi="Arial"/>
                <w:color w:val="1F2933"/>
                <w:sz w:val="18"/>
              </w:rPr>
              <w:t>Embedded H2 file database in the current implementation.</w:t>
            </w:r>
          </w:p>
        </w:tc>
      </w:tr>
      <w:tr>
        <w:trPr>
          <w:cantSplit/>
        </w:trPr>
        <w:tc>
          <w:tcPr>
            <w:tcW w:type="dxa" w:w="2232"/>
            <w:shd w:fill="F4F6F7"/>
            <w:vAlign w:val="center"/>
            <w:tcMar>
              <w:top w:w="100" w:type="dxa"/>
              <w:start w:w="110" w:type="dxa"/>
              <w:bottom w:w="100" w:type="dxa"/>
              <w:end w:w="110" w:type="dxa"/>
            </w:tcMar>
          </w:tcPr>
          <w:p>
            <w:pPr>
              <w:spacing w:after="0" w:line="252" w:lineRule="auto"/>
            </w:pPr>
            <w:r>
              <w:rPr>
                <w:rFonts w:ascii="Arial" w:hAnsi="Arial"/>
                <w:color w:val="1F2933"/>
                <w:sz w:val="18"/>
              </w:rPr>
              <w:t>AI status</w:t>
            </w:r>
          </w:p>
        </w:tc>
        <w:tc>
          <w:tcPr>
            <w:tcW w:type="dxa" w:w="8208"/>
            <w:shd w:fill="F4F6F7"/>
            <w:vAlign w:val="center"/>
            <w:tcMar>
              <w:top w:w="100" w:type="dxa"/>
              <w:start w:w="110" w:type="dxa"/>
              <w:bottom w:w="100" w:type="dxa"/>
              <w:end w:w="110" w:type="dxa"/>
            </w:tcMar>
          </w:tcPr>
          <w:p>
            <w:pPr>
              <w:spacing w:after="0" w:line="252" w:lineRule="auto"/>
            </w:pPr>
            <w:r>
              <w:rPr>
                <w:rFonts w:ascii="Arial" w:hAnsi="Arial"/>
                <w:color w:val="1F2933"/>
                <w:sz w:val="18"/>
              </w:rPr>
              <w:t>No AI or machine learning is used. Detection and scoring are deterministic and explainable.</w:t>
            </w:r>
          </w:p>
        </w:tc>
      </w:tr>
    </w:tbl>
    <w:p>
      <w:pPr>
        <w:spacing w:after="40"/>
      </w:pPr>
    </w:p>
    <w:p>
      <w:pPr>
        <w:pStyle w:val="Heading2"/>
        <w:keepNext/>
        <w:spacing w:before="160" w:after="100"/>
      </w:pPr>
      <w:r>
        <w:t>Implemented scope and future scope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5184"/>
            <w:shd w:fill="173B57"/>
            <w:vAlign w:val="center"/>
            <w:tcMar>
              <w:top w:w="110" w:type="dxa"/>
              <w:start w:w="110" w:type="dxa"/>
              <w:bottom w:w="110" w:type="dxa"/>
              <w:end w:w="110" w:type="dxa"/>
            </w:tcMar>
          </w:tcPr>
          <w:p>
            <w:pPr>
              <w:spacing w:after="0"/>
              <w:jc w:val="center"/>
            </w:pPr>
            <w:r>
              <w:rPr>
                <w:rFonts w:ascii="Arial" w:hAnsi="Arial"/>
                <w:b/>
                <w:color w:val="FFFFFF"/>
                <w:sz w:val="18"/>
              </w:rPr>
              <w:t>Implemented now</w:t>
            </w:r>
          </w:p>
        </w:tc>
        <w:tc>
          <w:tcPr>
            <w:tcW w:type="dxa" w:w="5256"/>
            <w:shd w:fill="173B57"/>
            <w:vAlign w:val="center"/>
            <w:tcMar>
              <w:top w:w="110" w:type="dxa"/>
              <w:start w:w="110" w:type="dxa"/>
              <w:bottom w:w="110" w:type="dxa"/>
              <w:end w:w="110" w:type="dxa"/>
            </w:tcMar>
          </w:tcPr>
          <w:p>
            <w:pPr>
              <w:spacing w:after="0"/>
              <w:jc w:val="center"/>
            </w:pPr>
            <w:r>
              <w:rPr>
                <w:rFonts w:ascii="Arial" w:hAnsi="Arial"/>
                <w:b/>
                <w:color w:val="FFFFFF"/>
                <w:sz w:val="18"/>
              </w:rPr>
              <w:t>Future work and not current claims</w:t>
            </w:r>
          </w:p>
        </w:tc>
      </w:tr>
      <w:tr>
        <w:trPr>
          <w:cantSplit/>
        </w:trPr>
        <w:tc>
          <w:tcPr>
            <w:tcW w:type="dxa" w:w="5184"/>
            <w:vAlign w:val="center"/>
            <w:tcMar>
              <w:top w:w="100" w:type="dxa"/>
              <w:start w:w="110" w:type="dxa"/>
              <w:bottom w:w="100" w:type="dxa"/>
              <w:end w:w="110" w:type="dxa"/>
            </w:tcMar>
          </w:tcPr>
          <w:p>
            <w:pPr>
              <w:spacing w:after="0" w:line="252" w:lineRule="auto"/>
            </w:pPr>
            <w:r>
              <w:rPr>
                <w:rFonts w:ascii="Arial" w:hAnsi="Arial"/>
                <w:color w:val="1F2933"/>
                <w:sz w:val="18"/>
              </w:rPr>
              <w:t>Register application baselines and ownership</w:t>
            </w:r>
          </w:p>
        </w:tc>
        <w:tc>
          <w:tcPr>
            <w:tcW w:type="dxa" w:w="5256"/>
            <w:vAlign w:val="center"/>
            <w:tcMar>
              <w:top w:w="100" w:type="dxa"/>
              <w:start w:w="110" w:type="dxa"/>
              <w:bottom w:w="100" w:type="dxa"/>
              <w:end w:w="110" w:type="dxa"/>
            </w:tcMar>
          </w:tcPr>
          <w:p>
            <w:pPr>
              <w:spacing w:after="0" w:line="252" w:lineRule="auto"/>
            </w:pPr>
            <w:r>
              <w:rPr>
                <w:rFonts w:ascii="Arial" w:hAnsi="Arial"/>
                <w:color w:val="1F2933"/>
                <w:sz w:val="18"/>
              </w:rPr>
              <w:t>User authentication, Spring Security, and role based access control</w:t>
            </w:r>
          </w:p>
        </w:tc>
      </w:tr>
      <w:tr>
        <w:trPr>
          <w:cantSplit/>
        </w:trPr>
        <w:tc>
          <w:tcPr>
            <w:tcW w:type="dxa" w:w="5184"/>
            <w:shd w:fill="F4F6F7"/>
            <w:vAlign w:val="center"/>
            <w:tcMar>
              <w:top w:w="100" w:type="dxa"/>
              <w:start w:w="110" w:type="dxa"/>
              <w:bottom w:w="100" w:type="dxa"/>
              <w:end w:w="110" w:type="dxa"/>
            </w:tcMar>
          </w:tcPr>
          <w:p>
            <w:pPr>
              <w:spacing w:after="0" w:line="252" w:lineRule="auto"/>
            </w:pPr>
            <w:r>
              <w:rPr>
                <w:rFonts w:ascii="Arial" w:hAnsi="Arial"/>
                <w:color w:val="1F2933"/>
                <w:sz w:val="18"/>
              </w:rPr>
              <w:t>Inspect public Git repositories and local directories</w:t>
            </w:r>
          </w:p>
        </w:tc>
        <w:tc>
          <w:tcPr>
            <w:tcW w:type="dxa" w:w="5256"/>
            <w:shd w:fill="F4F6F7"/>
            <w:vAlign w:val="center"/>
            <w:tcMar>
              <w:top w:w="100" w:type="dxa"/>
              <w:start w:w="110" w:type="dxa"/>
              <w:bottom w:w="100" w:type="dxa"/>
              <w:end w:w="110" w:type="dxa"/>
            </w:tcMar>
          </w:tcPr>
          <w:p>
            <w:pPr>
              <w:spacing w:after="0" w:line="252" w:lineRule="auto"/>
            </w:pPr>
            <w:r>
              <w:rPr>
                <w:rFonts w:ascii="Arial" w:hAnsi="Arial"/>
                <w:color w:val="1F2933"/>
                <w:sz w:val="18"/>
              </w:rPr>
              <w:t>Private repository authentication and organization wide repository discovery</w:t>
            </w:r>
          </w:p>
        </w:tc>
      </w:tr>
      <w:tr>
        <w:trPr>
          <w:cantSplit/>
        </w:trPr>
        <w:tc>
          <w:tcPr>
            <w:tcW w:type="dxa" w:w="5184"/>
            <w:vAlign w:val="center"/>
            <w:tcMar>
              <w:top w:w="100" w:type="dxa"/>
              <w:start w:w="110" w:type="dxa"/>
              <w:bottom w:w="100" w:type="dxa"/>
              <w:end w:w="110" w:type="dxa"/>
            </w:tcMar>
          </w:tcPr>
          <w:p>
            <w:pPr>
              <w:spacing w:after="0" w:line="252" w:lineRule="auto"/>
            </w:pPr>
            <w:r>
              <w:rPr>
                <w:rFonts w:ascii="Arial" w:hAnsi="Arial"/>
                <w:color w:val="1F2933"/>
                <w:sz w:val="18"/>
              </w:rPr>
              <w:t>Parse Maven, Gradle, Dockerfile, and Compose configuration</w:t>
            </w:r>
          </w:p>
        </w:tc>
        <w:tc>
          <w:tcPr>
            <w:tcW w:type="dxa" w:w="5256"/>
            <w:vAlign w:val="center"/>
            <w:tcMar>
              <w:top w:w="100" w:type="dxa"/>
              <w:start w:w="110" w:type="dxa"/>
              <w:bottom w:w="100" w:type="dxa"/>
              <w:end w:w="110" w:type="dxa"/>
            </w:tcMar>
          </w:tcPr>
          <w:p>
            <w:pPr>
              <w:spacing w:after="0" w:line="252" w:lineRule="auto"/>
            </w:pPr>
            <w:r>
              <w:rPr>
                <w:rFonts w:ascii="Arial" w:hAnsi="Arial"/>
                <w:color w:val="1F2933"/>
                <w:sz w:val="18"/>
              </w:rPr>
              <w:t>Kubernetes manifests, Terraform, SBOM ingestion, and additional language ecosystems</w:t>
            </w:r>
          </w:p>
        </w:tc>
      </w:tr>
      <w:tr>
        <w:trPr>
          <w:cantSplit/>
        </w:trPr>
        <w:tc>
          <w:tcPr>
            <w:tcW w:type="dxa" w:w="5184"/>
            <w:shd w:fill="F4F6F7"/>
            <w:vAlign w:val="center"/>
            <w:tcMar>
              <w:top w:w="100" w:type="dxa"/>
              <w:start w:w="110" w:type="dxa"/>
              <w:bottom w:w="100" w:type="dxa"/>
              <w:end w:w="110" w:type="dxa"/>
            </w:tcMar>
          </w:tcPr>
          <w:p>
            <w:pPr>
              <w:spacing w:after="0" w:line="252" w:lineRule="auto"/>
            </w:pPr>
            <w:r>
              <w:rPr>
                <w:rFonts w:ascii="Arial" w:hAnsi="Arial"/>
                <w:color w:val="1F2933"/>
                <w:sz w:val="18"/>
              </w:rPr>
              <w:t>Accept manual and REST API runtime observations</w:t>
            </w:r>
          </w:p>
        </w:tc>
        <w:tc>
          <w:tcPr>
            <w:tcW w:type="dxa" w:w="5256"/>
            <w:shd w:fill="F4F6F7"/>
            <w:vAlign w:val="center"/>
            <w:tcMar>
              <w:top w:w="100" w:type="dxa"/>
              <w:start w:w="110" w:type="dxa"/>
              <w:bottom w:w="100" w:type="dxa"/>
              <w:end w:w="110" w:type="dxa"/>
            </w:tcMar>
          </w:tcPr>
          <w:p>
            <w:pPr>
              <w:spacing w:after="0" w:line="252" w:lineRule="auto"/>
            </w:pPr>
            <w:r>
              <w:rPr>
                <w:rFonts w:ascii="Arial" w:hAnsi="Arial"/>
                <w:color w:val="1F2933"/>
                <w:sz w:val="18"/>
              </w:rPr>
              <w:t>Read only Docker Engine collector and authenticated host agent</w:t>
            </w:r>
          </w:p>
        </w:tc>
      </w:tr>
      <w:tr>
        <w:trPr>
          <w:cantSplit/>
        </w:trPr>
        <w:tc>
          <w:tcPr>
            <w:tcW w:type="dxa" w:w="5184"/>
            <w:vAlign w:val="center"/>
            <w:tcMar>
              <w:top w:w="100" w:type="dxa"/>
              <w:start w:w="110" w:type="dxa"/>
              <w:bottom w:w="100" w:type="dxa"/>
              <w:end w:w="110" w:type="dxa"/>
            </w:tcMar>
          </w:tcPr>
          <w:p>
            <w:pPr>
              <w:spacing w:after="0" w:line="252" w:lineRule="auto"/>
            </w:pPr>
            <w:r>
              <w:rPr>
                <w:rFonts w:ascii="Arial" w:hAnsi="Arial"/>
                <w:color w:val="1F2933"/>
                <w:sz w:val="18"/>
              </w:rPr>
              <w:t>Apply six deterministic drift rules</w:t>
            </w:r>
          </w:p>
        </w:tc>
        <w:tc>
          <w:tcPr>
            <w:tcW w:type="dxa" w:w="5256"/>
            <w:vAlign w:val="center"/>
            <w:tcMar>
              <w:top w:w="100" w:type="dxa"/>
              <w:start w:w="110" w:type="dxa"/>
              <w:bottom w:w="100" w:type="dxa"/>
              <w:end w:w="110" w:type="dxa"/>
            </w:tcMar>
          </w:tcPr>
          <w:p>
            <w:pPr>
              <w:spacing w:after="0" w:line="252" w:lineRule="auto"/>
            </w:pPr>
            <w:r>
              <w:rPr>
                <w:rFonts w:ascii="Arial" w:hAnsi="Arial"/>
                <w:color w:val="1F2933"/>
                <w:sz w:val="18"/>
              </w:rPr>
              <w:t>CVE, OSV, NVD, and CISA KEV enrichment</w:t>
            </w:r>
          </w:p>
        </w:tc>
      </w:tr>
      <w:tr>
        <w:trPr>
          <w:cantSplit/>
        </w:trPr>
        <w:tc>
          <w:tcPr>
            <w:tcW w:type="dxa" w:w="5184"/>
            <w:shd w:fill="F4F6F7"/>
            <w:vAlign w:val="center"/>
            <w:tcMar>
              <w:top w:w="100" w:type="dxa"/>
              <w:start w:w="110" w:type="dxa"/>
              <w:bottom w:w="100" w:type="dxa"/>
              <w:end w:w="110" w:type="dxa"/>
            </w:tcMar>
          </w:tcPr>
          <w:p>
            <w:pPr>
              <w:spacing w:after="0" w:line="252" w:lineRule="auto"/>
            </w:pPr>
            <w:r>
              <w:rPr>
                <w:rFonts w:ascii="Arial" w:hAnsi="Arial"/>
                <w:color w:val="1F2933"/>
                <w:sz w:val="18"/>
              </w:rPr>
              <w:t>Persist findings and scan history in H2</w:t>
            </w:r>
          </w:p>
        </w:tc>
        <w:tc>
          <w:tcPr>
            <w:tcW w:type="dxa" w:w="5256"/>
            <w:shd w:fill="F4F6F7"/>
            <w:vAlign w:val="center"/>
            <w:tcMar>
              <w:top w:w="100" w:type="dxa"/>
              <w:start w:w="110" w:type="dxa"/>
              <w:bottom w:w="100" w:type="dxa"/>
              <w:end w:w="110" w:type="dxa"/>
            </w:tcMar>
          </w:tcPr>
          <w:p>
            <w:pPr>
              <w:spacing w:after="0" w:line="252" w:lineRule="auto"/>
            </w:pPr>
            <w:r>
              <w:rPr>
                <w:rFonts w:ascii="Arial" w:hAnsi="Arial"/>
                <w:color w:val="1F2933"/>
                <w:sz w:val="18"/>
              </w:rPr>
              <w:t>PostgreSQL, durable queues, scheduled distributed scans, and alert integrations</w:t>
            </w:r>
          </w:p>
        </w:tc>
      </w:tr>
      <w:tr>
        <w:trPr>
          <w:cantSplit/>
        </w:trPr>
        <w:tc>
          <w:tcPr>
            <w:tcW w:type="dxa" w:w="5184"/>
            <w:vAlign w:val="center"/>
            <w:tcMar>
              <w:top w:w="100" w:type="dxa"/>
              <w:start w:w="110" w:type="dxa"/>
              <w:bottom w:w="100" w:type="dxa"/>
              <w:end w:w="110" w:type="dxa"/>
            </w:tcMar>
          </w:tcPr>
          <w:p>
            <w:pPr>
              <w:spacing w:after="0" w:line="252" w:lineRule="auto"/>
            </w:pPr>
            <w:r>
              <w:rPr>
                <w:rFonts w:ascii="Arial" w:hAnsi="Arial"/>
                <w:color w:val="1F2933"/>
                <w:sz w:val="18"/>
              </w:rPr>
              <w:t>Track finding status as open, resolved, or accepted</w:t>
            </w:r>
          </w:p>
        </w:tc>
        <w:tc>
          <w:tcPr>
            <w:tcW w:type="dxa" w:w="5256"/>
            <w:vAlign w:val="center"/>
            <w:tcMar>
              <w:top w:w="100" w:type="dxa"/>
              <w:start w:w="110" w:type="dxa"/>
              <w:bottom w:w="100" w:type="dxa"/>
              <w:end w:w="110" w:type="dxa"/>
            </w:tcMar>
          </w:tcPr>
          <w:p>
            <w:pPr>
              <w:spacing w:after="0" w:line="252" w:lineRule="auto"/>
            </w:pPr>
            <w:r>
              <w:rPr>
                <w:rFonts w:ascii="Arial" w:hAnsi="Arial"/>
                <w:color w:val="1F2933"/>
                <w:sz w:val="18"/>
              </w:rPr>
              <w:t>Automated remediation and policy orchestration</w:t>
            </w:r>
          </w:p>
        </w:tc>
      </w:tr>
    </w:tbl>
    <w:p>
      <w:pPr>
        <w:spacing w:after="40"/>
      </w:pPr>
    </w:p>
    <w:p>
      <w:r>
        <w:br w:type="page"/>
      </w:r>
    </w:p>
    <w:p>
      <w:pPr>
        <w:pStyle w:val="Heading1"/>
        <w:keepNext/>
        <w:spacing w:before="240" w:after="100"/>
      </w:pPr>
      <w:r>
        <w:t>Abstract content guide</w:t>
      </w:r>
    </w:p>
    <w:p>
      <w:pPr>
        <w:spacing w:after="120" w:line="269" w:lineRule="auto"/>
      </w:pPr>
      <w:r>
        <w:rPr>
          <w:rFonts w:ascii="Arial" w:hAnsi="Arial"/>
          <w:i w:val="0"/>
          <w:color w:val="1F2933"/>
          <w:sz w:val="21"/>
        </w:rPr>
        <w:t>The abstract should be written as one compact paragraph. It should not contain citations unless the required institutional format explicitly allows them.</w:t>
      </w:r>
    </w:p>
    <w:p>
      <w:pPr>
        <w:spacing w:after="80" w:line="264" w:lineRule="auto"/>
        <w:ind w:left="389" w:hanging="389"/>
      </w:pPr>
      <w:r>
        <w:rPr>
          <w:rFonts w:ascii="Arial" w:hAnsi="Arial"/>
          <w:color w:val="1F2933"/>
          <w:sz w:val="21"/>
        </w:rPr>
        <w:t>1.  Open with the deployment drift problem: an approved source or configuration state may differ from what a repository or runtime observation shows later.</w:t>
      </w:r>
    </w:p>
    <w:p>
      <w:pPr>
        <w:spacing w:after="80" w:line="264" w:lineRule="auto"/>
        <w:ind w:left="389" w:hanging="389"/>
      </w:pPr>
      <w:r>
        <w:rPr>
          <w:rFonts w:ascii="Arial" w:hAnsi="Arial"/>
          <w:color w:val="1F2933"/>
          <w:sz w:val="21"/>
        </w:rPr>
        <w:t>2.  State the objective: develop an explainable system that compares application intent with observed evidence and prioritizes mismatches.</w:t>
      </w:r>
    </w:p>
    <w:p>
      <w:pPr>
        <w:spacing w:after="80" w:line="264" w:lineRule="auto"/>
        <w:ind w:left="389" w:hanging="389"/>
      </w:pPr>
      <w:r>
        <w:rPr>
          <w:rFonts w:ascii="Arial" w:hAnsi="Arial"/>
          <w:color w:val="1F2933"/>
          <w:sz w:val="21"/>
        </w:rPr>
        <w:t>3.  Describe the method: registered baselines, repository configuration extraction, normalized scan input, six deterministic rules, and context based scoring.</w:t>
      </w:r>
    </w:p>
    <w:p>
      <w:pPr>
        <w:spacing w:after="80" w:line="264" w:lineRule="auto"/>
        <w:ind w:left="389" w:hanging="389"/>
      </w:pPr>
      <w:r>
        <w:rPr>
          <w:rFonts w:ascii="Arial" w:hAnsi="Arial"/>
          <w:color w:val="1F2933"/>
          <w:sz w:val="21"/>
        </w:rPr>
        <w:t>4.  Name the implementation: Java 21 and Spring Boot with a web interface, REST API, persistence, JGit repository acquisition, and automated tests.</w:t>
      </w:r>
    </w:p>
    <w:p>
      <w:pPr>
        <w:spacing w:after="80" w:line="264" w:lineRule="auto"/>
        <w:ind w:left="389" w:hanging="389"/>
      </w:pPr>
      <w:r>
        <w:rPr>
          <w:rFonts w:ascii="Arial" w:hAnsi="Arial"/>
          <w:color w:val="1F2933"/>
          <w:sz w:val="21"/>
        </w:rPr>
        <w:t>5.  Report verified evidence: 11 of 11 tests passed; the benchmark contains 120 labeled cases; two public repository scans completed and produced five and two findings respectively.</w:t>
      </w:r>
    </w:p>
    <w:p>
      <w:pPr>
        <w:spacing w:after="80" w:line="264" w:lineRule="auto"/>
        <w:ind w:left="389" w:hanging="389"/>
      </w:pPr>
      <w:r>
        <w:rPr>
          <w:rFonts w:ascii="Arial" w:hAnsi="Arial"/>
          <w:color w:val="1F2933"/>
          <w:sz w:val="21"/>
        </w:rPr>
        <w:t>6.  Close carefully: the prototype demonstrates feasible evidence linked drift detection, while broader runtime collection and independently measured precision and recall remain future work.</w:t>
      </w:r>
    </w:p>
    <w:p>
      <w:pPr>
        <w:spacing w:after="120" w:line="269" w:lineRule="auto"/>
      </w:pPr>
      <w:r>
        <w:rPr>
          <w:rFonts w:ascii="Arial" w:hAnsi="Arial"/>
          <w:i/>
          <w:color w:val="1F2933"/>
          <w:sz w:val="21"/>
        </w:rPr>
        <w:t>Do not state that the system uses artificial intelligence, continuously monitors live infrastructure, automatically discovers vulnerabilities, or has achieved a measured accuracy percentage. None of those claims has been established.</w:t>
      </w:r>
    </w:p>
    <w:p>
      <w:pPr>
        <w:pStyle w:val="Heading1"/>
        <w:keepNext/>
        <w:spacing w:before="240" w:after="100"/>
      </w:pPr>
      <w:r>
        <w:t>Introduction content guide</w:t>
      </w:r>
    </w:p>
    <w:p>
      <w:pPr>
        <w:pStyle w:val="Heading2"/>
        <w:keepNext/>
        <w:spacing w:before="160" w:after="100"/>
      </w:pPr>
      <w:r>
        <w:t>Problem background</w:t>
      </w:r>
    </w:p>
    <w:p>
      <w:pPr>
        <w:spacing w:after="120" w:line="269" w:lineRule="auto"/>
      </w:pPr>
      <w:r>
        <w:rPr>
          <w:rFonts w:ascii="Arial" w:hAnsi="Arial"/>
          <w:i w:val="0"/>
          <w:color w:val="1F2933"/>
          <w:sz w:val="21"/>
        </w:rPr>
        <w:t>Explain that secure application development does not guarantee a secure deployed state. Configuration changes, emergency upgrades, image replacement, port publishing, privilege changes, or dependency replacement can create a difference between the approved baseline and the observed state. Define this difference as application and infrastructure security drift.</w:t>
      </w:r>
    </w:p>
    <w:p>
      <w:pPr>
        <w:spacing w:after="120" w:line="269" w:lineRule="auto"/>
      </w:pPr>
      <w:r>
        <w:rPr>
          <w:rFonts w:ascii="Arial" w:hAnsi="Arial"/>
          <w:i w:val="0"/>
          <w:color w:val="1F2933"/>
          <w:sz w:val="21"/>
        </w:rPr>
        <w:t>Use concrete examples: Java 21 is approved but Java 17 is detected; an internal database is exposed publicly; a non root container is expected but root is configured; the Docker socket is mounted; the running image digest differs; or the dependency version differs from the approved record.</w:t>
      </w:r>
    </w:p>
    <w:p>
      <w:pPr>
        <w:pStyle w:val="Heading2"/>
        <w:keepNext/>
        <w:spacing w:before="160" w:after="100"/>
      </w:pPr>
      <w:r>
        <w:t>Research gap</w:t>
      </w:r>
    </w:p>
    <w:p>
      <w:pPr>
        <w:spacing w:after="120" w:line="269" w:lineRule="auto"/>
      </w:pPr>
      <w:r>
        <w:rPr>
          <w:rFonts w:ascii="Arial" w:hAnsi="Arial"/>
          <w:i w:val="0"/>
          <w:color w:val="1F2933"/>
          <w:sz w:val="21"/>
        </w:rPr>
        <w:t>Existing research and commercial tools often focus on one layer such as vulnerable dependencies, SBOM generation, container isolation, configuration validation, exposed services, or runtime enforcement. The project investigates whether a small explainable system can combine a project specific approved baseline with repository and supplied runtime evidence, then preserve the reason and evidence for each mismatch.</w:t>
      </w:r>
    </w:p>
    <w:p>
      <w:pPr>
        <w:pStyle w:val="Heading2"/>
        <w:keepNext/>
        <w:spacing w:before="160" w:after="100"/>
      </w:pPr>
      <w:r>
        <w:t>Objectives</w:t>
      </w:r>
    </w:p>
    <w:p>
      <w:pPr>
        <w:pStyle w:val="ListBullet"/>
        <w:spacing w:after="60" w:line="259" w:lineRule="auto"/>
      </w:pPr>
      <w:r>
        <w:rPr>
          <w:rFonts w:ascii="Arial" w:hAnsi="Arial"/>
          <w:color w:val="1F2933"/>
          <w:sz w:val="21"/>
        </w:rPr>
        <w:t>Store an approved baseline for each application.</w:t>
      </w:r>
    </w:p>
    <w:p>
      <w:pPr>
        <w:pStyle w:val="ListBullet"/>
        <w:spacing w:after="60" w:line="259" w:lineRule="auto"/>
      </w:pPr>
      <w:r>
        <w:rPr>
          <w:rFonts w:ascii="Arial" w:hAnsi="Arial"/>
          <w:color w:val="1F2933"/>
          <w:sz w:val="21"/>
        </w:rPr>
        <w:t>Extract supported configuration evidence from user supplied repositories without modifying them.</w:t>
      </w:r>
    </w:p>
    <w:p>
      <w:pPr>
        <w:pStyle w:val="ListBullet"/>
        <w:spacing w:after="60" w:line="259" w:lineRule="auto"/>
      </w:pPr>
      <w:r>
        <w:rPr>
          <w:rFonts w:ascii="Arial" w:hAnsi="Arial"/>
          <w:color w:val="1F2933"/>
          <w:sz w:val="21"/>
        </w:rPr>
        <w:t>Accept observed runtime facts through the web interface and REST API.</w:t>
      </w:r>
    </w:p>
    <w:p>
      <w:pPr>
        <w:pStyle w:val="ListBullet"/>
        <w:spacing w:after="60" w:line="259" w:lineRule="auto"/>
      </w:pPr>
      <w:r>
        <w:rPr>
          <w:rFonts w:ascii="Arial" w:hAnsi="Arial"/>
          <w:color w:val="1F2933"/>
          <w:sz w:val="21"/>
        </w:rPr>
        <w:t>Detect six classes of baseline drift with deterministic rules.</w:t>
      </w:r>
    </w:p>
    <w:p>
      <w:pPr>
        <w:pStyle w:val="ListBullet"/>
        <w:spacing w:after="60" w:line="259" w:lineRule="auto"/>
      </w:pPr>
      <w:r>
        <w:rPr>
          <w:rFonts w:ascii="Arial" w:hAnsi="Arial"/>
          <w:color w:val="1F2933"/>
          <w:sz w:val="21"/>
        </w:rPr>
        <w:t>Prioritize each finding using rule risk, asset criticality, Internet exposure, and known exploitation context.</w:t>
      </w:r>
    </w:p>
    <w:p>
      <w:pPr>
        <w:pStyle w:val="ListBullet"/>
        <w:spacing w:after="60" w:line="259" w:lineRule="auto"/>
      </w:pPr>
      <w:r>
        <w:rPr>
          <w:rFonts w:ascii="Arial" w:hAnsi="Arial"/>
          <w:color w:val="1F2933"/>
          <w:sz w:val="21"/>
        </w:rPr>
        <w:t>Preserve evidence, scan history, remediation guidance, and finding status.</w:t>
      </w:r>
    </w:p>
    <w:p>
      <w:pPr>
        <w:pStyle w:val="Heading2"/>
        <w:keepNext/>
        <w:spacing w:before="160" w:after="100"/>
      </w:pPr>
      <w:r>
        <w:t>Suggested research questions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792"/>
            <w:shd w:fill="173B57"/>
            <w:vAlign w:val="center"/>
            <w:tcMar>
              <w:top w:w="110" w:type="dxa"/>
              <w:start w:w="110" w:type="dxa"/>
              <w:bottom w:w="110" w:type="dxa"/>
              <w:end w:w="110" w:type="dxa"/>
            </w:tcMar>
          </w:tcPr>
          <w:p>
            <w:pPr>
              <w:spacing w:after="0"/>
              <w:jc w:val="center"/>
            </w:pPr>
            <w:r>
              <w:rPr>
                <w:rFonts w:ascii="Arial" w:hAnsi="Arial"/>
                <w:b/>
                <w:color w:val="FFFFFF"/>
                <w:sz w:val="18"/>
              </w:rPr>
              <w:t>ID</w:t>
            </w:r>
          </w:p>
        </w:tc>
        <w:tc>
          <w:tcPr>
            <w:tcW w:type="dxa" w:w="5832"/>
            <w:shd w:fill="173B57"/>
            <w:vAlign w:val="center"/>
            <w:tcMar>
              <w:top w:w="110" w:type="dxa"/>
              <w:start w:w="110" w:type="dxa"/>
              <w:bottom w:w="110" w:type="dxa"/>
              <w:end w:w="110" w:type="dxa"/>
            </w:tcMar>
          </w:tcPr>
          <w:p>
            <w:pPr>
              <w:spacing w:after="0"/>
              <w:jc w:val="center"/>
            </w:pPr>
            <w:r>
              <w:rPr>
                <w:rFonts w:ascii="Arial" w:hAnsi="Arial"/>
                <w:b/>
                <w:color w:val="FFFFFF"/>
                <w:sz w:val="18"/>
              </w:rPr>
              <w:t>Research question</w:t>
            </w:r>
          </w:p>
        </w:tc>
        <w:tc>
          <w:tcPr>
            <w:tcW w:type="dxa" w:w="3816"/>
            <w:shd w:fill="173B57"/>
            <w:vAlign w:val="center"/>
            <w:tcMar>
              <w:top w:w="110" w:type="dxa"/>
              <w:start w:w="110" w:type="dxa"/>
              <w:bottom w:w="110" w:type="dxa"/>
              <w:end w:w="110" w:type="dxa"/>
            </w:tcMar>
          </w:tcPr>
          <w:p>
            <w:pPr>
              <w:spacing w:after="0"/>
              <w:jc w:val="center"/>
            </w:pPr>
            <w:r>
              <w:rPr>
                <w:rFonts w:ascii="Arial" w:hAnsi="Arial"/>
                <w:b/>
                <w:color w:val="FFFFFF"/>
                <w:sz w:val="18"/>
              </w:rPr>
              <w:t>Evidence needed</w:t>
            </w:r>
          </w:p>
        </w:tc>
      </w:tr>
      <w:tr>
        <w:trPr>
          <w:cantSplit/>
        </w:trPr>
        <w:tc>
          <w:tcPr>
            <w:tcW w:type="dxa" w:w="792"/>
            <w:vAlign w:val="center"/>
            <w:tcMar>
              <w:top w:w="100" w:type="dxa"/>
              <w:start w:w="110" w:type="dxa"/>
              <w:bottom w:w="100" w:type="dxa"/>
              <w:end w:w="110" w:type="dxa"/>
            </w:tcMar>
          </w:tcPr>
          <w:p>
            <w:pPr>
              <w:spacing w:after="0" w:line="252" w:lineRule="auto"/>
            </w:pPr>
            <w:r>
              <w:rPr>
                <w:rFonts w:ascii="Arial" w:hAnsi="Arial"/>
                <w:color w:val="1F2933"/>
                <w:sz w:val="18"/>
              </w:rPr>
              <w:t>RQ1</w:t>
            </w:r>
          </w:p>
        </w:tc>
        <w:tc>
          <w:tcPr>
            <w:tcW w:type="dxa" w:w="5832"/>
            <w:vAlign w:val="center"/>
            <w:tcMar>
              <w:top w:w="100" w:type="dxa"/>
              <w:start w:w="110" w:type="dxa"/>
              <w:bottom w:w="100" w:type="dxa"/>
              <w:end w:w="110" w:type="dxa"/>
            </w:tcMar>
          </w:tcPr>
          <w:p>
            <w:pPr>
              <w:spacing w:after="0" w:line="252" w:lineRule="auto"/>
            </w:pPr>
            <w:r>
              <w:rPr>
                <w:rFonts w:ascii="Arial" w:hAnsi="Arial"/>
                <w:color w:val="1F2933"/>
                <w:sz w:val="18"/>
              </w:rPr>
              <w:t>Can deterministic baseline comparison correctly identify the six supported drift categories in controlled cases?</w:t>
            </w:r>
          </w:p>
        </w:tc>
        <w:tc>
          <w:tcPr>
            <w:tcW w:type="dxa" w:w="3816"/>
            <w:vAlign w:val="center"/>
            <w:tcMar>
              <w:top w:w="100" w:type="dxa"/>
              <w:start w:w="110" w:type="dxa"/>
              <w:bottom w:w="100" w:type="dxa"/>
              <w:end w:w="110" w:type="dxa"/>
            </w:tcMar>
          </w:tcPr>
          <w:p>
            <w:pPr>
              <w:spacing w:after="0" w:line="252" w:lineRule="auto"/>
            </w:pPr>
            <w:r>
              <w:rPr>
                <w:rFonts w:ascii="Arial" w:hAnsi="Arial"/>
                <w:color w:val="1F2933"/>
                <w:sz w:val="18"/>
              </w:rPr>
              <w:t>Execute the 120 cases and compare actual outputs with expected rule IDs.</w:t>
            </w:r>
          </w:p>
        </w:tc>
      </w:tr>
      <w:tr>
        <w:trPr>
          <w:cantSplit/>
        </w:trPr>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8"/>
              </w:rPr>
              <w:t>RQ2</w:t>
            </w:r>
          </w:p>
        </w:tc>
        <w:tc>
          <w:tcPr>
            <w:tcW w:type="dxa" w:w="5832"/>
            <w:shd w:fill="F4F6F7"/>
            <w:vAlign w:val="center"/>
            <w:tcMar>
              <w:top w:w="100" w:type="dxa"/>
              <w:start w:w="110" w:type="dxa"/>
              <w:bottom w:w="100" w:type="dxa"/>
              <w:end w:w="110" w:type="dxa"/>
            </w:tcMar>
          </w:tcPr>
          <w:p>
            <w:pPr>
              <w:spacing w:after="0" w:line="252" w:lineRule="auto"/>
            </w:pPr>
            <w:r>
              <w:rPr>
                <w:rFonts w:ascii="Arial" w:hAnsi="Arial"/>
                <w:color w:val="1F2933"/>
                <w:sz w:val="18"/>
              </w:rPr>
              <w:t>Can CodeShield extract usable security evidence from real public repositories?</w:t>
            </w:r>
          </w:p>
        </w:tc>
        <w:tc>
          <w:tcPr>
            <w:tcW w:type="dxa" w:w="3816"/>
            <w:shd w:fill="F4F6F7"/>
            <w:vAlign w:val="center"/>
            <w:tcMar>
              <w:top w:w="100" w:type="dxa"/>
              <w:start w:w="110" w:type="dxa"/>
              <w:bottom w:w="100" w:type="dxa"/>
              <w:end w:w="110" w:type="dxa"/>
            </w:tcMar>
          </w:tcPr>
          <w:p>
            <w:pPr>
              <w:spacing w:after="0" w:line="252" w:lineRule="auto"/>
            </w:pPr>
            <w:r>
              <w:rPr>
                <w:rFonts w:ascii="Arial" w:hAnsi="Arial"/>
                <w:color w:val="1F2933"/>
                <w:sz w:val="18"/>
              </w:rPr>
              <w:t>Repository scan completion, parsed files, extracted observations, findings, and scan time.</w:t>
            </w:r>
          </w:p>
        </w:tc>
      </w:tr>
      <w:tr>
        <w:trPr>
          <w:cantSplit/>
        </w:trPr>
        <w:tc>
          <w:tcPr>
            <w:tcW w:type="dxa" w:w="792"/>
            <w:vAlign w:val="center"/>
            <w:tcMar>
              <w:top w:w="100" w:type="dxa"/>
              <w:start w:w="110" w:type="dxa"/>
              <w:bottom w:w="100" w:type="dxa"/>
              <w:end w:w="110" w:type="dxa"/>
            </w:tcMar>
          </w:tcPr>
          <w:p>
            <w:pPr>
              <w:spacing w:after="0" w:line="252" w:lineRule="auto"/>
            </w:pPr>
            <w:r>
              <w:rPr>
                <w:rFonts w:ascii="Arial" w:hAnsi="Arial"/>
                <w:color w:val="1F2933"/>
                <w:sz w:val="18"/>
              </w:rPr>
              <w:t>RQ3</w:t>
            </w:r>
          </w:p>
        </w:tc>
        <w:tc>
          <w:tcPr>
            <w:tcW w:type="dxa" w:w="5832"/>
            <w:vAlign w:val="center"/>
            <w:tcMar>
              <w:top w:w="100" w:type="dxa"/>
              <w:start w:w="110" w:type="dxa"/>
              <w:bottom w:w="100" w:type="dxa"/>
              <w:end w:w="110" w:type="dxa"/>
            </w:tcMar>
          </w:tcPr>
          <w:p>
            <w:pPr>
              <w:spacing w:after="0" w:line="252" w:lineRule="auto"/>
            </w:pPr>
            <w:r>
              <w:rPr>
                <w:rFonts w:ascii="Arial" w:hAnsi="Arial"/>
                <w:color w:val="1F2933"/>
                <w:sz w:val="18"/>
              </w:rPr>
              <w:t>How does context change finding priority?</w:t>
            </w:r>
          </w:p>
        </w:tc>
        <w:tc>
          <w:tcPr>
            <w:tcW w:type="dxa" w:w="3816"/>
            <w:vAlign w:val="center"/>
            <w:tcMar>
              <w:top w:w="100" w:type="dxa"/>
              <w:start w:w="110" w:type="dxa"/>
              <w:bottom w:w="100" w:type="dxa"/>
              <w:end w:w="110" w:type="dxa"/>
            </w:tcMar>
          </w:tcPr>
          <w:p>
            <w:pPr>
              <w:spacing w:after="0" w:line="252" w:lineRule="auto"/>
            </w:pPr>
            <w:r>
              <w:rPr>
                <w:rFonts w:ascii="Arial" w:hAnsi="Arial"/>
                <w:color w:val="1F2933"/>
                <w:sz w:val="18"/>
              </w:rPr>
              <w:t>Compare scores while changing only criticality, Internet exposure, or known exploitation.</w:t>
            </w:r>
          </w:p>
        </w:tc>
      </w:tr>
      <w:tr>
        <w:trPr>
          <w:cantSplit/>
        </w:trPr>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8"/>
              </w:rPr>
              <w:t>RQ4</w:t>
            </w:r>
          </w:p>
        </w:tc>
        <w:tc>
          <w:tcPr>
            <w:tcW w:type="dxa" w:w="5832"/>
            <w:shd w:fill="F4F6F7"/>
            <w:vAlign w:val="center"/>
            <w:tcMar>
              <w:top w:w="100" w:type="dxa"/>
              <w:start w:w="110" w:type="dxa"/>
              <w:bottom w:w="100" w:type="dxa"/>
              <w:end w:w="110" w:type="dxa"/>
            </w:tcMar>
          </w:tcPr>
          <w:p>
            <w:pPr>
              <w:spacing w:after="0" w:line="252" w:lineRule="auto"/>
            </w:pPr>
            <w:r>
              <w:rPr>
                <w:rFonts w:ascii="Arial" w:hAnsi="Arial"/>
                <w:color w:val="1F2933"/>
                <w:sz w:val="18"/>
              </w:rPr>
              <w:t>Does each finding remain understandable and traceable?</w:t>
            </w:r>
          </w:p>
        </w:tc>
        <w:tc>
          <w:tcPr>
            <w:tcW w:type="dxa" w:w="3816"/>
            <w:shd w:fill="F4F6F7"/>
            <w:vAlign w:val="center"/>
            <w:tcMar>
              <w:top w:w="100" w:type="dxa"/>
              <w:start w:w="110" w:type="dxa"/>
              <w:bottom w:w="100" w:type="dxa"/>
              <w:end w:w="110" w:type="dxa"/>
            </w:tcMar>
          </w:tcPr>
          <w:p>
            <w:pPr>
              <w:spacing w:after="0" w:line="252" w:lineRule="auto"/>
            </w:pPr>
            <w:r>
              <w:rPr>
                <w:rFonts w:ascii="Arial" w:hAnsi="Arial"/>
                <w:color w:val="1F2933"/>
                <w:sz w:val="18"/>
              </w:rPr>
              <w:t>Review expected state, observed state, evidence source, rule ID, score, and remediation.</w:t>
            </w:r>
          </w:p>
        </w:tc>
      </w:tr>
    </w:tbl>
    <w:p>
      <w:pPr>
        <w:spacing w:after="40"/>
      </w:pPr>
    </w:p>
    <w:p>
      <w:pPr>
        <w:spacing w:after="120" w:line="269" w:lineRule="auto"/>
      </w:pPr>
      <w:r>
        <w:rPr>
          <w:rFonts w:ascii="Arial" w:hAnsi="Arial"/>
          <w:i/>
          <w:color w:val="1F2933"/>
          <w:sz w:val="21"/>
        </w:rPr>
        <w:t>RQ1 through RQ4 are recommended framing. Only RQ2 has preliminary repository scan observations, and RQ1 has a labeled dataset plus unit tests. Do not write final answers for unexecuted experiments.</w:t>
      </w:r>
    </w:p>
    <w:p>
      <w:pPr>
        <w:pStyle w:val="Heading2"/>
        <w:keepNext/>
        <w:spacing w:before="160" w:after="100"/>
      </w:pPr>
      <w:r>
        <w:t>Project contributions</w:t>
      </w:r>
    </w:p>
    <w:p>
      <w:pPr>
        <w:pStyle w:val="ListBullet"/>
        <w:spacing w:after="60" w:line="259" w:lineRule="auto"/>
      </w:pPr>
      <w:r>
        <w:rPr>
          <w:rFonts w:ascii="Arial" w:hAnsi="Arial"/>
          <w:color w:val="1F2933"/>
          <w:sz w:val="21"/>
        </w:rPr>
        <w:t>A simple baseline model that represents approved application configuration.</w:t>
      </w:r>
    </w:p>
    <w:p>
      <w:pPr>
        <w:pStyle w:val="ListBullet"/>
        <w:spacing w:after="60" w:line="259" w:lineRule="auto"/>
      </w:pPr>
      <w:r>
        <w:rPr>
          <w:rFonts w:ascii="Arial" w:hAnsi="Arial"/>
          <w:color w:val="1F2933"/>
          <w:sz w:val="21"/>
        </w:rPr>
        <w:t>A user driven repository inspection path for public HTTPS URLs and local directories.</w:t>
      </w:r>
    </w:p>
    <w:p>
      <w:pPr>
        <w:pStyle w:val="ListBullet"/>
        <w:spacing w:after="60" w:line="259" w:lineRule="auto"/>
      </w:pPr>
      <w:r>
        <w:rPr>
          <w:rFonts w:ascii="Arial" w:hAnsi="Arial"/>
          <w:color w:val="1F2933"/>
          <w:sz w:val="21"/>
        </w:rPr>
        <w:t>An evidence normalization layer that converts repository or manual observations into the same scan request model.</w:t>
      </w:r>
    </w:p>
    <w:p>
      <w:pPr>
        <w:pStyle w:val="ListBullet"/>
        <w:spacing w:after="60" w:line="259" w:lineRule="auto"/>
      </w:pPr>
      <w:r>
        <w:rPr>
          <w:rFonts w:ascii="Arial" w:hAnsi="Arial"/>
          <w:color w:val="1F2933"/>
          <w:sz w:val="21"/>
        </w:rPr>
        <w:t>Six explainable drift rules with stable identifiers and remediation guidance.</w:t>
      </w:r>
    </w:p>
    <w:p>
      <w:pPr>
        <w:pStyle w:val="ListBullet"/>
        <w:spacing w:after="60" w:line="259" w:lineRule="auto"/>
      </w:pPr>
      <w:r>
        <w:rPr>
          <w:rFonts w:ascii="Arial" w:hAnsi="Arial"/>
          <w:color w:val="1F2933"/>
          <w:sz w:val="21"/>
        </w:rPr>
        <w:t>A configurable contextual scoring model and a persistent finding workflow.</w:t>
      </w:r>
    </w:p>
    <w:p>
      <w:pPr>
        <w:pStyle w:val="ListBullet"/>
        <w:spacing w:after="60" w:line="259" w:lineRule="auto"/>
      </w:pPr>
      <w:r>
        <w:rPr>
          <w:rFonts w:ascii="Arial" w:hAnsi="Arial"/>
          <w:color w:val="1F2933"/>
          <w:sz w:val="21"/>
        </w:rPr>
        <w:t>A deterministic benchmark workbook with controlled compliant and drift cases.</w:t>
      </w:r>
    </w:p>
    <w:p>
      <w:pPr>
        <w:spacing w:after="120" w:line="269" w:lineRule="auto"/>
      </w:pPr>
      <w:r>
        <w:rPr>
          <w:rFonts w:ascii="Arial" w:hAnsi="Arial"/>
          <w:i w:val="0"/>
          <w:color w:val="1F2933"/>
          <w:sz w:val="21"/>
        </w:rPr>
        <w:t>Describe these as engineering and evaluation contributions. Do not claim a new vulnerability detection algorithm, a patented invention, or state of the art performance.</w:t>
      </w:r>
    </w:p>
    <w:p>
      <w:r>
        <w:br w:type="page"/>
      </w:r>
    </w:p>
    <w:p>
      <w:pPr>
        <w:pStyle w:val="Heading1"/>
        <w:keepNext/>
        <w:spacing w:before="240" w:after="100"/>
      </w:pPr>
      <w:r>
        <w:t>Relevant work content guide</w:t>
      </w:r>
    </w:p>
    <w:p>
      <w:pPr>
        <w:spacing w:after="120" w:line="269" w:lineRule="auto"/>
      </w:pPr>
      <w:r>
        <w:rPr>
          <w:rFonts w:ascii="Arial" w:hAnsi="Arial"/>
          <w:i w:val="0"/>
          <w:color w:val="1F2933"/>
          <w:sz w:val="21"/>
        </w:rPr>
        <w:t>Organize the related work by research theme instead of summarizing ten papers one by one. Each theme should explain what the literature contributes, its practical limitation for this project, and how CodeShield uses the insight.</w:t>
      </w:r>
    </w:p>
    <w:p>
      <w:pPr>
        <w:pStyle w:val="Heading2"/>
        <w:keepNext/>
        <w:spacing w:before="160" w:after="100"/>
      </w:pPr>
      <w:r>
        <w:t>Container threats and isolation</w:t>
      </w:r>
    </w:p>
    <w:p>
      <w:pPr>
        <w:spacing w:after="120" w:line="269" w:lineRule="auto"/>
      </w:pPr>
      <w:r>
        <w:rPr>
          <w:rFonts w:ascii="Arial" w:hAnsi="Arial"/>
          <w:i w:val="0"/>
          <w:color w:val="1F2933"/>
          <w:sz w:val="21"/>
        </w:rPr>
        <w:t>Jarkas et al. provide a broad taxonomy of container vulnerabilities, attacks, and defenses. Zhou et al. propose ARM CCA based container isolation. He et al. demonstrate cross container attack paths created by powerful eBPF capabilities. Together, these papers justify monitoring container users, mounts, privileges, isolation boundaries, and host control paths. Their focus is taxonomy, isolation, or attack demonstration rather than application specific baseline comparison.</w:t>
      </w:r>
    </w:p>
    <w:p>
      <w:pPr>
        <w:pStyle w:val="Heading2"/>
        <w:keepNext/>
        <w:spacing w:before="160" w:after="100"/>
      </w:pPr>
      <w:r>
        <w:t>Misconfiguration and network exposure</w:t>
      </w:r>
    </w:p>
    <w:p>
      <w:pPr>
        <w:spacing w:after="120" w:line="269" w:lineRule="auto"/>
      </w:pPr>
      <w:r>
        <w:rPr>
          <w:rFonts w:ascii="Arial" w:hAnsi="Arial"/>
          <w:i w:val="0"/>
          <w:color w:val="1F2933"/>
          <w:sz w:val="21"/>
        </w:rPr>
        <w:t>Choi et al. measure Internet exposed Docker and Kubernetes components and demonstrate the security impact of misconfiguration. Rankovic et al. combine schema validation with configuration version comparison to prevent and diagnose distributed cloud errors. These studies support CodeShield's database exposure and configuration difference rules. CodeShield adds a project specific baseline, but its current parser covers only selected build and container files.</w:t>
      </w:r>
    </w:p>
    <w:p>
      <w:pPr>
        <w:pStyle w:val="Heading2"/>
        <w:keepNext/>
        <w:spacing w:before="160" w:after="100"/>
      </w:pPr>
      <w:r>
        <w:t>Dependency reachability and software supply chains</w:t>
      </w:r>
    </w:p>
    <w:p>
      <w:pPr>
        <w:spacing w:after="120" w:line="269" w:lineRule="auto"/>
      </w:pPr>
      <w:r>
        <w:rPr>
          <w:rFonts w:ascii="Arial" w:hAnsi="Arial"/>
          <w:i w:val="0"/>
          <w:color w:val="1F2933"/>
          <w:sz w:val="21"/>
        </w:rPr>
        <w:t>Deng et al. test exploitability through downstream supply chains, while Jia et al. reduce false alarms through vulnerability reachability analysis. Stalnaker et al. document practical SBOM quality, maintenance, and verification problems. These works support the project's decision to treat version differences as evidence that requires context rather than as proof of exploitation. The current prototype does not yet perform call graph analysis, SBOM ingestion, or CVE matching.</w:t>
      </w:r>
    </w:p>
    <w:p>
      <w:pPr>
        <w:pStyle w:val="Heading2"/>
        <w:keepNext/>
        <w:spacing w:before="160" w:after="100"/>
      </w:pPr>
      <w:r>
        <w:t>Runtime protection and temporary mitigation</w:t>
      </w:r>
    </w:p>
    <w:p>
      <w:pPr>
        <w:spacing w:after="120" w:line="269" w:lineRule="auto"/>
      </w:pPr>
      <w:r>
        <w:rPr>
          <w:rFonts w:ascii="Arial" w:hAnsi="Arial"/>
          <w:i w:val="0"/>
          <w:color w:val="1F2933"/>
          <w:sz w:val="21"/>
        </w:rPr>
        <w:t>Li et al. generate temporary vulnerability trigger policies, and Kermabon Bobinnec et al. filter malicious system call sequences for unpatched container vulnerabilities. These approaches show how precise runtime evidence can support enforcement. CodeShield currently stops at detection, prioritization, and workflow status; it does not enforce runtime controls.</w:t>
      </w:r>
    </w:p>
    <w:p>
      <w:pPr>
        <w:pStyle w:val="Heading2"/>
        <w:keepNext/>
        <w:spacing w:before="160" w:after="100"/>
      </w:pPr>
      <w:r>
        <w:t>Research gap statement</w:t>
      </w:r>
    </w:p>
    <w:p>
      <w:pPr>
        <w:spacing w:after="120" w:line="269" w:lineRule="auto"/>
      </w:pPr>
      <w:r>
        <w:rPr>
          <w:rFonts w:ascii="Arial" w:hAnsi="Arial"/>
          <w:i w:val="0"/>
          <w:color w:val="1F2933"/>
          <w:sz w:val="21"/>
        </w:rPr>
        <w:t>The reviewed studies provide strong methods for individual layers, including taxonomy, reachability, SBOM analysis, exposure measurement, isolation, and runtime filtering. CodeShield focuses on a narrower integration question: whether approved application intent and observed configuration can be represented in a common model and compared through explainable rules. The prototype contributes an integrated workflow rather than replacing the specialized techniques in the literature.</w:t>
      </w:r>
    </w:p>
    <w:p>
      <w:pPr>
        <w:pStyle w:val="Heading2"/>
        <w:keepNext/>
        <w:spacing w:before="160" w:after="100"/>
      </w:pPr>
      <w:r>
        <w:t>Literature mapping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792"/>
            <w:shd w:fill="173B57"/>
            <w:vAlign w:val="center"/>
            <w:tcMar>
              <w:top w:w="110" w:type="dxa"/>
              <w:start w:w="110" w:type="dxa"/>
              <w:bottom w:w="110" w:type="dxa"/>
              <w:end w:w="110" w:type="dxa"/>
            </w:tcMar>
          </w:tcPr>
          <w:p>
            <w:pPr>
              <w:spacing w:after="0"/>
              <w:jc w:val="center"/>
            </w:pPr>
            <w:r>
              <w:rPr>
                <w:rFonts w:ascii="Arial" w:hAnsi="Arial"/>
                <w:b/>
                <w:color w:val="FFFFFF"/>
                <w:sz w:val="18"/>
              </w:rPr>
              <w:t>Ref</w:t>
            </w:r>
          </w:p>
        </w:tc>
        <w:tc>
          <w:tcPr>
            <w:tcW w:type="dxa" w:w="6768"/>
            <w:shd w:fill="173B57"/>
            <w:vAlign w:val="center"/>
            <w:tcMar>
              <w:top w:w="110" w:type="dxa"/>
              <w:start w:w="110" w:type="dxa"/>
              <w:bottom w:w="110" w:type="dxa"/>
              <w:end w:w="110" w:type="dxa"/>
            </w:tcMar>
          </w:tcPr>
          <w:p>
            <w:pPr>
              <w:spacing w:after="0"/>
              <w:jc w:val="center"/>
            </w:pPr>
            <w:r>
              <w:rPr>
                <w:rFonts w:ascii="Arial" w:hAnsi="Arial"/>
                <w:b/>
                <w:color w:val="FFFFFF"/>
                <w:sz w:val="18"/>
              </w:rPr>
              <w:t>Paper</w:t>
            </w:r>
          </w:p>
        </w:tc>
        <w:tc>
          <w:tcPr>
            <w:tcW w:type="dxa" w:w="2880"/>
            <w:shd w:fill="173B57"/>
            <w:vAlign w:val="center"/>
            <w:tcMar>
              <w:top w:w="110" w:type="dxa"/>
              <w:start w:w="110" w:type="dxa"/>
              <w:bottom w:w="110" w:type="dxa"/>
              <w:end w:w="110" w:type="dxa"/>
            </w:tcMar>
          </w:tcPr>
          <w:p>
            <w:pPr>
              <w:spacing w:after="0"/>
              <w:jc w:val="center"/>
            </w:pPr>
            <w:r>
              <w:rPr>
                <w:rFonts w:ascii="Arial" w:hAnsi="Arial"/>
                <w:b/>
                <w:color w:val="FFFFFF"/>
                <w:sz w:val="18"/>
              </w:rPr>
              <w:t>Use in the report</w:t>
            </w:r>
          </w:p>
        </w:tc>
      </w:tr>
      <w:tr>
        <w:trPr>
          <w:cantSplit/>
        </w:trPr>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[1]</w:t>
            </w:r>
          </w:p>
        </w:tc>
        <w:tc>
          <w:tcPr>
            <w:tcW w:type="dxa" w:w="6768"/>
            <w:vAlign w:val="center"/>
            <w:tcMar>
              <w:top w:w="100" w:type="dxa"/>
              <w:start w:w="110" w:type="dxa"/>
              <w:bottom w:w="100" w:type="dxa"/>
              <w:end w:w="110" w:type="dxa"/>
            </w:tcMar>
          </w:tcPr>
          <w:p>
            <w:pPr>
              <w:spacing w:after="0" w:line="252" w:lineRule="auto"/>
            </w:pPr>
            <w:r>
              <w:rPr>
                <w:rFonts w:ascii="Arial" w:hAnsi="Arial"/>
                <w:color w:val="1F2933"/>
                <w:sz w:val="17"/>
              </w:rPr>
              <w:t>Jarkas O et al. 2025  A Container Security Survey  ACM Computing Surveys  DOI 10.1145/3715001</w:t>
            </w:r>
          </w:p>
        </w:tc>
        <w:tc>
          <w:tcPr>
            <w:tcW w:type="dxa" w:w="2880"/>
            <w:vAlign w:val="center"/>
            <w:tcMar>
              <w:top w:w="100" w:type="dxa"/>
              <w:start w:w="110" w:type="dxa"/>
              <w:bottom w:w="100" w:type="dxa"/>
              <w:end w:w="110" w:type="dxa"/>
            </w:tcMar>
          </w:tcPr>
          <w:p>
            <w:pPr>
              <w:spacing w:after="0" w:line="252" w:lineRule="auto"/>
            </w:pPr>
            <w:r>
              <w:rPr>
                <w:rFonts w:ascii="Arial" w:hAnsi="Arial"/>
                <w:color w:val="1F2933"/>
                <w:sz w:val="17"/>
              </w:rPr>
              <w:t>Threat taxonomy and container control categories</w:t>
            </w:r>
          </w:p>
        </w:tc>
      </w:tr>
      <w:tr>
        <w:trPr>
          <w:cantSplit/>
        </w:trPr>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[2]</w:t>
            </w:r>
          </w:p>
        </w:tc>
        <w:tc>
          <w:tcPr>
            <w:tcW w:type="dxa" w:w="6768"/>
            <w:shd w:fill="F4F6F7"/>
            <w:vAlign w:val="center"/>
            <w:tcMar>
              <w:top w:w="100" w:type="dxa"/>
              <w:start w:w="110" w:type="dxa"/>
              <w:bottom w:w="100" w:type="dxa"/>
              <w:end w:w="110" w:type="dxa"/>
            </w:tcMar>
          </w:tcPr>
          <w:p>
            <w:pPr>
              <w:spacing w:after="0" w:line="252" w:lineRule="auto"/>
            </w:pPr>
            <w:r>
              <w:rPr>
                <w:rFonts w:ascii="Arial" w:hAnsi="Arial"/>
                <w:color w:val="1F2933"/>
                <w:sz w:val="17"/>
              </w:rPr>
              <w:t>Deng P et al. 2025  ChainFuzz  USENIX Security 2025</w:t>
            </w:r>
          </w:p>
        </w:tc>
        <w:tc>
          <w:tcPr>
            <w:tcW w:type="dxa" w:w="2880"/>
            <w:shd w:fill="F4F6F7"/>
            <w:vAlign w:val="center"/>
            <w:tcMar>
              <w:top w:w="100" w:type="dxa"/>
              <w:start w:w="110" w:type="dxa"/>
              <w:bottom w:w="100" w:type="dxa"/>
              <w:end w:w="110" w:type="dxa"/>
            </w:tcMar>
          </w:tcPr>
          <w:p>
            <w:pPr>
              <w:spacing w:after="0" w:line="252" w:lineRule="auto"/>
            </w:pPr>
            <w:r>
              <w:rPr>
                <w:rFonts w:ascii="Arial" w:hAnsi="Arial"/>
                <w:color w:val="1F2933"/>
                <w:sz w:val="17"/>
              </w:rPr>
              <w:t>Downstream exploitability and supply chain context</w:t>
            </w:r>
          </w:p>
        </w:tc>
      </w:tr>
      <w:tr>
        <w:trPr>
          <w:cantSplit/>
        </w:trPr>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[3]</w:t>
            </w:r>
          </w:p>
        </w:tc>
        <w:tc>
          <w:tcPr>
            <w:tcW w:type="dxa" w:w="6768"/>
            <w:vAlign w:val="center"/>
            <w:tcMar>
              <w:top w:w="100" w:type="dxa"/>
              <w:start w:w="110" w:type="dxa"/>
              <w:bottom w:w="100" w:type="dxa"/>
              <w:end w:w="110" w:type="dxa"/>
            </w:tcMar>
          </w:tcPr>
          <w:p>
            <w:pPr>
              <w:spacing w:after="0" w:line="252" w:lineRule="auto"/>
            </w:pPr>
            <w:r>
              <w:rPr>
                <w:rFonts w:ascii="Arial" w:hAnsi="Arial"/>
                <w:color w:val="1F2933"/>
                <w:sz w:val="17"/>
              </w:rPr>
              <w:t>Jia Z et al. 2025  Impact Assessment of Third Party Library Vulnerabilities  Computers and Security 157 104546</w:t>
            </w:r>
          </w:p>
        </w:tc>
        <w:tc>
          <w:tcPr>
            <w:tcW w:type="dxa" w:w="2880"/>
            <w:vAlign w:val="center"/>
            <w:tcMar>
              <w:top w:w="100" w:type="dxa"/>
              <w:start w:w="110" w:type="dxa"/>
              <w:bottom w:w="100" w:type="dxa"/>
              <w:end w:w="110" w:type="dxa"/>
            </w:tcMar>
          </w:tcPr>
          <w:p>
            <w:pPr>
              <w:spacing w:after="0" w:line="252" w:lineRule="auto"/>
            </w:pPr>
            <w:r>
              <w:rPr>
                <w:rFonts w:ascii="Arial" w:hAnsi="Arial"/>
                <w:color w:val="1F2933"/>
                <w:sz w:val="17"/>
              </w:rPr>
              <w:t>Reachability based reduction of dependency false alarms</w:t>
            </w:r>
          </w:p>
        </w:tc>
      </w:tr>
      <w:tr>
        <w:trPr>
          <w:cantSplit/>
        </w:trPr>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[4]</w:t>
            </w:r>
          </w:p>
        </w:tc>
        <w:tc>
          <w:tcPr>
            <w:tcW w:type="dxa" w:w="6768"/>
            <w:shd w:fill="F4F6F7"/>
            <w:vAlign w:val="center"/>
            <w:tcMar>
              <w:top w:w="100" w:type="dxa"/>
              <w:start w:w="110" w:type="dxa"/>
              <w:bottom w:w="100" w:type="dxa"/>
              <w:end w:w="110" w:type="dxa"/>
            </w:tcMar>
          </w:tcPr>
          <w:p>
            <w:pPr>
              <w:spacing w:after="0" w:line="252" w:lineRule="auto"/>
            </w:pPr>
            <w:r>
              <w:rPr>
                <w:rFonts w:ascii="Arial" w:hAnsi="Arial"/>
                <w:color w:val="1F2933"/>
                <w:sz w:val="17"/>
              </w:rPr>
              <w:t>Zhou Q et al. 2025  RContainer  NDSS 2025  DOI 10.14722/ndss.2025.240328</w:t>
            </w:r>
          </w:p>
        </w:tc>
        <w:tc>
          <w:tcPr>
            <w:tcW w:type="dxa" w:w="2880"/>
            <w:shd w:fill="F4F6F7"/>
            <w:vAlign w:val="center"/>
            <w:tcMar>
              <w:top w:w="100" w:type="dxa"/>
              <w:start w:w="110" w:type="dxa"/>
              <w:bottom w:w="100" w:type="dxa"/>
              <w:end w:w="110" w:type="dxa"/>
            </w:tcMar>
          </w:tcPr>
          <w:p>
            <w:pPr>
              <w:spacing w:after="0" w:line="252" w:lineRule="auto"/>
            </w:pPr>
            <w:r>
              <w:rPr>
                <w:rFonts w:ascii="Arial" w:hAnsi="Arial"/>
                <w:color w:val="1F2933"/>
                <w:sz w:val="17"/>
              </w:rPr>
              <w:t>High assurance container isolation</w:t>
            </w:r>
          </w:p>
        </w:tc>
      </w:tr>
      <w:tr>
        <w:trPr>
          <w:cantSplit/>
        </w:trPr>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[5]</w:t>
            </w:r>
          </w:p>
        </w:tc>
        <w:tc>
          <w:tcPr>
            <w:tcW w:type="dxa" w:w="6768"/>
            <w:vAlign w:val="center"/>
            <w:tcMar>
              <w:top w:w="100" w:type="dxa"/>
              <w:start w:w="110" w:type="dxa"/>
              <w:bottom w:w="100" w:type="dxa"/>
              <w:end w:w="110" w:type="dxa"/>
            </w:tcMar>
          </w:tcPr>
          <w:p>
            <w:pPr>
              <w:spacing w:after="0" w:line="252" w:lineRule="auto"/>
            </w:pPr>
            <w:r>
              <w:rPr>
                <w:rFonts w:ascii="Arial" w:hAnsi="Arial"/>
                <w:color w:val="1F2933"/>
                <w:sz w:val="17"/>
              </w:rPr>
              <w:t>Li Y et al. 2025  VulShield  NDSS 2025  DOI 10.14722/ndss.2025.240298</w:t>
            </w:r>
          </w:p>
        </w:tc>
        <w:tc>
          <w:tcPr>
            <w:tcW w:type="dxa" w:w="2880"/>
            <w:vAlign w:val="center"/>
            <w:tcMar>
              <w:top w:w="100" w:type="dxa"/>
              <w:start w:w="110" w:type="dxa"/>
              <w:bottom w:w="100" w:type="dxa"/>
              <w:end w:w="110" w:type="dxa"/>
            </w:tcMar>
          </w:tcPr>
          <w:p>
            <w:pPr>
              <w:spacing w:after="0" w:line="252" w:lineRule="auto"/>
            </w:pPr>
            <w:r>
              <w:rPr>
                <w:rFonts w:ascii="Arial" w:hAnsi="Arial"/>
                <w:color w:val="1F2933"/>
                <w:sz w:val="17"/>
              </w:rPr>
              <w:t>Temporary protection before patch deployment</w:t>
            </w:r>
          </w:p>
        </w:tc>
      </w:tr>
      <w:tr>
        <w:trPr>
          <w:cantSplit/>
        </w:trPr>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[6]</w:t>
            </w:r>
          </w:p>
        </w:tc>
        <w:tc>
          <w:tcPr>
            <w:tcW w:type="dxa" w:w="6768"/>
            <w:shd w:fill="F4F6F7"/>
            <w:vAlign w:val="center"/>
            <w:tcMar>
              <w:top w:w="100" w:type="dxa"/>
              <w:start w:w="110" w:type="dxa"/>
              <w:bottom w:w="100" w:type="dxa"/>
              <w:end w:w="110" w:type="dxa"/>
            </w:tcMar>
          </w:tcPr>
          <w:p>
            <w:pPr>
              <w:spacing w:after="0" w:line="252" w:lineRule="auto"/>
            </w:pPr>
            <w:r>
              <w:rPr>
                <w:rFonts w:ascii="Arial" w:hAnsi="Arial"/>
                <w:color w:val="1F2933"/>
                <w:sz w:val="17"/>
              </w:rPr>
              <w:t>Kermabon Bobinnec H et al. 2024  Phoenix  NDSS 2024  DOI 10.14722/ndss.2024.24582</w:t>
            </w:r>
          </w:p>
        </w:tc>
        <w:tc>
          <w:tcPr>
            <w:tcW w:type="dxa" w:w="2880"/>
            <w:shd w:fill="F4F6F7"/>
            <w:vAlign w:val="center"/>
            <w:tcMar>
              <w:top w:w="100" w:type="dxa"/>
              <w:start w:w="110" w:type="dxa"/>
              <w:bottom w:w="100" w:type="dxa"/>
              <w:end w:w="110" w:type="dxa"/>
            </w:tcMar>
          </w:tcPr>
          <w:p>
            <w:pPr>
              <w:spacing w:after="0" w:line="252" w:lineRule="auto"/>
            </w:pPr>
            <w:r>
              <w:rPr>
                <w:rFonts w:ascii="Arial" w:hAnsi="Arial"/>
                <w:color w:val="1F2933"/>
                <w:sz w:val="17"/>
              </w:rPr>
              <w:t>Runtime syscall sequence filtering</w:t>
            </w:r>
          </w:p>
        </w:tc>
      </w:tr>
      <w:tr>
        <w:trPr>
          <w:cantSplit/>
        </w:trPr>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[7]</w:t>
            </w:r>
          </w:p>
        </w:tc>
        <w:tc>
          <w:tcPr>
            <w:tcW w:type="dxa" w:w="6768"/>
            <w:vAlign w:val="center"/>
            <w:tcMar>
              <w:top w:w="100" w:type="dxa"/>
              <w:start w:w="110" w:type="dxa"/>
              <w:bottom w:w="100" w:type="dxa"/>
              <w:end w:w="110" w:type="dxa"/>
            </w:tcMar>
          </w:tcPr>
          <w:p>
            <w:pPr>
              <w:spacing w:after="0" w:line="252" w:lineRule="auto"/>
            </w:pPr>
            <w:r>
              <w:rPr>
                <w:rFonts w:ascii="Arial" w:hAnsi="Arial"/>
                <w:color w:val="1F2933"/>
                <w:sz w:val="17"/>
              </w:rPr>
              <w:t>Choi D et al. 2024  Uncovering Threats in Container Systems  IEEE Access 12</w:t>
            </w:r>
          </w:p>
        </w:tc>
        <w:tc>
          <w:tcPr>
            <w:tcW w:type="dxa" w:w="2880"/>
            <w:vAlign w:val="center"/>
            <w:tcMar>
              <w:top w:w="100" w:type="dxa"/>
              <w:start w:w="110" w:type="dxa"/>
              <w:bottom w:w="100" w:type="dxa"/>
              <w:end w:w="110" w:type="dxa"/>
            </w:tcMar>
          </w:tcPr>
          <w:p>
            <w:pPr>
              <w:spacing w:after="0" w:line="252" w:lineRule="auto"/>
            </w:pPr>
            <w:r>
              <w:rPr>
                <w:rFonts w:ascii="Arial" w:hAnsi="Arial"/>
                <w:color w:val="1F2933"/>
                <w:sz w:val="17"/>
              </w:rPr>
              <w:t>Measured impact of exposed container components</w:t>
            </w:r>
          </w:p>
        </w:tc>
      </w:tr>
      <w:tr>
        <w:trPr>
          <w:cantSplit/>
        </w:trPr>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[8]</w:t>
            </w:r>
          </w:p>
        </w:tc>
        <w:tc>
          <w:tcPr>
            <w:tcW w:type="dxa" w:w="6768"/>
            <w:shd w:fill="F4F6F7"/>
            <w:vAlign w:val="center"/>
            <w:tcMar>
              <w:top w:w="100" w:type="dxa"/>
              <w:start w:w="110" w:type="dxa"/>
              <w:bottom w:w="100" w:type="dxa"/>
              <w:end w:w="110" w:type="dxa"/>
            </w:tcMar>
          </w:tcPr>
          <w:p>
            <w:pPr>
              <w:spacing w:after="0" w:line="252" w:lineRule="auto"/>
            </w:pPr>
            <w:r>
              <w:rPr>
                <w:rFonts w:ascii="Arial" w:hAnsi="Arial"/>
                <w:color w:val="1F2933"/>
                <w:sz w:val="17"/>
              </w:rPr>
              <w:t>Rankovic T et al. 2024  Misconfiguration Prevention and Error Cause Detection  IEEE SISY 2024</w:t>
            </w:r>
          </w:p>
        </w:tc>
        <w:tc>
          <w:tcPr>
            <w:tcW w:type="dxa" w:w="2880"/>
            <w:shd w:fill="F4F6F7"/>
            <w:vAlign w:val="center"/>
            <w:tcMar>
              <w:top w:w="100" w:type="dxa"/>
              <w:start w:w="110" w:type="dxa"/>
              <w:bottom w:w="100" w:type="dxa"/>
              <w:end w:w="110" w:type="dxa"/>
            </w:tcMar>
          </w:tcPr>
          <w:p>
            <w:pPr>
              <w:spacing w:after="0" w:line="252" w:lineRule="auto"/>
            </w:pPr>
            <w:r>
              <w:rPr>
                <w:rFonts w:ascii="Arial" w:hAnsi="Arial"/>
                <w:color w:val="1F2933"/>
                <w:sz w:val="17"/>
              </w:rPr>
              <w:t>Schema validation and versioned configuration differences</w:t>
            </w:r>
          </w:p>
        </w:tc>
      </w:tr>
      <w:tr>
        <w:trPr>
          <w:cantSplit/>
        </w:trPr>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[9]</w:t>
            </w:r>
          </w:p>
        </w:tc>
        <w:tc>
          <w:tcPr>
            <w:tcW w:type="dxa" w:w="6768"/>
            <w:vAlign w:val="center"/>
            <w:tcMar>
              <w:top w:w="100" w:type="dxa"/>
              <w:start w:w="110" w:type="dxa"/>
              <w:bottom w:w="100" w:type="dxa"/>
              <w:end w:w="110" w:type="dxa"/>
            </w:tcMar>
          </w:tcPr>
          <w:p>
            <w:pPr>
              <w:spacing w:after="0" w:line="252" w:lineRule="auto"/>
            </w:pPr>
            <w:r>
              <w:rPr>
                <w:rFonts w:ascii="Arial" w:hAnsi="Arial"/>
                <w:color w:val="1F2933"/>
                <w:sz w:val="17"/>
              </w:rPr>
              <w:t>Stalnaker T et al. 2024  BOMs Away  ICSE 2024  DOI 10.1145/3597503.3623347</w:t>
            </w:r>
          </w:p>
        </w:tc>
        <w:tc>
          <w:tcPr>
            <w:tcW w:type="dxa" w:w="2880"/>
            <w:vAlign w:val="center"/>
            <w:tcMar>
              <w:top w:w="100" w:type="dxa"/>
              <w:start w:w="110" w:type="dxa"/>
              <w:bottom w:w="100" w:type="dxa"/>
              <w:end w:w="110" w:type="dxa"/>
            </w:tcMar>
          </w:tcPr>
          <w:p>
            <w:pPr>
              <w:spacing w:after="0" w:line="252" w:lineRule="auto"/>
            </w:pPr>
            <w:r>
              <w:rPr>
                <w:rFonts w:ascii="Arial" w:hAnsi="Arial"/>
                <w:color w:val="1F2933"/>
                <w:sz w:val="17"/>
              </w:rPr>
              <w:t>SBOM creation use maintenance and verification challenges</w:t>
            </w:r>
          </w:p>
        </w:tc>
      </w:tr>
      <w:tr>
        <w:trPr>
          <w:cantSplit/>
        </w:trPr>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[10]</w:t>
            </w:r>
          </w:p>
        </w:tc>
        <w:tc>
          <w:tcPr>
            <w:tcW w:type="dxa" w:w="6768"/>
            <w:shd w:fill="F4F6F7"/>
            <w:vAlign w:val="center"/>
            <w:tcMar>
              <w:top w:w="100" w:type="dxa"/>
              <w:start w:w="110" w:type="dxa"/>
              <w:bottom w:w="100" w:type="dxa"/>
              <w:end w:w="110" w:type="dxa"/>
            </w:tcMar>
          </w:tcPr>
          <w:p>
            <w:pPr>
              <w:spacing w:after="0" w:line="252" w:lineRule="auto"/>
            </w:pPr>
            <w:r>
              <w:rPr>
                <w:rFonts w:ascii="Arial" w:hAnsi="Arial"/>
                <w:color w:val="1F2933"/>
                <w:sz w:val="17"/>
              </w:rPr>
              <w:t>He Y et al. 2023  Cross Container Attacks  USENIX Security 2023</w:t>
            </w:r>
          </w:p>
        </w:tc>
        <w:tc>
          <w:tcPr>
            <w:tcW w:type="dxa" w:w="2880"/>
            <w:shd w:fill="F4F6F7"/>
            <w:vAlign w:val="center"/>
            <w:tcMar>
              <w:top w:w="100" w:type="dxa"/>
              <w:start w:w="110" w:type="dxa"/>
              <w:bottom w:w="100" w:type="dxa"/>
              <w:end w:w="110" w:type="dxa"/>
            </w:tcMar>
          </w:tcPr>
          <w:p>
            <w:pPr>
              <w:spacing w:after="0" w:line="252" w:lineRule="auto"/>
            </w:pPr>
            <w:r>
              <w:rPr>
                <w:rFonts w:ascii="Arial" w:hAnsi="Arial"/>
                <w:color w:val="1F2933"/>
                <w:sz w:val="17"/>
              </w:rPr>
              <w:t>eBPF permissions and cross container blast radius</w:t>
            </w:r>
          </w:p>
        </w:tc>
      </w:tr>
    </w:tbl>
    <w:p>
      <w:pPr>
        <w:spacing w:after="40"/>
      </w:pPr>
    </w:p>
    <w:p>
      <w:r>
        <w:br w:type="page"/>
      </w:r>
    </w:p>
    <w:p>
      <w:pPr>
        <w:pStyle w:val="Heading1"/>
        <w:keepNext/>
        <w:spacing w:before="240" w:after="100"/>
      </w:pPr>
      <w:r>
        <w:t>Methodology content guide</w:t>
      </w:r>
    </w:p>
    <w:p>
      <w:pPr>
        <w:pStyle w:val="Heading2"/>
        <w:keepNext/>
        <w:spacing w:before="160" w:after="100"/>
      </w:pPr>
      <w:r>
        <w:t>Research and engineering method</w:t>
      </w:r>
    </w:p>
    <w:p>
      <w:pPr>
        <w:spacing w:after="120" w:line="269" w:lineRule="auto"/>
      </w:pPr>
      <w:r>
        <w:rPr>
          <w:rFonts w:ascii="Arial" w:hAnsi="Arial"/>
          <w:i w:val="0"/>
          <w:color w:val="1F2933"/>
          <w:sz w:val="21"/>
        </w:rPr>
        <w:t>Describe the work as design and implementation of a security analysis prototype followed by functional and controlled evaluation. The method begins with an approved baseline, collects or accepts observations, normalizes both into comparable fields, applies deterministic rules, calculates a contextual score, and persists the result.</w:t>
      </w:r>
    </w:p>
    <w:p>
      <w:pPr>
        <w:pStyle w:val="Heading2"/>
        <w:keepNext/>
        <w:spacing w:before="160" w:after="100"/>
      </w:pPr>
      <w:r>
        <w:t>Processing flow</w:t>
      </w:r>
    </w:p>
    <w:p>
      <w:pPr>
        <w:spacing w:after="80" w:line="264" w:lineRule="auto"/>
        <w:ind w:left="389" w:hanging="389"/>
      </w:pPr>
      <w:r>
        <w:rPr>
          <w:rFonts w:ascii="Arial" w:hAnsi="Arial"/>
          <w:color w:val="1F2933"/>
          <w:sz w:val="21"/>
        </w:rPr>
        <w:t>1.  Register an application baseline containing ownership, criticality, expected Java version, expected database exposure, expected container user, approved image digest, and expected dependency version.</w:t>
      </w:r>
    </w:p>
    <w:p>
      <w:pPr>
        <w:spacing w:after="80" w:line="264" w:lineRule="auto"/>
        <w:ind w:left="389" w:hanging="389"/>
      </w:pPr>
      <w:r>
        <w:rPr>
          <w:rFonts w:ascii="Arial" w:hAnsi="Arial"/>
          <w:color w:val="1F2933"/>
          <w:sz w:val="21"/>
        </w:rPr>
        <w:t>2.  Acquire evidence from a user supplied public HTTPS Git URL, a local path, the manual form, or the REST API.</w:t>
      </w:r>
    </w:p>
    <w:p>
      <w:pPr>
        <w:spacing w:after="80" w:line="264" w:lineRule="auto"/>
        <w:ind w:left="389" w:hanging="389"/>
      </w:pPr>
      <w:r>
        <w:rPr>
          <w:rFonts w:ascii="Arial" w:hAnsi="Arial"/>
          <w:color w:val="1F2933"/>
          <w:sz w:val="21"/>
        </w:rPr>
        <w:t>3.  For remote repositories, validate the URL, reject embedded credentials and private address targets, shallow clone into temporary storage, and remove the temporary copy after inspection.</w:t>
      </w:r>
    </w:p>
    <w:p>
      <w:pPr>
        <w:spacing w:after="80" w:line="264" w:lineRule="auto"/>
        <w:ind w:left="389" w:hanging="389"/>
      </w:pPr>
      <w:r>
        <w:rPr>
          <w:rFonts w:ascii="Arial" w:hAnsi="Arial"/>
          <w:color w:val="1F2933"/>
          <w:sz w:val="21"/>
        </w:rPr>
        <w:t>4.  Search supported files while excluding generated directories and files above the configured size limit.</w:t>
      </w:r>
    </w:p>
    <w:p>
      <w:pPr>
        <w:spacing w:after="80" w:line="264" w:lineRule="auto"/>
        <w:ind w:left="389" w:hanging="389"/>
      </w:pPr>
      <w:r>
        <w:rPr>
          <w:rFonts w:ascii="Arial" w:hAnsi="Arial"/>
          <w:color w:val="1F2933"/>
          <w:sz w:val="21"/>
        </w:rPr>
        <w:t>5.  Extract observations and create a common ScanRequest representation.</w:t>
      </w:r>
    </w:p>
    <w:p>
      <w:pPr>
        <w:spacing w:after="80" w:line="264" w:lineRule="auto"/>
        <w:ind w:left="389" w:hanging="389"/>
      </w:pPr>
      <w:r>
        <w:rPr>
          <w:rFonts w:ascii="Arial" w:hAnsi="Arial"/>
          <w:color w:val="1F2933"/>
          <w:sz w:val="21"/>
        </w:rPr>
        <w:t>6.  Apply six comparison rules and create a finding for every mismatch.</w:t>
      </w:r>
    </w:p>
    <w:p>
      <w:pPr>
        <w:spacing w:after="80" w:line="264" w:lineRule="auto"/>
        <w:ind w:left="389" w:hanging="389"/>
      </w:pPr>
      <w:r>
        <w:rPr>
          <w:rFonts w:ascii="Arial" w:hAnsi="Arial"/>
          <w:color w:val="1F2933"/>
          <w:sz w:val="21"/>
        </w:rPr>
        <w:t>7.  Calculate a score from the rule base risk and context modifiers, map the score to a severity, and store the scan and findings.</w:t>
      </w:r>
    </w:p>
    <w:p>
      <w:pPr>
        <w:spacing w:after="80" w:line="264" w:lineRule="auto"/>
        <w:ind w:left="389" w:hanging="389"/>
      </w:pPr>
      <w:r>
        <w:rPr>
          <w:rFonts w:ascii="Arial" w:hAnsi="Arial"/>
          <w:color w:val="1F2933"/>
          <w:sz w:val="21"/>
        </w:rPr>
        <w:t>8.  Present expected state, observed state, evidence, remediation, status, and scan history in the web interface and REST API.</w:t>
      </w:r>
    </w:p>
    <w:p>
      <w:pPr>
        <w:pStyle w:val="Heading2"/>
        <w:keepNext/>
        <w:spacing w:before="160" w:after="100"/>
      </w:pPr>
      <w:r>
        <w:t>Repository evidence extraction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173B57"/>
            <w:vAlign w:val="center"/>
            <w:tcMar>
              <w:top w:w="110" w:type="dxa"/>
              <w:start w:w="110" w:type="dxa"/>
              <w:bottom w:w="110" w:type="dxa"/>
              <w:end w:w="110" w:type="dxa"/>
            </w:tcMar>
          </w:tcPr>
          <w:p>
            <w:pPr>
              <w:spacing w:after="0"/>
              <w:jc w:val="center"/>
            </w:pPr>
            <w:r>
              <w:rPr>
                <w:rFonts w:ascii="Arial" w:hAnsi="Arial"/>
                <w:b/>
                <w:color w:val="FFFFFF"/>
                <w:sz w:val="18"/>
              </w:rPr>
              <w:t>Source</w:t>
            </w:r>
          </w:p>
        </w:tc>
        <w:tc>
          <w:tcPr>
            <w:tcW w:type="dxa" w:w="4032"/>
            <w:shd w:fill="173B57"/>
            <w:vAlign w:val="center"/>
            <w:tcMar>
              <w:top w:w="110" w:type="dxa"/>
              <w:start w:w="110" w:type="dxa"/>
              <w:bottom w:w="110" w:type="dxa"/>
              <w:end w:w="110" w:type="dxa"/>
            </w:tcMar>
          </w:tcPr>
          <w:p>
            <w:pPr>
              <w:spacing w:after="0"/>
              <w:jc w:val="center"/>
            </w:pPr>
            <w:r>
              <w:rPr>
                <w:rFonts w:ascii="Arial" w:hAnsi="Arial"/>
                <w:b/>
                <w:color w:val="FFFFFF"/>
                <w:sz w:val="18"/>
              </w:rPr>
              <w:t>Extracted observation</w:t>
            </w:r>
          </w:p>
        </w:tc>
        <w:tc>
          <w:tcPr>
            <w:tcW w:type="dxa" w:w="4176"/>
            <w:shd w:fill="173B57"/>
            <w:vAlign w:val="center"/>
            <w:tcMar>
              <w:top w:w="110" w:type="dxa"/>
              <w:start w:w="110" w:type="dxa"/>
              <w:bottom w:w="110" w:type="dxa"/>
              <w:end w:w="110" w:type="dxa"/>
            </w:tcMar>
          </w:tcPr>
          <w:p>
            <w:pPr>
              <w:spacing w:after="0"/>
              <w:jc w:val="center"/>
            </w:pPr>
            <w:r>
              <w:rPr>
                <w:rFonts w:ascii="Arial" w:hAnsi="Arial"/>
                <w:b/>
                <w:color w:val="FFFFFF"/>
                <w:sz w:val="18"/>
              </w:rPr>
              <w:t>Important behavior</w:t>
            </w:r>
          </w:p>
        </w:tc>
      </w:tr>
      <w:tr>
        <w:trPr>
          <w:cantSplit/>
        </w:trPr>
        <w:tc>
          <w:tcPr>
            <w:tcW w:type="dxa" w:w="2232"/>
            <w:vAlign w:val="center"/>
            <w:tcMar>
              <w:top w:w="100" w:type="dxa"/>
              <w:start w:w="110" w:type="dxa"/>
              <w:bottom w:w="100" w:type="dxa"/>
              <w:end w:w="110" w:type="dxa"/>
            </w:tcMar>
          </w:tcPr>
          <w:p>
            <w:pPr>
              <w:spacing w:after="0" w:line="252" w:lineRule="auto"/>
            </w:pPr>
            <w:r>
              <w:rPr>
                <w:rFonts w:ascii="Arial" w:hAnsi="Arial"/>
                <w:color w:val="1F2933"/>
                <w:sz w:val="18"/>
              </w:rPr>
              <w:t>pom.xml</w:t>
            </w:r>
          </w:p>
        </w:tc>
        <w:tc>
          <w:tcPr>
            <w:tcW w:type="dxa" w:w="4032"/>
            <w:vAlign w:val="center"/>
            <w:tcMar>
              <w:top w:w="100" w:type="dxa"/>
              <w:start w:w="110" w:type="dxa"/>
              <w:bottom w:w="100" w:type="dxa"/>
              <w:end w:w="110" w:type="dxa"/>
            </w:tcMar>
          </w:tcPr>
          <w:p>
            <w:pPr>
              <w:spacing w:after="0" w:line="252" w:lineRule="auto"/>
            </w:pPr>
            <w:r>
              <w:rPr>
                <w:rFonts w:ascii="Arial" w:hAnsi="Arial"/>
                <w:color w:val="1F2933"/>
                <w:sz w:val="18"/>
              </w:rPr>
              <w:t>Java version and Spring Boot parent version</w:t>
            </w:r>
          </w:p>
        </w:tc>
        <w:tc>
          <w:tcPr>
            <w:tcW w:type="dxa" w:w="4176"/>
            <w:vAlign w:val="center"/>
            <w:tcMar>
              <w:top w:w="100" w:type="dxa"/>
              <w:start w:w="110" w:type="dxa"/>
              <w:bottom w:w="100" w:type="dxa"/>
              <w:end w:w="110" w:type="dxa"/>
            </w:tcMar>
          </w:tcPr>
          <w:p>
            <w:pPr>
              <w:spacing w:after="0" w:line="252" w:lineRule="auto"/>
            </w:pPr>
            <w:r>
              <w:rPr>
                <w:rFonts w:ascii="Arial" w:hAnsi="Arial"/>
                <w:color w:val="1F2933"/>
                <w:sz w:val="18"/>
              </w:rPr>
              <w:t>Uses declared XML properties and parent version patterns.</w:t>
            </w:r>
          </w:p>
        </w:tc>
      </w:tr>
      <w:tr>
        <w:trPr>
          <w:cantSplit/>
        </w:trPr>
        <w:tc>
          <w:tcPr>
            <w:tcW w:type="dxa" w:w="2232"/>
            <w:shd w:fill="F4F6F7"/>
            <w:vAlign w:val="center"/>
            <w:tcMar>
              <w:top w:w="100" w:type="dxa"/>
              <w:start w:w="110" w:type="dxa"/>
              <w:bottom w:w="100" w:type="dxa"/>
              <w:end w:w="110" w:type="dxa"/>
            </w:tcMar>
          </w:tcPr>
          <w:p>
            <w:pPr>
              <w:spacing w:after="0" w:line="252" w:lineRule="auto"/>
            </w:pPr>
            <w:r>
              <w:rPr>
                <w:rFonts w:ascii="Arial" w:hAnsi="Arial"/>
                <w:color w:val="1F2933"/>
                <w:sz w:val="18"/>
              </w:rPr>
              <w:t>build.gradle or build.gradle.kts</w:t>
            </w:r>
          </w:p>
        </w:tc>
        <w:tc>
          <w:tcPr>
            <w:tcW w:type="dxa" w:w="4032"/>
            <w:shd w:fill="F4F6F7"/>
            <w:vAlign w:val="center"/>
            <w:tcMar>
              <w:top w:w="100" w:type="dxa"/>
              <w:start w:w="110" w:type="dxa"/>
              <w:bottom w:w="100" w:type="dxa"/>
              <w:end w:w="110" w:type="dxa"/>
            </w:tcMar>
          </w:tcPr>
          <w:p>
            <w:pPr>
              <w:spacing w:after="0" w:line="252" w:lineRule="auto"/>
            </w:pPr>
            <w:r>
              <w:rPr>
                <w:rFonts w:ascii="Arial" w:hAnsi="Arial"/>
                <w:color w:val="1F2933"/>
                <w:sz w:val="18"/>
              </w:rPr>
              <w:t>Java and Spring Boot plugin versions</w:t>
            </w:r>
          </w:p>
        </w:tc>
        <w:tc>
          <w:tcPr>
            <w:tcW w:type="dxa" w:w="4176"/>
            <w:shd w:fill="F4F6F7"/>
            <w:vAlign w:val="center"/>
            <w:tcMar>
              <w:top w:w="100" w:type="dxa"/>
              <w:start w:w="110" w:type="dxa"/>
              <w:bottom w:w="100" w:type="dxa"/>
              <w:end w:w="110" w:type="dxa"/>
            </w:tcMar>
          </w:tcPr>
          <w:p>
            <w:pPr>
              <w:spacing w:after="0" w:line="252" w:lineRule="auto"/>
            </w:pPr>
            <w:r>
              <w:rPr>
                <w:rFonts w:ascii="Arial" w:hAnsi="Arial"/>
                <w:color w:val="1F2933"/>
                <w:sz w:val="18"/>
              </w:rPr>
              <w:t>Uses supported Gradle syntax patterns.</w:t>
            </w:r>
          </w:p>
        </w:tc>
      </w:tr>
      <w:tr>
        <w:trPr>
          <w:cantSplit/>
        </w:trPr>
        <w:tc>
          <w:tcPr>
            <w:tcW w:type="dxa" w:w="2232"/>
            <w:vAlign w:val="center"/>
            <w:tcMar>
              <w:top w:w="100" w:type="dxa"/>
              <w:start w:w="110" w:type="dxa"/>
              <w:bottom w:w="100" w:type="dxa"/>
              <w:end w:w="110" w:type="dxa"/>
            </w:tcMar>
          </w:tcPr>
          <w:p>
            <w:pPr>
              <w:spacing w:after="0" w:line="252" w:lineRule="auto"/>
            </w:pPr>
            <w:r>
              <w:rPr>
                <w:rFonts w:ascii="Arial" w:hAnsi="Arial"/>
                <w:color w:val="1F2933"/>
                <w:sz w:val="18"/>
              </w:rPr>
              <w:t>Dockerfile</w:t>
            </w:r>
          </w:p>
        </w:tc>
        <w:tc>
          <w:tcPr>
            <w:tcW w:type="dxa" w:w="4032"/>
            <w:vAlign w:val="center"/>
            <w:tcMar>
              <w:top w:w="100" w:type="dxa"/>
              <w:start w:w="110" w:type="dxa"/>
              <w:bottom w:w="100" w:type="dxa"/>
              <w:end w:w="110" w:type="dxa"/>
            </w:tcMar>
          </w:tcPr>
          <w:p>
            <w:pPr>
              <w:spacing w:after="0" w:line="252" w:lineRule="auto"/>
            </w:pPr>
            <w:r>
              <w:rPr>
                <w:rFonts w:ascii="Arial" w:hAnsi="Arial"/>
                <w:color w:val="1F2933"/>
                <w:sz w:val="18"/>
              </w:rPr>
              <w:t>Java base image version and final USER</w:t>
            </w:r>
          </w:p>
        </w:tc>
        <w:tc>
          <w:tcPr>
            <w:tcW w:type="dxa" w:w="4176"/>
            <w:vAlign w:val="center"/>
            <w:tcMar>
              <w:top w:w="100" w:type="dxa"/>
              <w:start w:w="110" w:type="dxa"/>
              <w:bottom w:w="100" w:type="dxa"/>
              <w:end w:w="110" w:type="dxa"/>
            </w:tcMar>
          </w:tcPr>
          <w:p>
            <w:pPr>
              <w:spacing w:after="0" w:line="252" w:lineRule="auto"/>
            </w:pPr>
            <w:r>
              <w:rPr>
                <w:rFonts w:ascii="Arial" w:hAnsi="Arial"/>
                <w:color w:val="1F2933"/>
                <w:sz w:val="18"/>
              </w:rPr>
              <w:t>If a Dockerfile exists without USER, the observed user is treated as root.</w:t>
            </w:r>
          </w:p>
        </w:tc>
      </w:tr>
      <w:tr>
        <w:trPr>
          <w:cantSplit/>
        </w:trPr>
        <w:tc>
          <w:tcPr>
            <w:tcW w:type="dxa" w:w="2232"/>
            <w:shd w:fill="F4F6F7"/>
            <w:vAlign w:val="center"/>
            <w:tcMar>
              <w:top w:w="100" w:type="dxa"/>
              <w:start w:w="110" w:type="dxa"/>
              <w:bottom w:w="100" w:type="dxa"/>
              <w:end w:w="110" w:type="dxa"/>
            </w:tcMar>
          </w:tcPr>
          <w:p>
            <w:pPr>
              <w:spacing w:after="0" w:line="252" w:lineRule="auto"/>
            </w:pPr>
            <w:r>
              <w:rPr>
                <w:rFonts w:ascii="Arial" w:hAnsi="Arial"/>
                <w:color w:val="1F2933"/>
                <w:sz w:val="18"/>
              </w:rPr>
              <w:t>Compose files</w:t>
            </w:r>
          </w:p>
        </w:tc>
        <w:tc>
          <w:tcPr>
            <w:tcW w:type="dxa" w:w="4032"/>
            <w:shd w:fill="F4F6F7"/>
            <w:vAlign w:val="center"/>
            <w:tcMar>
              <w:top w:w="100" w:type="dxa"/>
              <w:start w:w="110" w:type="dxa"/>
              <w:bottom w:w="100" w:type="dxa"/>
              <w:end w:w="110" w:type="dxa"/>
            </w:tcMar>
          </w:tcPr>
          <w:p>
            <w:pPr>
              <w:spacing w:after="0" w:line="252" w:lineRule="auto"/>
            </w:pPr>
            <w:r>
              <w:rPr>
                <w:rFonts w:ascii="Arial" w:hAnsi="Arial"/>
                <w:color w:val="1F2933"/>
                <w:sz w:val="18"/>
              </w:rPr>
              <w:t>Port mappings, database exposure, Docker socket mount, and image reference</w:t>
            </w:r>
          </w:p>
        </w:tc>
        <w:tc>
          <w:tcPr>
            <w:tcW w:type="dxa" w:w="4176"/>
            <w:shd w:fill="F4F6F7"/>
            <w:vAlign w:val="center"/>
            <w:tcMar>
              <w:top w:w="100" w:type="dxa"/>
              <w:start w:w="110" w:type="dxa"/>
              <w:bottom w:w="100" w:type="dxa"/>
              <w:end w:w="110" w:type="dxa"/>
            </w:tcMar>
          </w:tcPr>
          <w:p>
            <w:pPr>
              <w:spacing w:after="0" w:line="252" w:lineRule="auto"/>
            </w:pPr>
            <w:r>
              <w:rPr>
                <w:rFonts w:ascii="Arial" w:hAnsi="Arial"/>
                <w:color w:val="1F2933"/>
                <w:sz w:val="18"/>
              </w:rPr>
              <w:t>Loopback only database mappings are internal. Other matching database port mappings are public.</w:t>
            </w:r>
          </w:p>
        </w:tc>
      </w:tr>
      <w:tr>
        <w:trPr>
          <w:cantSplit/>
        </w:trPr>
        <w:tc>
          <w:tcPr>
            <w:tcW w:type="dxa" w:w="2232"/>
            <w:vAlign w:val="center"/>
            <w:tcMar>
              <w:top w:w="100" w:type="dxa"/>
              <w:start w:w="110" w:type="dxa"/>
              <w:bottom w:w="100" w:type="dxa"/>
              <w:end w:w="110" w:type="dxa"/>
            </w:tcMar>
          </w:tcPr>
          <w:p>
            <w:pPr>
              <w:spacing w:after="0" w:line="252" w:lineRule="auto"/>
            </w:pPr>
            <w:r>
              <w:rPr>
                <w:rFonts w:ascii="Arial" w:hAnsi="Arial"/>
                <w:color w:val="1F2933"/>
                <w:sz w:val="18"/>
              </w:rPr>
              <w:t>Manual or REST input</w:t>
            </w:r>
          </w:p>
        </w:tc>
        <w:tc>
          <w:tcPr>
            <w:tcW w:type="dxa" w:w="4032"/>
            <w:vAlign w:val="center"/>
            <w:tcMar>
              <w:top w:w="100" w:type="dxa"/>
              <w:start w:w="110" w:type="dxa"/>
              <w:bottom w:w="100" w:type="dxa"/>
              <w:end w:w="110" w:type="dxa"/>
            </w:tcMar>
          </w:tcPr>
          <w:p>
            <w:pPr>
              <w:spacing w:after="0" w:line="252" w:lineRule="auto"/>
            </w:pPr>
            <w:r>
              <w:rPr>
                <w:rFonts w:ascii="Arial" w:hAnsi="Arial"/>
                <w:color w:val="1F2933"/>
                <w:sz w:val="18"/>
              </w:rPr>
              <w:t>All scan fields and contextual flags</w:t>
            </w:r>
          </w:p>
        </w:tc>
        <w:tc>
          <w:tcPr>
            <w:tcW w:type="dxa" w:w="4176"/>
            <w:vAlign w:val="center"/>
            <w:tcMar>
              <w:top w:w="100" w:type="dxa"/>
              <w:start w:w="110" w:type="dxa"/>
              <w:bottom w:w="100" w:type="dxa"/>
              <w:end w:w="110" w:type="dxa"/>
            </w:tcMar>
          </w:tcPr>
          <w:p>
            <w:pPr>
              <w:spacing w:after="0" w:line="252" w:lineRule="auto"/>
            </w:pPr>
            <w:r>
              <w:rPr>
                <w:rFonts w:ascii="Arial" w:hAnsi="Arial"/>
                <w:color w:val="1F2933"/>
                <w:sz w:val="18"/>
              </w:rPr>
              <w:t>Supports observations that cannot be inferred from repository files.</w:t>
            </w:r>
          </w:p>
        </w:tc>
      </w:tr>
    </w:tbl>
    <w:p>
      <w:pPr>
        <w:spacing w:after="40"/>
      </w:pPr>
    </w:p>
    <w:p>
      <w:pPr>
        <w:pStyle w:val="Heading2"/>
        <w:keepNext/>
        <w:spacing w:before="160" w:after="100"/>
      </w:pPr>
      <w:r>
        <w:t>Implemented drift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304"/>
            <w:shd w:fill="173B57"/>
            <w:vAlign w:val="center"/>
            <w:tcMar>
              <w:top w:w="110" w:type="dxa"/>
              <w:start w:w="110" w:type="dxa"/>
              <w:bottom w:w="110" w:type="dxa"/>
              <w:end w:w="110" w:type="dxa"/>
            </w:tcMar>
          </w:tcPr>
          <w:p>
            <w:pPr>
              <w:spacing w:after="0"/>
              <w:jc w:val="center"/>
            </w:pPr>
            <w:r>
              <w:rPr>
                <w:rFonts w:ascii="Arial" w:hAnsi="Arial"/>
                <w:b/>
                <w:color w:val="FFFFFF"/>
                <w:sz w:val="18"/>
              </w:rPr>
              <w:t>Rule ID</w:t>
            </w:r>
          </w:p>
        </w:tc>
        <w:tc>
          <w:tcPr>
            <w:tcW w:type="dxa" w:w="6552"/>
            <w:shd w:fill="173B57"/>
            <w:vAlign w:val="center"/>
            <w:tcMar>
              <w:top w:w="110" w:type="dxa"/>
              <w:start w:w="110" w:type="dxa"/>
              <w:bottom w:w="110" w:type="dxa"/>
              <w:end w:w="110" w:type="dxa"/>
            </w:tcMar>
          </w:tcPr>
          <w:p>
            <w:pPr>
              <w:spacing w:after="0"/>
              <w:jc w:val="center"/>
            </w:pPr>
            <w:r>
              <w:rPr>
                <w:rFonts w:ascii="Arial" w:hAnsi="Arial"/>
                <w:b/>
                <w:color w:val="FFFFFF"/>
                <w:sz w:val="18"/>
              </w:rPr>
              <w:t>Condition</w:t>
            </w:r>
          </w:p>
        </w:tc>
        <w:tc>
          <w:tcPr>
            <w:tcW w:type="dxa" w:w="1584"/>
            <w:shd w:fill="173B57"/>
            <w:vAlign w:val="center"/>
            <w:tcMar>
              <w:top w:w="110" w:type="dxa"/>
              <w:start w:w="110" w:type="dxa"/>
              <w:bottom w:w="110" w:type="dxa"/>
              <w:end w:w="110" w:type="dxa"/>
            </w:tcMar>
          </w:tcPr>
          <w:p>
            <w:pPr>
              <w:spacing w:after="0"/>
              <w:jc w:val="center"/>
            </w:pPr>
            <w:r>
              <w:rPr>
                <w:rFonts w:ascii="Arial" w:hAnsi="Arial"/>
                <w:b/>
                <w:color w:val="FFFFFF"/>
                <w:sz w:val="18"/>
              </w:rPr>
              <w:t>Default base risk</w:t>
            </w:r>
          </w:p>
        </w:tc>
      </w:tr>
      <w:tr>
        <w:trPr>
          <w:cantSplit/>
        </w:trPr>
        <w:tc>
          <w:tcPr>
            <w:tcW w:type="dxa" w:w="2304"/>
            <w:vAlign w:val="center"/>
            <w:tcMar>
              <w:top w:w="100" w:type="dxa"/>
              <w:start w:w="110" w:type="dxa"/>
              <w:bottom w:w="100" w:type="dxa"/>
              <w:end w:w="110" w:type="dxa"/>
            </w:tcMar>
          </w:tcPr>
          <w:p>
            <w:pPr>
              <w:spacing w:after="0" w:line="252" w:lineRule="auto"/>
            </w:pPr>
            <w:r>
              <w:rPr>
                <w:rFonts w:ascii="Arial" w:hAnsi="Arial"/>
                <w:color w:val="1F2933"/>
                <w:sz w:val="18"/>
              </w:rPr>
              <w:t>CS RUNTIME 001</w:t>
            </w:r>
          </w:p>
        </w:tc>
        <w:tc>
          <w:tcPr>
            <w:tcW w:type="dxa" w:w="6552"/>
            <w:vAlign w:val="center"/>
            <w:tcMar>
              <w:top w:w="100" w:type="dxa"/>
              <w:start w:w="110" w:type="dxa"/>
              <w:bottom w:w="100" w:type="dxa"/>
              <w:end w:w="110" w:type="dxa"/>
            </w:tcMar>
          </w:tcPr>
          <w:p>
            <w:pPr>
              <w:spacing w:after="0" w:line="252" w:lineRule="auto"/>
            </w:pPr>
            <w:r>
              <w:rPr>
                <w:rFonts w:ascii="Arial" w:hAnsi="Arial"/>
                <w:color w:val="1F2933"/>
                <w:sz w:val="18"/>
              </w:rPr>
              <w:t>Observed Java version differs from the approved version</w:t>
            </w:r>
          </w:p>
        </w:tc>
        <w:tc>
          <w:tcPr>
            <w:tcW w:type="dxa" w:w="1584"/>
            <w:vAlign w:val="center"/>
            <w:tcMar>
              <w:top w:w="100" w:type="dxa"/>
              <w:start w:w="110" w:type="dxa"/>
              <w:bottom w:w="100" w:type="dxa"/>
              <w:end w:w="110" w:type="dxa"/>
            </w:tcMar>
          </w:tcPr>
          <w:p>
            <w:pPr>
              <w:spacing w:after="0" w:line="252" w:lineRule="auto"/>
            </w:pPr>
            <w:r>
              <w:rPr>
                <w:rFonts w:ascii="Arial" w:hAnsi="Arial"/>
                <w:color w:val="1F2933"/>
                <w:sz w:val="18"/>
              </w:rPr>
              <w:t>30</w:t>
            </w:r>
          </w:p>
        </w:tc>
      </w:tr>
      <w:tr>
        <w:trPr>
          <w:cantSplit/>
        </w:trPr>
        <w:tc>
          <w:tcPr>
            <w:tcW w:type="dxa" w:w="2304"/>
            <w:shd w:fill="F4F6F7"/>
            <w:vAlign w:val="center"/>
            <w:tcMar>
              <w:top w:w="100" w:type="dxa"/>
              <w:start w:w="110" w:type="dxa"/>
              <w:bottom w:w="100" w:type="dxa"/>
              <w:end w:w="110" w:type="dxa"/>
            </w:tcMar>
          </w:tcPr>
          <w:p>
            <w:pPr>
              <w:spacing w:after="0" w:line="252" w:lineRule="auto"/>
            </w:pPr>
            <w:r>
              <w:rPr>
                <w:rFonts w:ascii="Arial" w:hAnsi="Arial"/>
                <w:color w:val="1F2933"/>
                <w:sz w:val="18"/>
              </w:rPr>
              <w:t>CS NETWORK 001</w:t>
            </w:r>
          </w:p>
        </w:tc>
        <w:tc>
          <w:tcPr>
            <w:tcW w:type="dxa" w:w="6552"/>
            <w:shd w:fill="F4F6F7"/>
            <w:vAlign w:val="center"/>
            <w:tcMar>
              <w:top w:w="100" w:type="dxa"/>
              <w:start w:w="110" w:type="dxa"/>
              <w:bottom w:w="100" w:type="dxa"/>
              <w:end w:w="110" w:type="dxa"/>
            </w:tcMar>
          </w:tcPr>
          <w:p>
            <w:pPr>
              <w:spacing w:after="0" w:line="252" w:lineRule="auto"/>
            </w:pPr>
            <w:r>
              <w:rPr>
                <w:rFonts w:ascii="Arial" w:hAnsi="Arial"/>
                <w:color w:val="1F2933"/>
                <w:sz w:val="18"/>
              </w:rPr>
              <w:t>An internally approved database is observed as public</w:t>
            </w:r>
          </w:p>
        </w:tc>
        <w:tc>
          <w:tcPr>
            <w:tcW w:type="dxa" w:w="1584"/>
            <w:shd w:fill="F4F6F7"/>
            <w:vAlign w:val="center"/>
            <w:tcMar>
              <w:top w:w="100" w:type="dxa"/>
              <w:start w:w="110" w:type="dxa"/>
              <w:bottom w:w="100" w:type="dxa"/>
              <w:end w:w="110" w:type="dxa"/>
            </w:tcMar>
          </w:tcPr>
          <w:p>
            <w:pPr>
              <w:spacing w:after="0" w:line="252" w:lineRule="auto"/>
            </w:pPr>
            <w:r>
              <w:rPr>
                <w:rFonts w:ascii="Arial" w:hAnsi="Arial"/>
                <w:color w:val="1F2933"/>
                <w:sz w:val="18"/>
              </w:rPr>
              <w:t>52</w:t>
            </w:r>
          </w:p>
        </w:tc>
      </w:tr>
      <w:tr>
        <w:trPr>
          <w:cantSplit/>
        </w:trPr>
        <w:tc>
          <w:tcPr>
            <w:tcW w:type="dxa" w:w="2304"/>
            <w:vAlign w:val="center"/>
            <w:tcMar>
              <w:top w:w="100" w:type="dxa"/>
              <w:start w:w="110" w:type="dxa"/>
              <w:bottom w:w="100" w:type="dxa"/>
              <w:end w:w="110" w:type="dxa"/>
            </w:tcMar>
          </w:tcPr>
          <w:p>
            <w:pPr>
              <w:spacing w:after="0" w:line="252" w:lineRule="auto"/>
            </w:pPr>
            <w:r>
              <w:rPr>
                <w:rFonts w:ascii="Arial" w:hAnsi="Arial"/>
                <w:color w:val="1F2933"/>
                <w:sz w:val="18"/>
              </w:rPr>
              <w:t>CS CONTAINER 001</w:t>
            </w:r>
          </w:p>
        </w:tc>
        <w:tc>
          <w:tcPr>
            <w:tcW w:type="dxa" w:w="6552"/>
            <w:vAlign w:val="center"/>
            <w:tcMar>
              <w:top w:w="100" w:type="dxa"/>
              <w:start w:w="110" w:type="dxa"/>
              <w:bottom w:w="100" w:type="dxa"/>
              <w:end w:w="110" w:type="dxa"/>
            </w:tcMar>
          </w:tcPr>
          <w:p>
            <w:pPr>
              <w:spacing w:after="0" w:line="252" w:lineRule="auto"/>
            </w:pPr>
            <w:r>
              <w:rPr>
                <w:rFonts w:ascii="Arial" w:hAnsi="Arial"/>
                <w:color w:val="1F2933"/>
                <w:sz w:val="18"/>
              </w:rPr>
              <w:t>Observed container user differs from the approved user</w:t>
            </w:r>
          </w:p>
        </w:tc>
        <w:tc>
          <w:tcPr>
            <w:tcW w:type="dxa" w:w="1584"/>
            <w:vAlign w:val="center"/>
            <w:tcMar>
              <w:top w:w="100" w:type="dxa"/>
              <w:start w:w="110" w:type="dxa"/>
              <w:bottom w:w="100" w:type="dxa"/>
              <w:end w:w="110" w:type="dxa"/>
            </w:tcMar>
          </w:tcPr>
          <w:p>
            <w:pPr>
              <w:spacing w:after="0" w:line="252" w:lineRule="auto"/>
            </w:pPr>
            <w:r>
              <w:rPr>
                <w:rFonts w:ascii="Arial" w:hAnsi="Arial"/>
                <w:color w:val="1F2933"/>
                <w:sz w:val="18"/>
              </w:rPr>
              <w:t>42 for root  25 otherwise</w:t>
            </w:r>
          </w:p>
        </w:tc>
      </w:tr>
      <w:tr>
        <w:trPr>
          <w:cantSplit/>
        </w:trPr>
        <w:tc>
          <w:tcPr>
            <w:tcW w:type="dxa" w:w="2304"/>
            <w:shd w:fill="F4F6F7"/>
            <w:vAlign w:val="center"/>
            <w:tcMar>
              <w:top w:w="100" w:type="dxa"/>
              <w:start w:w="110" w:type="dxa"/>
              <w:bottom w:w="100" w:type="dxa"/>
              <w:end w:w="110" w:type="dxa"/>
            </w:tcMar>
          </w:tcPr>
          <w:p>
            <w:pPr>
              <w:spacing w:after="0" w:line="252" w:lineRule="auto"/>
            </w:pPr>
            <w:r>
              <w:rPr>
                <w:rFonts w:ascii="Arial" w:hAnsi="Arial"/>
                <w:color w:val="1F2933"/>
                <w:sz w:val="18"/>
              </w:rPr>
              <w:t>CS CONTAINER 002</w:t>
            </w:r>
          </w:p>
        </w:tc>
        <w:tc>
          <w:tcPr>
            <w:tcW w:type="dxa" w:w="6552"/>
            <w:shd w:fill="F4F6F7"/>
            <w:vAlign w:val="center"/>
            <w:tcMar>
              <w:top w:w="100" w:type="dxa"/>
              <w:start w:w="110" w:type="dxa"/>
              <w:bottom w:w="100" w:type="dxa"/>
              <w:end w:w="110" w:type="dxa"/>
            </w:tcMar>
          </w:tcPr>
          <w:p>
            <w:pPr>
              <w:spacing w:after="0" w:line="252" w:lineRule="auto"/>
            </w:pPr>
            <w:r>
              <w:rPr>
                <w:rFonts w:ascii="Arial" w:hAnsi="Arial"/>
                <w:color w:val="1F2933"/>
                <w:sz w:val="18"/>
              </w:rPr>
              <w:t>Docker socket is mounted inside the application container</w:t>
            </w:r>
          </w:p>
        </w:tc>
        <w:tc>
          <w:tcPr>
            <w:tcW w:type="dxa" w:w="1584"/>
            <w:shd w:fill="F4F6F7"/>
            <w:vAlign w:val="center"/>
            <w:tcMar>
              <w:top w:w="100" w:type="dxa"/>
              <w:start w:w="110" w:type="dxa"/>
              <w:bottom w:w="100" w:type="dxa"/>
              <w:end w:w="110" w:type="dxa"/>
            </w:tcMar>
          </w:tcPr>
          <w:p>
            <w:pPr>
              <w:spacing w:after="0" w:line="252" w:lineRule="auto"/>
            </w:pPr>
            <w:r>
              <w:rPr>
                <w:rFonts w:ascii="Arial" w:hAnsi="Arial"/>
                <w:color w:val="1F2933"/>
                <w:sz w:val="18"/>
              </w:rPr>
              <w:t>58</w:t>
            </w:r>
          </w:p>
        </w:tc>
      </w:tr>
      <w:tr>
        <w:trPr>
          <w:cantSplit/>
        </w:trPr>
        <w:tc>
          <w:tcPr>
            <w:tcW w:type="dxa" w:w="2304"/>
            <w:vAlign w:val="center"/>
            <w:tcMar>
              <w:top w:w="100" w:type="dxa"/>
              <w:start w:w="110" w:type="dxa"/>
              <w:bottom w:w="100" w:type="dxa"/>
              <w:end w:w="110" w:type="dxa"/>
            </w:tcMar>
          </w:tcPr>
          <w:p>
            <w:pPr>
              <w:spacing w:after="0" w:line="252" w:lineRule="auto"/>
            </w:pPr>
            <w:r>
              <w:rPr>
                <w:rFonts w:ascii="Arial" w:hAnsi="Arial"/>
                <w:color w:val="1F2933"/>
                <w:sz w:val="18"/>
              </w:rPr>
              <w:t>CS SUPPLY 001</w:t>
            </w:r>
          </w:p>
        </w:tc>
        <w:tc>
          <w:tcPr>
            <w:tcW w:type="dxa" w:w="6552"/>
            <w:vAlign w:val="center"/>
            <w:tcMar>
              <w:top w:w="100" w:type="dxa"/>
              <w:start w:w="110" w:type="dxa"/>
              <w:bottom w:w="100" w:type="dxa"/>
              <w:end w:w="110" w:type="dxa"/>
            </w:tcMar>
          </w:tcPr>
          <w:p>
            <w:pPr>
              <w:spacing w:after="0" w:line="252" w:lineRule="auto"/>
            </w:pPr>
            <w:r>
              <w:rPr>
                <w:rFonts w:ascii="Arial" w:hAnsi="Arial"/>
                <w:color w:val="1F2933"/>
                <w:sz w:val="18"/>
              </w:rPr>
              <w:t>Observed image digest differs from the approved digest or is unpinned</w:t>
            </w:r>
          </w:p>
        </w:tc>
        <w:tc>
          <w:tcPr>
            <w:tcW w:type="dxa" w:w="1584"/>
            <w:vAlign w:val="center"/>
            <w:tcMar>
              <w:top w:w="100" w:type="dxa"/>
              <w:start w:w="110" w:type="dxa"/>
              <w:bottom w:w="100" w:type="dxa"/>
              <w:end w:w="110" w:type="dxa"/>
            </w:tcMar>
          </w:tcPr>
          <w:p>
            <w:pPr>
              <w:spacing w:after="0" w:line="252" w:lineRule="auto"/>
            </w:pPr>
            <w:r>
              <w:rPr>
                <w:rFonts w:ascii="Arial" w:hAnsi="Arial"/>
                <w:color w:val="1F2933"/>
                <w:sz w:val="18"/>
              </w:rPr>
              <w:t>38</w:t>
            </w:r>
          </w:p>
        </w:tc>
      </w:tr>
      <w:tr>
        <w:trPr>
          <w:cantSplit/>
        </w:trPr>
        <w:tc>
          <w:tcPr>
            <w:tcW w:type="dxa" w:w="2304"/>
            <w:shd w:fill="F4F6F7"/>
            <w:vAlign w:val="center"/>
            <w:tcMar>
              <w:top w:w="100" w:type="dxa"/>
              <w:start w:w="110" w:type="dxa"/>
              <w:bottom w:w="100" w:type="dxa"/>
              <w:end w:w="110" w:type="dxa"/>
            </w:tcMar>
          </w:tcPr>
          <w:p>
            <w:pPr>
              <w:spacing w:after="0" w:line="252" w:lineRule="auto"/>
            </w:pPr>
            <w:r>
              <w:rPr>
                <w:rFonts w:ascii="Arial" w:hAnsi="Arial"/>
                <w:color w:val="1F2933"/>
                <w:sz w:val="18"/>
              </w:rPr>
              <w:t>CS DEPENDENCY 001</w:t>
            </w:r>
          </w:p>
        </w:tc>
        <w:tc>
          <w:tcPr>
            <w:tcW w:type="dxa" w:w="6552"/>
            <w:shd w:fill="F4F6F7"/>
            <w:vAlign w:val="center"/>
            <w:tcMar>
              <w:top w:w="100" w:type="dxa"/>
              <w:start w:w="110" w:type="dxa"/>
              <w:bottom w:w="100" w:type="dxa"/>
              <w:end w:w="110" w:type="dxa"/>
            </w:tcMar>
          </w:tcPr>
          <w:p>
            <w:pPr>
              <w:spacing w:after="0" w:line="252" w:lineRule="auto"/>
            </w:pPr>
            <w:r>
              <w:rPr>
                <w:rFonts w:ascii="Arial" w:hAnsi="Arial"/>
                <w:color w:val="1F2933"/>
                <w:sz w:val="18"/>
              </w:rPr>
              <w:t>Observed dependency version differs from the approved version</w:t>
            </w:r>
          </w:p>
        </w:tc>
        <w:tc>
          <w:tcPr>
            <w:tcW w:type="dxa" w:w="1584"/>
            <w:shd w:fill="F4F6F7"/>
            <w:vAlign w:val="center"/>
            <w:tcMar>
              <w:top w:w="100" w:type="dxa"/>
              <w:start w:w="110" w:type="dxa"/>
              <w:bottom w:w="100" w:type="dxa"/>
              <w:end w:w="110" w:type="dxa"/>
            </w:tcMar>
          </w:tcPr>
          <w:p>
            <w:pPr>
              <w:spacing w:after="0" w:line="252" w:lineRule="auto"/>
            </w:pPr>
            <w:r>
              <w:rPr>
                <w:rFonts w:ascii="Arial" w:hAnsi="Arial"/>
                <w:color w:val="1F2933"/>
                <w:sz w:val="18"/>
              </w:rPr>
              <w:t>48 with known exploitation  24 otherwise</w:t>
            </w:r>
          </w:p>
        </w:tc>
      </w:tr>
    </w:tbl>
    <w:p>
      <w:pPr>
        <w:spacing w:after="40"/>
      </w:pPr>
    </w:p>
    <w:p>
      <w:pPr>
        <w:pStyle w:val="Heading2"/>
        <w:keepNext/>
        <w:spacing w:before="160" w:after="100"/>
      </w:pPr>
      <w:r>
        <w:t>Risk scoring</w:t>
      </w:r>
    </w:p>
    <w:p>
      <w:pPr>
        <w:spacing w:after="120" w:line="269" w:lineRule="auto"/>
      </w:pPr>
      <w:r>
        <w:rPr>
          <w:rFonts w:ascii="Arial" w:hAnsi="Arial"/>
          <w:i w:val="0"/>
          <w:color w:val="1F2933"/>
          <w:sz w:val="21"/>
        </w:rPr>
        <w:t>Use the following default formula. Explain that every value is externally configurable in application.yml or through environment variables.</w:t>
      </w:r>
    </w:p>
    <w:p>
      <w:pPr>
        <w:spacing w:before="100" w:after="140"/>
        <w:jc w:val="center"/>
      </w:pPr>
      <w:r>
        <w:rPr>
          <w:rFonts w:ascii="Courier New" w:hAnsi="Courier New"/>
          <w:b/>
          <w:color w:val="1F2933"/>
          <w:sz w:val="19"/>
        </w:rPr>
        <w:t>risk score = min 100  base rule risk + criticality weight + Internet exposure weight + known exploitation weight</w:t>
      </w:r>
    </w:p>
    <w:p>
      <w:pPr>
        <w:spacing w:after="120" w:line="269" w:lineRule="auto"/>
      </w:pPr>
      <w:r>
        <w:rPr>
          <w:rFonts w:ascii="Arial" w:hAnsi="Arial"/>
          <w:i w:val="0"/>
          <w:color w:val="1F2933"/>
          <w:sz w:val="21"/>
        </w:rPr>
        <w:t>Criticality weights are Low 0, Medium 8, High 15, and Critical 22. Internet exposure adds 15 and known exploitation adds 18. Scores below 40 are Low, 40 to 64 are Medium, 65 to 84 are High, and 85 to 100 are Critical.</w:t>
      </w:r>
    </w:p>
    <w:p>
      <w:pPr>
        <w:pStyle w:val="Heading2"/>
        <w:keepNext/>
        <w:spacing w:before="160" w:after="100"/>
      </w:pPr>
      <w:r>
        <w:t>Data model and software modules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952"/>
            <w:shd w:fill="173B57"/>
            <w:vAlign w:val="center"/>
            <w:tcMar>
              <w:top w:w="110" w:type="dxa"/>
              <w:start w:w="110" w:type="dxa"/>
              <w:bottom w:w="110" w:type="dxa"/>
              <w:end w:w="110" w:type="dxa"/>
            </w:tcMar>
          </w:tcPr>
          <w:p>
            <w:pPr>
              <w:spacing w:after="0"/>
              <w:jc w:val="center"/>
            </w:pPr>
            <w:r>
              <w:rPr>
                <w:rFonts w:ascii="Arial" w:hAnsi="Arial"/>
                <w:b/>
                <w:color w:val="FFFFFF"/>
                <w:sz w:val="18"/>
              </w:rPr>
              <w:t>Component</w:t>
            </w:r>
          </w:p>
        </w:tc>
        <w:tc>
          <w:tcPr>
            <w:tcW w:type="dxa" w:w="7488"/>
            <w:shd w:fill="173B57"/>
            <w:vAlign w:val="center"/>
            <w:tcMar>
              <w:top w:w="110" w:type="dxa"/>
              <w:start w:w="110" w:type="dxa"/>
              <w:bottom w:w="110" w:type="dxa"/>
              <w:end w:w="110" w:type="dxa"/>
            </w:tcMar>
          </w:tcPr>
          <w:p>
            <w:pPr>
              <w:spacing w:after="0"/>
              <w:jc w:val="center"/>
            </w:pPr>
            <w:r>
              <w:rPr>
                <w:rFonts w:ascii="Arial" w:hAnsi="Arial"/>
                <w:b/>
                <w:color w:val="FFFFFF"/>
                <w:sz w:val="18"/>
              </w:rPr>
              <w:t>Responsibility</w:t>
            </w:r>
          </w:p>
        </w:tc>
      </w:tr>
      <w:tr>
        <w:trPr>
          <w:cantSplit/>
        </w:trPr>
        <w:tc>
          <w:tcPr>
            <w:tcW w:type="dxa" w:w="2952"/>
            <w:vAlign w:val="center"/>
            <w:tcMar>
              <w:top w:w="100" w:type="dxa"/>
              <w:start w:w="110" w:type="dxa"/>
              <w:bottom w:w="100" w:type="dxa"/>
              <w:end w:w="110" w:type="dxa"/>
            </w:tcMar>
          </w:tcPr>
          <w:p>
            <w:pPr>
              <w:spacing w:after="0" w:line="252" w:lineRule="auto"/>
            </w:pPr>
            <w:r>
              <w:rPr>
                <w:rFonts w:ascii="Arial" w:hAnsi="Arial"/>
                <w:color w:val="1F2933"/>
                <w:sz w:val="18"/>
              </w:rPr>
              <w:t>ApplicationAsset</w:t>
            </w:r>
          </w:p>
        </w:tc>
        <w:tc>
          <w:tcPr>
            <w:tcW w:type="dxa" w:w="7488"/>
            <w:vAlign w:val="center"/>
            <w:tcMar>
              <w:top w:w="100" w:type="dxa"/>
              <w:start w:w="110" w:type="dxa"/>
              <w:bottom w:w="100" w:type="dxa"/>
              <w:end w:w="110" w:type="dxa"/>
            </w:tcMar>
          </w:tcPr>
          <w:p>
            <w:pPr>
              <w:spacing w:after="0" w:line="252" w:lineRule="auto"/>
            </w:pPr>
            <w:r>
              <w:rPr>
                <w:rFonts w:ascii="Arial" w:hAnsi="Arial"/>
                <w:color w:val="1F2933"/>
                <w:sz w:val="18"/>
              </w:rPr>
              <w:t>Stores the approved baseline, owner, description, and criticality.</w:t>
            </w:r>
          </w:p>
        </w:tc>
      </w:tr>
      <w:tr>
        <w:trPr>
          <w:cantSplit/>
        </w:trPr>
        <w:tc>
          <w:tcPr>
            <w:tcW w:type="dxa" w:w="2952"/>
            <w:shd w:fill="F4F6F7"/>
            <w:vAlign w:val="center"/>
            <w:tcMar>
              <w:top w:w="100" w:type="dxa"/>
              <w:start w:w="110" w:type="dxa"/>
              <w:bottom w:w="100" w:type="dxa"/>
              <w:end w:w="110" w:type="dxa"/>
            </w:tcMar>
          </w:tcPr>
          <w:p>
            <w:pPr>
              <w:spacing w:after="0" w:line="252" w:lineRule="auto"/>
            </w:pPr>
            <w:r>
              <w:rPr>
                <w:rFonts w:ascii="Arial" w:hAnsi="Arial"/>
                <w:color w:val="1F2933"/>
                <w:sz w:val="18"/>
              </w:rPr>
              <w:t>ScanRun</w:t>
            </w:r>
          </w:p>
        </w:tc>
        <w:tc>
          <w:tcPr>
            <w:tcW w:type="dxa" w:w="7488"/>
            <w:shd w:fill="F4F6F7"/>
            <w:vAlign w:val="center"/>
            <w:tcMar>
              <w:top w:w="100" w:type="dxa"/>
              <w:start w:w="110" w:type="dxa"/>
              <w:bottom w:w="100" w:type="dxa"/>
              <w:end w:w="110" w:type="dxa"/>
            </w:tcMar>
          </w:tcPr>
          <w:p>
            <w:pPr>
              <w:spacing w:after="0" w:line="252" w:lineRule="auto"/>
            </w:pPr>
            <w:r>
              <w:rPr>
                <w:rFonts w:ascii="Arial" w:hAnsi="Arial"/>
                <w:color w:val="1F2933"/>
                <w:sz w:val="18"/>
              </w:rPr>
              <w:t>Stores the selected application, time, source reference, status, finding count, and maximum score.</w:t>
            </w:r>
          </w:p>
        </w:tc>
      </w:tr>
      <w:tr>
        <w:trPr>
          <w:cantSplit/>
        </w:trPr>
        <w:tc>
          <w:tcPr>
            <w:tcW w:type="dxa" w:w="2952"/>
            <w:vAlign w:val="center"/>
            <w:tcMar>
              <w:top w:w="100" w:type="dxa"/>
              <w:start w:w="110" w:type="dxa"/>
              <w:bottom w:w="100" w:type="dxa"/>
              <w:end w:w="110" w:type="dxa"/>
            </w:tcMar>
          </w:tcPr>
          <w:p>
            <w:pPr>
              <w:spacing w:after="0" w:line="252" w:lineRule="auto"/>
            </w:pPr>
            <w:r>
              <w:rPr>
                <w:rFonts w:ascii="Arial" w:hAnsi="Arial"/>
                <w:color w:val="1F2933"/>
                <w:sz w:val="18"/>
              </w:rPr>
              <w:t>Finding</w:t>
            </w:r>
          </w:p>
        </w:tc>
        <w:tc>
          <w:tcPr>
            <w:tcW w:type="dxa" w:w="7488"/>
            <w:vAlign w:val="center"/>
            <w:tcMar>
              <w:top w:w="100" w:type="dxa"/>
              <w:start w:w="110" w:type="dxa"/>
              <w:bottom w:w="100" w:type="dxa"/>
              <w:end w:w="110" w:type="dxa"/>
            </w:tcMar>
          </w:tcPr>
          <w:p>
            <w:pPr>
              <w:spacing w:after="0" w:line="252" w:lineRule="auto"/>
            </w:pPr>
            <w:r>
              <w:rPr>
                <w:rFonts w:ascii="Arial" w:hAnsi="Arial"/>
                <w:color w:val="1F2933"/>
                <w:sz w:val="18"/>
              </w:rPr>
              <w:t>Stores rule, explanation, expected and observed states, evidence, remediation, severity, score, and workflow status.</w:t>
            </w:r>
          </w:p>
        </w:tc>
      </w:tr>
      <w:tr>
        <w:trPr>
          <w:cantSplit/>
        </w:trPr>
        <w:tc>
          <w:tcPr>
            <w:tcW w:type="dxa" w:w="2952"/>
            <w:shd w:fill="F4F6F7"/>
            <w:vAlign w:val="center"/>
            <w:tcMar>
              <w:top w:w="100" w:type="dxa"/>
              <w:start w:w="110" w:type="dxa"/>
              <w:bottom w:w="100" w:type="dxa"/>
              <w:end w:w="110" w:type="dxa"/>
            </w:tcMar>
          </w:tcPr>
          <w:p>
            <w:pPr>
              <w:spacing w:after="0" w:line="252" w:lineRule="auto"/>
            </w:pPr>
            <w:r>
              <w:rPr>
                <w:rFonts w:ascii="Arial" w:hAnsi="Arial"/>
                <w:color w:val="1F2933"/>
                <w:sz w:val="18"/>
              </w:rPr>
              <w:t>RepositoryInspectionService</w:t>
            </w:r>
          </w:p>
        </w:tc>
        <w:tc>
          <w:tcPr>
            <w:tcW w:type="dxa" w:w="7488"/>
            <w:shd w:fill="F4F6F7"/>
            <w:vAlign w:val="center"/>
            <w:tcMar>
              <w:top w:w="100" w:type="dxa"/>
              <w:start w:w="110" w:type="dxa"/>
              <w:bottom w:w="100" w:type="dxa"/>
              <w:end w:w="110" w:type="dxa"/>
            </w:tcMar>
          </w:tcPr>
          <w:p>
            <w:pPr>
              <w:spacing w:after="0" w:line="252" w:lineRule="auto"/>
            </w:pPr>
            <w:r>
              <w:rPr>
                <w:rFonts w:ascii="Arial" w:hAnsi="Arial"/>
                <w:color w:val="1F2933"/>
                <w:sz w:val="18"/>
              </w:rPr>
              <w:t>Validates repository sources, clones public repositories, discovers supported files, and extracts observations.</w:t>
            </w:r>
          </w:p>
        </w:tc>
      </w:tr>
      <w:tr>
        <w:trPr>
          <w:cantSplit/>
        </w:trPr>
        <w:tc>
          <w:tcPr>
            <w:tcW w:type="dxa" w:w="2952"/>
            <w:vAlign w:val="center"/>
            <w:tcMar>
              <w:top w:w="100" w:type="dxa"/>
              <w:start w:w="110" w:type="dxa"/>
              <w:bottom w:w="100" w:type="dxa"/>
              <w:end w:w="110" w:type="dxa"/>
            </w:tcMar>
          </w:tcPr>
          <w:p>
            <w:pPr>
              <w:spacing w:after="0" w:line="252" w:lineRule="auto"/>
            </w:pPr>
            <w:r>
              <w:rPr>
                <w:rFonts w:ascii="Arial" w:hAnsi="Arial"/>
                <w:color w:val="1F2933"/>
                <w:sz w:val="18"/>
              </w:rPr>
              <w:t>DriftDetectionService</w:t>
            </w:r>
          </w:p>
        </w:tc>
        <w:tc>
          <w:tcPr>
            <w:tcW w:type="dxa" w:w="7488"/>
            <w:vAlign w:val="center"/>
            <w:tcMar>
              <w:top w:w="100" w:type="dxa"/>
              <w:start w:w="110" w:type="dxa"/>
              <w:bottom w:w="100" w:type="dxa"/>
              <w:end w:w="110" w:type="dxa"/>
            </w:tcMar>
          </w:tcPr>
          <w:p>
            <w:pPr>
              <w:spacing w:after="0" w:line="252" w:lineRule="auto"/>
            </w:pPr>
            <w:r>
              <w:rPr>
                <w:rFonts w:ascii="Arial" w:hAnsi="Arial"/>
                <w:color w:val="1F2933"/>
                <w:sz w:val="18"/>
              </w:rPr>
              <w:t>Compares baseline and observed values and emits rule results.</w:t>
            </w:r>
          </w:p>
        </w:tc>
      </w:tr>
      <w:tr>
        <w:trPr>
          <w:cantSplit/>
        </w:trPr>
        <w:tc>
          <w:tcPr>
            <w:tcW w:type="dxa" w:w="2952"/>
            <w:shd w:fill="F4F6F7"/>
            <w:vAlign w:val="center"/>
            <w:tcMar>
              <w:top w:w="100" w:type="dxa"/>
              <w:start w:w="110" w:type="dxa"/>
              <w:bottom w:w="100" w:type="dxa"/>
              <w:end w:w="110" w:type="dxa"/>
            </w:tcMar>
          </w:tcPr>
          <w:p>
            <w:pPr>
              <w:spacing w:after="0" w:line="252" w:lineRule="auto"/>
            </w:pPr>
            <w:r>
              <w:rPr>
                <w:rFonts w:ascii="Arial" w:hAnsi="Arial"/>
                <w:color w:val="1F2933"/>
                <w:sz w:val="18"/>
              </w:rPr>
              <w:t>RiskScoringService</w:t>
            </w:r>
          </w:p>
        </w:tc>
        <w:tc>
          <w:tcPr>
            <w:tcW w:type="dxa" w:w="7488"/>
            <w:shd w:fill="F4F6F7"/>
            <w:vAlign w:val="center"/>
            <w:tcMar>
              <w:top w:w="100" w:type="dxa"/>
              <w:start w:w="110" w:type="dxa"/>
              <w:bottom w:w="100" w:type="dxa"/>
              <w:end w:w="110" w:type="dxa"/>
            </w:tcMar>
          </w:tcPr>
          <w:p>
            <w:pPr>
              <w:spacing w:after="0" w:line="252" w:lineRule="auto"/>
            </w:pPr>
            <w:r>
              <w:rPr>
                <w:rFonts w:ascii="Arial" w:hAnsi="Arial"/>
                <w:color w:val="1F2933"/>
                <w:sz w:val="18"/>
              </w:rPr>
              <w:t>Adds configurable context weights and maps scores to severity.</w:t>
            </w:r>
          </w:p>
        </w:tc>
      </w:tr>
      <w:tr>
        <w:trPr>
          <w:cantSplit/>
        </w:trPr>
        <w:tc>
          <w:tcPr>
            <w:tcW w:type="dxa" w:w="2952"/>
            <w:vAlign w:val="center"/>
            <w:tcMar>
              <w:top w:w="100" w:type="dxa"/>
              <w:start w:w="110" w:type="dxa"/>
              <w:bottom w:w="100" w:type="dxa"/>
              <w:end w:w="110" w:type="dxa"/>
            </w:tcMar>
          </w:tcPr>
          <w:p>
            <w:pPr>
              <w:spacing w:after="0" w:line="252" w:lineRule="auto"/>
            </w:pPr>
            <w:r>
              <w:rPr>
                <w:rFonts w:ascii="Arial" w:hAnsi="Arial"/>
                <w:color w:val="1F2933"/>
                <w:sz w:val="18"/>
              </w:rPr>
              <w:t>ScanOrchestrator</w:t>
            </w:r>
          </w:p>
        </w:tc>
        <w:tc>
          <w:tcPr>
            <w:tcW w:type="dxa" w:w="7488"/>
            <w:vAlign w:val="center"/>
            <w:tcMar>
              <w:top w:w="100" w:type="dxa"/>
              <w:start w:w="110" w:type="dxa"/>
              <w:bottom w:w="100" w:type="dxa"/>
              <w:end w:w="110" w:type="dxa"/>
            </w:tcMar>
          </w:tcPr>
          <w:p>
            <w:pPr>
              <w:spacing w:after="0" w:line="252" w:lineRule="auto"/>
            </w:pPr>
            <w:r>
              <w:rPr>
                <w:rFonts w:ascii="Arial" w:hAnsi="Arial"/>
                <w:color w:val="1F2933"/>
                <w:sz w:val="18"/>
              </w:rPr>
              <w:t>Creates scan records, findings, scores, and completion summaries in one workflow.</w:t>
            </w:r>
          </w:p>
        </w:tc>
      </w:tr>
      <w:tr>
        <w:trPr>
          <w:cantSplit/>
        </w:trPr>
        <w:tc>
          <w:tcPr>
            <w:tcW w:type="dxa" w:w="2952"/>
            <w:shd w:fill="F4F6F7"/>
            <w:vAlign w:val="center"/>
            <w:tcMar>
              <w:top w:w="100" w:type="dxa"/>
              <w:start w:w="110" w:type="dxa"/>
              <w:bottom w:w="100" w:type="dxa"/>
              <w:end w:w="110" w:type="dxa"/>
            </w:tcMar>
          </w:tcPr>
          <w:p>
            <w:pPr>
              <w:spacing w:after="0" w:line="252" w:lineRule="auto"/>
            </w:pPr>
            <w:r>
              <w:rPr>
                <w:rFonts w:ascii="Arial" w:hAnsi="Arial"/>
                <w:color w:val="1F2933"/>
                <w:sz w:val="18"/>
              </w:rPr>
              <w:t>Spring MVC and REST controllers</w:t>
            </w:r>
          </w:p>
        </w:tc>
        <w:tc>
          <w:tcPr>
            <w:tcW w:type="dxa" w:w="7488"/>
            <w:shd w:fill="F4F6F7"/>
            <w:vAlign w:val="center"/>
            <w:tcMar>
              <w:top w:w="100" w:type="dxa"/>
              <w:start w:w="110" w:type="dxa"/>
              <w:bottom w:w="100" w:type="dxa"/>
              <w:end w:w="110" w:type="dxa"/>
            </w:tcMar>
          </w:tcPr>
          <w:p>
            <w:pPr>
              <w:spacing w:after="0" w:line="252" w:lineRule="auto"/>
            </w:pPr>
            <w:r>
              <w:rPr>
                <w:rFonts w:ascii="Arial" w:hAnsi="Arial"/>
                <w:color w:val="1F2933"/>
                <w:sz w:val="18"/>
              </w:rPr>
              <w:t>Provide dashboard, forms, history, finding workflow, and JSON endpoints.</w:t>
            </w:r>
          </w:p>
        </w:tc>
      </w:tr>
    </w:tbl>
    <w:p>
      <w:pPr>
        <w:spacing w:after="40"/>
      </w:pPr>
    </w:p>
    <w:p>
      <w:pPr>
        <w:pStyle w:val="Heading2"/>
        <w:keepNext/>
        <w:spacing w:before="160" w:after="100"/>
      </w:pPr>
      <w:r>
        <w:t>Safety and reproducibility controls</w:t>
      </w:r>
    </w:p>
    <w:p>
      <w:pPr>
        <w:pStyle w:val="ListBullet"/>
        <w:spacing w:after="60" w:line="259" w:lineRule="auto"/>
      </w:pPr>
      <w:r>
        <w:rPr>
          <w:rFonts w:ascii="Arial" w:hAnsi="Arial"/>
          <w:color w:val="1F2933"/>
          <w:sz w:val="21"/>
        </w:rPr>
        <w:t>Repository scans do not modify the target repository.</w:t>
      </w:r>
    </w:p>
    <w:p>
      <w:pPr>
        <w:pStyle w:val="ListBullet"/>
        <w:spacing w:after="60" w:line="259" w:lineRule="auto"/>
      </w:pPr>
      <w:r>
        <w:rPr>
          <w:rFonts w:ascii="Arial" w:hAnsi="Arial"/>
          <w:color w:val="1F2933"/>
          <w:sz w:val="21"/>
        </w:rPr>
        <w:t>Remote input accepts public HTTPS URLs and rejects URL credentials, fragments, loopback, link local, site local, multicast, and private IPv6 destinations.</w:t>
      </w:r>
    </w:p>
    <w:p>
      <w:pPr>
        <w:pStyle w:val="ListBullet"/>
        <w:spacing w:after="60" w:line="259" w:lineRule="auto"/>
      </w:pPr>
      <w:r>
        <w:rPr>
          <w:rFonts w:ascii="Arial" w:hAnsi="Arial"/>
          <w:color w:val="1F2933"/>
          <w:sz w:val="21"/>
        </w:rPr>
        <w:t>Remote repositories use a configurable shallow clone depth and timeout and are deleted from temporary storage after inspection.</w:t>
      </w:r>
    </w:p>
    <w:p>
      <w:pPr>
        <w:pStyle w:val="ListBullet"/>
        <w:spacing w:after="60" w:line="259" w:lineRule="auto"/>
      </w:pPr>
      <w:r>
        <w:rPr>
          <w:rFonts w:ascii="Arial" w:hAnsi="Arial"/>
          <w:color w:val="1F2933"/>
          <w:sz w:val="21"/>
        </w:rPr>
        <w:t>Generated directories are ignored and configuration files above the configured size limit are skipped.</w:t>
      </w:r>
    </w:p>
    <w:p>
      <w:pPr>
        <w:pStyle w:val="ListBullet"/>
        <w:spacing w:after="60" w:line="259" w:lineRule="auto"/>
      </w:pPr>
      <w:r>
        <w:rPr>
          <w:rFonts w:ascii="Arial" w:hAnsi="Arial"/>
          <w:color w:val="1F2933"/>
          <w:sz w:val="21"/>
        </w:rPr>
        <w:t>A fresh installation starts without seeded assets or findings.</w:t>
      </w:r>
    </w:p>
    <w:p>
      <w:pPr>
        <w:pStyle w:val="ListBullet"/>
        <w:spacing w:after="60" w:line="259" w:lineRule="auto"/>
      </w:pPr>
      <w:r>
        <w:rPr>
          <w:rFonts w:ascii="Arial" w:hAnsi="Arial"/>
          <w:color w:val="1F2933"/>
          <w:sz w:val="21"/>
        </w:rPr>
        <w:t>The benchmark dataset is deterministic and includes a generation version and checksum.</w:t>
      </w:r>
    </w:p>
    <w:p>
      <w:r>
        <w:br w:type="page"/>
      </w:r>
    </w:p>
    <w:p>
      <w:pPr>
        <w:pStyle w:val="Heading1"/>
        <w:keepNext/>
        <w:spacing w:before="240" w:after="100"/>
      </w:pPr>
      <w:r>
        <w:t>Experimental results content guide</w:t>
      </w:r>
    </w:p>
    <w:p>
      <w:pPr>
        <w:spacing w:after="120" w:line="269" w:lineRule="auto"/>
      </w:pPr>
      <w:r>
        <w:rPr>
          <w:rFonts w:ascii="Arial" w:hAnsi="Arial"/>
          <w:i w:val="0"/>
          <w:color w:val="1F2933"/>
          <w:sz w:val="21"/>
        </w:rPr>
        <w:t>Separate measured results from proposed experiments. Report the evidence below exactly, and do not convert dataset composition into accuracy, precision, recall, or F1 scores until the cases have been executed independently against the application.</w:t>
      </w:r>
    </w:p>
    <w:p>
      <w:pPr>
        <w:pStyle w:val="Heading2"/>
        <w:keepNext/>
        <w:spacing w:before="160" w:after="100"/>
      </w:pPr>
      <w:r>
        <w:t>Verified automated test result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880"/>
            <w:shd w:fill="173B57"/>
            <w:vAlign w:val="center"/>
            <w:tcMar>
              <w:top w:w="110" w:type="dxa"/>
              <w:start w:w="110" w:type="dxa"/>
              <w:bottom w:w="110" w:type="dxa"/>
              <w:end w:w="110" w:type="dxa"/>
            </w:tcMar>
          </w:tcPr>
          <w:p>
            <w:pPr>
              <w:spacing w:after="0"/>
              <w:jc w:val="center"/>
            </w:pPr>
            <w:r>
              <w:rPr>
                <w:rFonts w:ascii="Arial" w:hAnsi="Arial"/>
                <w:b/>
                <w:color w:val="FFFFFF"/>
                <w:sz w:val="18"/>
              </w:rPr>
              <w:t>Test area</w:t>
            </w:r>
          </w:p>
        </w:tc>
        <w:tc>
          <w:tcPr>
            <w:tcW w:type="dxa" w:w="1008"/>
            <w:shd w:fill="173B57"/>
            <w:vAlign w:val="center"/>
            <w:tcMar>
              <w:top w:w="110" w:type="dxa"/>
              <w:start w:w="110" w:type="dxa"/>
              <w:bottom w:w="110" w:type="dxa"/>
              <w:end w:w="110" w:type="dxa"/>
            </w:tcMar>
          </w:tcPr>
          <w:p>
            <w:pPr>
              <w:spacing w:after="0"/>
              <w:jc w:val="center"/>
            </w:pPr>
            <w:r>
              <w:rPr>
                <w:rFonts w:ascii="Arial" w:hAnsi="Arial"/>
                <w:b/>
                <w:color w:val="FFFFFF"/>
                <w:sz w:val="18"/>
              </w:rPr>
              <w:t>Tests</w:t>
            </w:r>
          </w:p>
        </w:tc>
        <w:tc>
          <w:tcPr>
            <w:tcW w:type="dxa" w:w="6552"/>
            <w:shd w:fill="173B57"/>
            <w:vAlign w:val="center"/>
            <w:tcMar>
              <w:top w:w="110" w:type="dxa"/>
              <w:start w:w="110" w:type="dxa"/>
              <w:bottom w:w="110" w:type="dxa"/>
              <w:end w:w="110" w:type="dxa"/>
            </w:tcMar>
          </w:tcPr>
          <w:p>
            <w:pPr>
              <w:spacing w:after="0"/>
              <w:jc w:val="center"/>
            </w:pPr>
            <w:r>
              <w:rPr>
                <w:rFonts w:ascii="Arial" w:hAnsi="Arial"/>
                <w:b/>
                <w:color w:val="FFFFFF"/>
                <w:sz w:val="18"/>
              </w:rPr>
              <w:t>Verified result</w:t>
            </w:r>
          </w:p>
        </w:tc>
      </w:tr>
      <w:tr>
        <w:trPr>
          <w:cantSplit/>
        </w:trPr>
        <w:tc>
          <w:tcPr>
            <w:tcW w:type="dxa" w:w="2880"/>
            <w:vAlign w:val="center"/>
            <w:tcMar>
              <w:top w:w="100" w:type="dxa"/>
              <w:start w:w="110" w:type="dxa"/>
              <w:bottom w:w="100" w:type="dxa"/>
              <w:end w:w="110" w:type="dxa"/>
            </w:tcMar>
          </w:tcPr>
          <w:p>
            <w:pPr>
              <w:spacing w:after="0" w:line="252" w:lineRule="auto"/>
            </w:pPr>
            <w:r>
              <w:rPr>
                <w:rFonts w:ascii="Arial" w:hAnsi="Arial"/>
                <w:color w:val="1F2933"/>
                <w:sz w:val="18"/>
              </w:rPr>
              <w:t>Web and API smoke tests</w:t>
            </w:r>
          </w:p>
        </w:tc>
        <w:tc>
          <w:tcPr>
            <w:tcW w:type="dxa" w:w="1008"/>
            <w:vAlign w:val="center"/>
            <w:tcMar>
              <w:top w:w="100" w:type="dxa"/>
              <w:start w:w="110" w:type="dxa"/>
              <w:bottom w:w="100" w:type="dxa"/>
              <w:end w:w="110" w:type="dxa"/>
            </w:tcMar>
          </w:tcPr>
          <w:p>
            <w:pPr>
              <w:spacing w:after="0" w:line="252" w:lineRule="auto"/>
            </w:pPr>
            <w:r>
              <w:rPr>
                <w:rFonts w:ascii="Arial" w:hAnsi="Arial"/>
                <w:color w:val="1F2933"/>
                <w:sz w:val="18"/>
              </w:rPr>
              <w:t>4</w:t>
            </w:r>
          </w:p>
        </w:tc>
        <w:tc>
          <w:tcPr>
            <w:tcW w:type="dxa" w:w="6552"/>
            <w:vAlign w:val="center"/>
            <w:tcMar>
              <w:top w:w="100" w:type="dxa"/>
              <w:start w:w="110" w:type="dxa"/>
              <w:bottom w:w="100" w:type="dxa"/>
              <w:end w:w="110" w:type="dxa"/>
            </w:tcMar>
          </w:tcPr>
          <w:p>
            <w:pPr>
              <w:spacing w:after="0" w:line="252" w:lineRule="auto"/>
            </w:pPr>
            <w:r>
              <w:rPr>
                <w:rFonts w:ascii="Arial" w:hAnsi="Arial"/>
                <w:color w:val="1F2933"/>
                <w:sz w:val="18"/>
              </w:rPr>
              <w:t>Dashboard, asset API, repository scan page, and history page tests passed.</w:t>
            </w:r>
          </w:p>
        </w:tc>
      </w:tr>
      <w:tr>
        <w:trPr>
          <w:cantSplit/>
        </w:trPr>
        <w:tc>
          <w:tcPr>
            <w:tcW w:type="dxa" w:w="2880"/>
            <w:shd w:fill="F4F6F7"/>
            <w:vAlign w:val="center"/>
            <w:tcMar>
              <w:top w:w="100" w:type="dxa"/>
              <w:start w:w="110" w:type="dxa"/>
              <w:bottom w:w="100" w:type="dxa"/>
              <w:end w:w="110" w:type="dxa"/>
            </w:tcMar>
          </w:tcPr>
          <w:p>
            <w:pPr>
              <w:spacing w:after="0" w:line="252" w:lineRule="auto"/>
            </w:pPr>
            <w:r>
              <w:rPr>
                <w:rFonts w:ascii="Arial" w:hAnsi="Arial"/>
                <w:color w:val="1F2933"/>
                <w:sz w:val="18"/>
              </w:rPr>
              <w:t>Drift rule tests</w:t>
            </w:r>
          </w:p>
        </w:tc>
        <w:tc>
          <w:tcPr>
            <w:tcW w:type="dxa" w:w="1008"/>
            <w:shd w:fill="F4F6F7"/>
            <w:vAlign w:val="center"/>
            <w:tcMar>
              <w:top w:w="100" w:type="dxa"/>
              <w:start w:w="110" w:type="dxa"/>
              <w:bottom w:w="100" w:type="dxa"/>
              <w:end w:w="110" w:type="dxa"/>
            </w:tcMar>
          </w:tcPr>
          <w:p>
            <w:pPr>
              <w:spacing w:after="0" w:line="252" w:lineRule="auto"/>
            </w:pPr>
            <w:r>
              <w:rPr>
                <w:rFonts w:ascii="Arial" w:hAnsi="Arial"/>
                <w:color w:val="1F2933"/>
                <w:sz w:val="18"/>
              </w:rPr>
              <w:t>2</w:t>
            </w:r>
          </w:p>
        </w:tc>
        <w:tc>
          <w:tcPr>
            <w:tcW w:type="dxa" w:w="6552"/>
            <w:shd w:fill="F4F6F7"/>
            <w:vAlign w:val="center"/>
            <w:tcMar>
              <w:top w:w="100" w:type="dxa"/>
              <w:start w:w="110" w:type="dxa"/>
              <w:bottom w:w="100" w:type="dxa"/>
              <w:end w:w="110" w:type="dxa"/>
            </w:tcMar>
          </w:tcPr>
          <w:p>
            <w:pPr>
              <w:spacing w:after="0" w:line="252" w:lineRule="auto"/>
            </w:pPr>
            <w:r>
              <w:rPr>
                <w:rFonts w:ascii="Arial" w:hAnsi="Arial"/>
                <w:color w:val="1F2933"/>
                <w:sz w:val="18"/>
              </w:rPr>
              <w:t>All six rule categories were detected in a constructed drift case and no finding was produced for a matching case.</w:t>
            </w:r>
          </w:p>
        </w:tc>
      </w:tr>
      <w:tr>
        <w:trPr>
          <w:cantSplit/>
        </w:trPr>
        <w:tc>
          <w:tcPr>
            <w:tcW w:type="dxa" w:w="2880"/>
            <w:vAlign w:val="center"/>
            <w:tcMar>
              <w:top w:w="100" w:type="dxa"/>
              <w:start w:w="110" w:type="dxa"/>
              <w:bottom w:w="100" w:type="dxa"/>
              <w:end w:w="110" w:type="dxa"/>
            </w:tcMar>
          </w:tcPr>
          <w:p>
            <w:pPr>
              <w:spacing w:after="0" w:line="252" w:lineRule="auto"/>
            </w:pPr>
            <w:r>
              <w:rPr>
                <w:rFonts w:ascii="Arial" w:hAnsi="Arial"/>
                <w:color w:val="1F2933"/>
                <w:sz w:val="18"/>
              </w:rPr>
              <w:t>Risk scoring tests</w:t>
            </w:r>
          </w:p>
        </w:tc>
        <w:tc>
          <w:tcPr>
            <w:tcW w:type="dxa" w:w="1008"/>
            <w:vAlign w:val="center"/>
            <w:tcMar>
              <w:top w:w="100" w:type="dxa"/>
              <w:start w:w="110" w:type="dxa"/>
              <w:bottom w:w="100" w:type="dxa"/>
              <w:end w:w="110" w:type="dxa"/>
            </w:tcMar>
          </w:tcPr>
          <w:p>
            <w:pPr>
              <w:spacing w:after="0" w:line="252" w:lineRule="auto"/>
            </w:pPr>
            <w:r>
              <w:rPr>
                <w:rFonts w:ascii="Arial" w:hAnsi="Arial"/>
                <w:color w:val="1F2933"/>
                <w:sz w:val="18"/>
              </w:rPr>
              <w:t>2</w:t>
            </w:r>
          </w:p>
        </w:tc>
        <w:tc>
          <w:tcPr>
            <w:tcW w:type="dxa" w:w="6552"/>
            <w:vAlign w:val="center"/>
            <w:tcMar>
              <w:top w:w="100" w:type="dxa"/>
              <w:start w:w="110" w:type="dxa"/>
              <w:bottom w:w="100" w:type="dxa"/>
              <w:end w:w="110" w:type="dxa"/>
            </w:tcMar>
          </w:tcPr>
          <w:p>
            <w:pPr>
              <w:spacing w:after="0" w:line="252" w:lineRule="auto"/>
            </w:pPr>
            <w:r>
              <w:rPr>
                <w:rFonts w:ascii="Arial" w:hAnsi="Arial"/>
                <w:color w:val="1F2933"/>
                <w:sz w:val="18"/>
              </w:rPr>
              <w:t>Context modifiers, score cap, and severity boundaries passed.</w:t>
            </w:r>
          </w:p>
        </w:tc>
      </w:tr>
      <w:tr>
        <w:trPr>
          <w:cantSplit/>
        </w:trPr>
        <w:tc>
          <w:tcPr>
            <w:tcW w:type="dxa" w:w="2880"/>
            <w:shd w:fill="F4F6F7"/>
            <w:vAlign w:val="center"/>
            <w:tcMar>
              <w:top w:w="100" w:type="dxa"/>
              <w:start w:w="110" w:type="dxa"/>
              <w:bottom w:w="100" w:type="dxa"/>
              <w:end w:w="110" w:type="dxa"/>
            </w:tcMar>
          </w:tcPr>
          <w:p>
            <w:pPr>
              <w:spacing w:after="0" w:line="252" w:lineRule="auto"/>
            </w:pPr>
            <w:r>
              <w:rPr>
                <w:rFonts w:ascii="Arial" w:hAnsi="Arial"/>
                <w:color w:val="1F2933"/>
                <w:sz w:val="18"/>
              </w:rPr>
              <w:t>Repository inspection tests</w:t>
            </w:r>
          </w:p>
        </w:tc>
        <w:tc>
          <w:tcPr>
            <w:tcW w:type="dxa" w:w="1008"/>
            <w:shd w:fill="F4F6F7"/>
            <w:vAlign w:val="center"/>
            <w:tcMar>
              <w:top w:w="100" w:type="dxa"/>
              <w:start w:w="110" w:type="dxa"/>
              <w:bottom w:w="100" w:type="dxa"/>
              <w:end w:w="110" w:type="dxa"/>
            </w:tcMar>
          </w:tcPr>
          <w:p>
            <w:pPr>
              <w:spacing w:after="0" w:line="252" w:lineRule="auto"/>
            </w:pPr>
            <w:r>
              <w:rPr>
                <w:rFonts w:ascii="Arial" w:hAnsi="Arial"/>
                <w:color w:val="1F2933"/>
                <w:sz w:val="18"/>
              </w:rPr>
              <w:t>3</w:t>
            </w:r>
          </w:p>
        </w:tc>
        <w:tc>
          <w:tcPr>
            <w:tcW w:type="dxa" w:w="6552"/>
            <w:shd w:fill="F4F6F7"/>
            <w:vAlign w:val="center"/>
            <w:tcMar>
              <w:top w:w="100" w:type="dxa"/>
              <w:start w:w="110" w:type="dxa"/>
              <w:bottom w:w="100" w:type="dxa"/>
              <w:end w:w="110" w:type="dxa"/>
            </w:tcMar>
          </w:tcPr>
          <w:p>
            <w:pPr>
              <w:spacing w:after="0" w:line="252" w:lineRule="auto"/>
            </w:pPr>
            <w:r>
              <w:rPr>
                <w:rFonts w:ascii="Arial" w:hAnsi="Arial"/>
                <w:color w:val="1F2933"/>
                <w:sz w:val="18"/>
              </w:rPr>
              <w:t>Evidence extraction, unsupported directory rejection, and non HTTPS remote rejection passed.</w:t>
            </w:r>
          </w:p>
        </w:tc>
      </w:tr>
      <w:tr>
        <w:trPr>
          <w:cantSplit/>
        </w:trPr>
        <w:tc>
          <w:tcPr>
            <w:tcW w:type="dxa" w:w="2880"/>
            <w:vAlign w:val="center"/>
            <w:tcMar>
              <w:top w:w="100" w:type="dxa"/>
              <w:start w:w="110" w:type="dxa"/>
              <w:bottom w:w="100" w:type="dxa"/>
              <w:end w:w="110" w:type="dxa"/>
            </w:tcMar>
          </w:tcPr>
          <w:p>
            <w:pPr>
              <w:spacing w:after="0" w:line="252" w:lineRule="auto"/>
            </w:pPr>
            <w:r>
              <w:rPr>
                <w:rFonts w:ascii="Arial" w:hAnsi="Arial"/>
                <w:color w:val="1F2933"/>
                <w:sz w:val="18"/>
              </w:rPr>
              <w:t>Total</w:t>
            </w:r>
          </w:p>
        </w:tc>
        <w:tc>
          <w:tcPr>
            <w:tcW w:type="dxa" w:w="1008"/>
            <w:vAlign w:val="center"/>
            <w:tcMar>
              <w:top w:w="100" w:type="dxa"/>
              <w:start w:w="110" w:type="dxa"/>
              <w:bottom w:w="100" w:type="dxa"/>
              <w:end w:w="110" w:type="dxa"/>
            </w:tcMar>
          </w:tcPr>
          <w:p>
            <w:pPr>
              <w:spacing w:after="0" w:line="252" w:lineRule="auto"/>
            </w:pPr>
            <w:r>
              <w:rPr>
                <w:rFonts w:ascii="Arial" w:hAnsi="Arial"/>
                <w:color w:val="1F2933"/>
                <w:sz w:val="18"/>
              </w:rPr>
              <w:t>11</w:t>
            </w:r>
          </w:p>
        </w:tc>
        <w:tc>
          <w:tcPr>
            <w:tcW w:type="dxa" w:w="6552"/>
            <w:vAlign w:val="center"/>
            <w:tcMar>
              <w:top w:w="100" w:type="dxa"/>
              <w:start w:w="110" w:type="dxa"/>
              <w:bottom w:w="100" w:type="dxa"/>
              <w:end w:w="110" w:type="dxa"/>
            </w:tcMar>
          </w:tcPr>
          <w:p>
            <w:pPr>
              <w:spacing w:after="0" w:line="252" w:lineRule="auto"/>
            </w:pPr>
            <w:r>
              <w:rPr>
                <w:rFonts w:ascii="Arial" w:hAnsi="Arial"/>
                <w:color w:val="1F2933"/>
                <w:sz w:val="18"/>
              </w:rPr>
              <w:t>11 passed  0 failures  0 errors  0 skipped.</w:t>
            </w:r>
          </w:p>
        </w:tc>
      </w:tr>
    </w:tbl>
    <w:p>
      <w:pPr>
        <w:spacing w:after="40"/>
      </w:pPr>
    </w:p>
    <w:p>
      <w:pPr>
        <w:pStyle w:val="Heading2"/>
        <w:keepNext/>
        <w:spacing w:before="160" w:after="100"/>
      </w:pPr>
      <w:r>
        <w:t>Benchmark dataset composition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240"/>
            <w:shd w:fill="173B57"/>
            <w:vAlign w:val="center"/>
            <w:tcMar>
              <w:top w:w="110" w:type="dxa"/>
              <w:start w:w="110" w:type="dxa"/>
              <w:bottom w:w="110" w:type="dxa"/>
              <w:end w:w="110" w:type="dxa"/>
            </w:tcMar>
          </w:tcPr>
          <w:p>
            <w:pPr>
              <w:spacing w:after="0"/>
              <w:jc w:val="center"/>
            </w:pPr>
            <w:r>
              <w:rPr>
                <w:rFonts w:ascii="Arial" w:hAnsi="Arial"/>
                <w:b/>
                <w:color w:val="FFFFFF"/>
                <w:sz w:val="18"/>
              </w:rPr>
              <w:t>Measure</w:t>
            </w:r>
          </w:p>
        </w:tc>
        <w:tc>
          <w:tcPr>
            <w:tcW w:type="dxa" w:w="7200"/>
            <w:shd w:fill="173B57"/>
            <w:vAlign w:val="center"/>
            <w:tcMar>
              <w:top w:w="110" w:type="dxa"/>
              <w:start w:w="110" w:type="dxa"/>
              <w:bottom w:w="110" w:type="dxa"/>
              <w:end w:w="110" w:type="dxa"/>
            </w:tcMar>
          </w:tcPr>
          <w:p>
            <w:pPr>
              <w:spacing w:after="0"/>
              <w:jc w:val="center"/>
            </w:pPr>
            <w:r>
              <w:rPr>
                <w:rFonts w:ascii="Arial" w:hAnsi="Arial"/>
                <w:b/>
                <w:color w:val="FFFFFF"/>
                <w:sz w:val="18"/>
              </w:rPr>
              <w:t>Value</w:t>
            </w:r>
          </w:p>
        </w:tc>
      </w:tr>
      <w:tr>
        <w:trPr>
          <w:cantSplit/>
        </w:trPr>
        <w:tc>
          <w:tcPr>
            <w:tcW w:type="dxa" w:w="3240"/>
            <w:vAlign w:val="center"/>
            <w:tcMar>
              <w:top w:w="100" w:type="dxa"/>
              <w:start w:w="110" w:type="dxa"/>
              <w:bottom w:w="100" w:type="dxa"/>
              <w:end w:w="110" w:type="dxa"/>
            </w:tcMar>
          </w:tcPr>
          <w:p>
            <w:pPr>
              <w:spacing w:after="0" w:line="252" w:lineRule="auto"/>
            </w:pPr>
            <w:r>
              <w:rPr>
                <w:rFonts w:ascii="Arial" w:hAnsi="Arial"/>
                <w:color w:val="1F2933"/>
                <w:sz w:val="18"/>
              </w:rPr>
              <w:t>Dataset version</w:t>
            </w:r>
          </w:p>
        </w:tc>
        <w:tc>
          <w:tcPr>
            <w:tcW w:type="dxa" w:w="7200"/>
            <w:vAlign w:val="center"/>
            <w:tcMar>
              <w:top w:w="100" w:type="dxa"/>
              <w:start w:w="110" w:type="dxa"/>
              <w:bottom w:w="100" w:type="dxa"/>
              <w:end w:w="110" w:type="dxa"/>
            </w:tcMar>
          </w:tcPr>
          <w:p>
            <w:pPr>
              <w:spacing w:after="0" w:line="252" w:lineRule="auto"/>
            </w:pPr>
            <w:r>
              <w:rPr>
                <w:rFonts w:ascii="Arial" w:hAnsi="Arial"/>
                <w:color w:val="1F2933"/>
                <w:sz w:val="18"/>
              </w:rPr>
              <w:t>CSB 2026 001</w:t>
            </w:r>
          </w:p>
        </w:tc>
      </w:tr>
      <w:tr>
        <w:trPr>
          <w:cantSplit/>
        </w:trPr>
        <w:tc>
          <w:tcPr>
            <w:tcW w:type="dxa" w:w="3240"/>
            <w:shd w:fill="F4F6F7"/>
            <w:vAlign w:val="center"/>
            <w:tcMar>
              <w:top w:w="100" w:type="dxa"/>
              <w:start w:w="110" w:type="dxa"/>
              <w:bottom w:w="100" w:type="dxa"/>
              <w:end w:w="110" w:type="dxa"/>
            </w:tcMar>
          </w:tcPr>
          <w:p>
            <w:pPr>
              <w:spacing w:after="0" w:line="252" w:lineRule="auto"/>
            </w:pPr>
            <w:r>
              <w:rPr>
                <w:rFonts w:ascii="Arial" w:hAnsi="Arial"/>
                <w:color w:val="1F2933"/>
                <w:sz w:val="18"/>
              </w:rPr>
              <w:t>Total cases</w:t>
            </w:r>
          </w:p>
        </w:tc>
        <w:tc>
          <w:tcPr>
            <w:tcW w:type="dxa" w:w="7200"/>
            <w:shd w:fill="F4F6F7"/>
            <w:vAlign w:val="center"/>
            <w:tcMar>
              <w:top w:w="100" w:type="dxa"/>
              <w:start w:w="110" w:type="dxa"/>
              <w:bottom w:w="100" w:type="dxa"/>
              <w:end w:w="110" w:type="dxa"/>
            </w:tcMar>
          </w:tcPr>
          <w:p>
            <w:pPr>
              <w:spacing w:after="0" w:line="252" w:lineRule="auto"/>
            </w:pPr>
            <w:r>
              <w:rPr>
                <w:rFonts w:ascii="Arial" w:hAnsi="Arial"/>
                <w:color w:val="1F2933"/>
                <w:sz w:val="18"/>
              </w:rPr>
              <w:t>120</w:t>
            </w:r>
          </w:p>
        </w:tc>
      </w:tr>
      <w:tr>
        <w:trPr>
          <w:cantSplit/>
        </w:trPr>
        <w:tc>
          <w:tcPr>
            <w:tcW w:type="dxa" w:w="3240"/>
            <w:vAlign w:val="center"/>
            <w:tcMar>
              <w:top w:w="100" w:type="dxa"/>
              <w:start w:w="110" w:type="dxa"/>
              <w:bottom w:w="100" w:type="dxa"/>
              <w:end w:w="110" w:type="dxa"/>
            </w:tcMar>
          </w:tcPr>
          <w:p>
            <w:pPr>
              <w:spacing w:after="0" w:line="252" w:lineRule="auto"/>
            </w:pPr>
            <w:r>
              <w:rPr>
                <w:rFonts w:ascii="Arial" w:hAnsi="Arial"/>
                <w:color w:val="1F2933"/>
                <w:sz w:val="18"/>
              </w:rPr>
              <w:t>Compliant cases</w:t>
            </w:r>
          </w:p>
        </w:tc>
        <w:tc>
          <w:tcPr>
            <w:tcW w:type="dxa" w:w="7200"/>
            <w:vAlign w:val="center"/>
            <w:tcMar>
              <w:top w:w="100" w:type="dxa"/>
              <w:start w:w="110" w:type="dxa"/>
              <w:bottom w:w="100" w:type="dxa"/>
              <w:end w:w="110" w:type="dxa"/>
            </w:tcMar>
          </w:tcPr>
          <w:p>
            <w:pPr>
              <w:spacing w:after="0" w:line="252" w:lineRule="auto"/>
            </w:pPr>
            <w:r>
              <w:rPr>
                <w:rFonts w:ascii="Arial" w:hAnsi="Arial"/>
                <w:color w:val="1F2933"/>
                <w:sz w:val="18"/>
              </w:rPr>
              <w:t>24</w:t>
            </w:r>
          </w:p>
        </w:tc>
      </w:tr>
      <w:tr>
        <w:trPr>
          <w:cantSplit/>
        </w:trPr>
        <w:tc>
          <w:tcPr>
            <w:tcW w:type="dxa" w:w="3240"/>
            <w:shd w:fill="F4F6F7"/>
            <w:vAlign w:val="center"/>
            <w:tcMar>
              <w:top w:w="100" w:type="dxa"/>
              <w:start w:w="110" w:type="dxa"/>
              <w:bottom w:w="100" w:type="dxa"/>
              <w:end w:w="110" w:type="dxa"/>
            </w:tcMar>
          </w:tcPr>
          <w:p>
            <w:pPr>
              <w:spacing w:after="0" w:line="252" w:lineRule="auto"/>
            </w:pPr>
            <w:r>
              <w:rPr>
                <w:rFonts w:ascii="Arial" w:hAnsi="Arial"/>
                <w:color w:val="1F2933"/>
                <w:sz w:val="18"/>
              </w:rPr>
              <w:t>Drift cases</w:t>
            </w:r>
          </w:p>
        </w:tc>
        <w:tc>
          <w:tcPr>
            <w:tcW w:type="dxa" w:w="7200"/>
            <w:shd w:fill="F4F6F7"/>
            <w:vAlign w:val="center"/>
            <w:tcMar>
              <w:top w:w="100" w:type="dxa"/>
              <w:start w:w="110" w:type="dxa"/>
              <w:bottom w:w="100" w:type="dxa"/>
              <w:end w:w="110" w:type="dxa"/>
            </w:tcMar>
          </w:tcPr>
          <w:p>
            <w:pPr>
              <w:spacing w:after="0" w:line="252" w:lineRule="auto"/>
            </w:pPr>
            <w:r>
              <w:rPr>
                <w:rFonts w:ascii="Arial" w:hAnsi="Arial"/>
                <w:color w:val="1F2933"/>
                <w:sz w:val="18"/>
              </w:rPr>
              <w:t>96</w:t>
            </w:r>
          </w:p>
        </w:tc>
      </w:tr>
      <w:tr>
        <w:trPr>
          <w:cantSplit/>
        </w:trPr>
        <w:tc>
          <w:tcPr>
            <w:tcW w:type="dxa" w:w="3240"/>
            <w:vAlign w:val="center"/>
            <w:tcMar>
              <w:top w:w="100" w:type="dxa"/>
              <w:start w:w="110" w:type="dxa"/>
              <w:bottom w:w="100" w:type="dxa"/>
              <w:end w:w="110" w:type="dxa"/>
            </w:tcMar>
          </w:tcPr>
          <w:p>
            <w:pPr>
              <w:spacing w:after="0" w:line="252" w:lineRule="auto"/>
            </w:pPr>
            <w:r>
              <w:rPr>
                <w:rFonts w:ascii="Arial" w:hAnsi="Arial"/>
                <w:color w:val="1F2933"/>
                <w:sz w:val="18"/>
              </w:rPr>
              <w:t>Expected findings</w:t>
            </w:r>
          </w:p>
        </w:tc>
        <w:tc>
          <w:tcPr>
            <w:tcW w:type="dxa" w:w="7200"/>
            <w:vAlign w:val="center"/>
            <w:tcMar>
              <w:top w:w="100" w:type="dxa"/>
              <w:start w:w="110" w:type="dxa"/>
              <w:bottom w:w="100" w:type="dxa"/>
              <w:end w:w="110" w:type="dxa"/>
            </w:tcMar>
          </w:tcPr>
          <w:p>
            <w:pPr>
              <w:spacing w:after="0" w:line="252" w:lineRule="auto"/>
            </w:pPr>
            <w:r>
              <w:rPr>
                <w:rFonts w:ascii="Arial" w:hAnsi="Arial"/>
                <w:color w:val="1F2933"/>
                <w:sz w:val="18"/>
              </w:rPr>
              <w:t>181</w:t>
            </w:r>
          </w:p>
        </w:tc>
      </w:tr>
      <w:tr>
        <w:trPr>
          <w:cantSplit/>
        </w:trPr>
        <w:tc>
          <w:tcPr>
            <w:tcW w:type="dxa" w:w="3240"/>
            <w:shd w:fill="F4F6F7"/>
            <w:vAlign w:val="center"/>
            <w:tcMar>
              <w:top w:w="100" w:type="dxa"/>
              <w:start w:w="110" w:type="dxa"/>
              <w:bottom w:w="100" w:type="dxa"/>
              <w:end w:w="110" w:type="dxa"/>
            </w:tcMar>
          </w:tcPr>
          <w:p>
            <w:pPr>
              <w:spacing w:after="0" w:line="252" w:lineRule="auto"/>
            </w:pPr>
            <w:r>
              <w:rPr>
                <w:rFonts w:ascii="Arial" w:hAnsi="Arial"/>
                <w:color w:val="1F2933"/>
                <w:sz w:val="18"/>
              </w:rPr>
              <w:t>Split</w:t>
            </w:r>
          </w:p>
        </w:tc>
        <w:tc>
          <w:tcPr>
            <w:tcW w:type="dxa" w:w="7200"/>
            <w:shd w:fill="F4F6F7"/>
            <w:vAlign w:val="center"/>
            <w:tcMar>
              <w:top w:w="100" w:type="dxa"/>
              <w:start w:w="110" w:type="dxa"/>
              <w:bottom w:w="100" w:type="dxa"/>
              <w:end w:w="110" w:type="dxa"/>
            </w:tcMar>
          </w:tcPr>
          <w:p>
            <w:pPr>
              <w:spacing w:after="0" w:line="252" w:lineRule="auto"/>
            </w:pPr>
            <w:r>
              <w:rPr>
                <w:rFonts w:ascii="Arial" w:hAnsi="Arial"/>
                <w:color w:val="1F2933"/>
                <w:sz w:val="18"/>
              </w:rPr>
              <w:t>84 train  18 validation  18 test</w:t>
            </w:r>
          </w:p>
        </w:tc>
      </w:tr>
      <w:tr>
        <w:trPr>
          <w:cantSplit/>
        </w:trPr>
        <w:tc>
          <w:tcPr>
            <w:tcW w:type="dxa" w:w="3240"/>
            <w:vAlign w:val="center"/>
            <w:tcMar>
              <w:top w:w="100" w:type="dxa"/>
              <w:start w:w="110" w:type="dxa"/>
              <w:bottom w:w="100" w:type="dxa"/>
              <w:end w:w="110" w:type="dxa"/>
            </w:tcMar>
          </w:tcPr>
          <w:p>
            <w:pPr>
              <w:spacing w:after="0" w:line="252" w:lineRule="auto"/>
            </w:pPr>
            <w:r>
              <w:rPr>
                <w:rFonts w:ascii="Arial" w:hAnsi="Arial"/>
                <w:color w:val="1F2933"/>
                <w:sz w:val="18"/>
              </w:rPr>
              <w:t>Highest severity distribution</w:t>
            </w:r>
          </w:p>
        </w:tc>
        <w:tc>
          <w:tcPr>
            <w:tcW w:type="dxa" w:w="7200"/>
            <w:vAlign w:val="center"/>
            <w:tcMar>
              <w:top w:w="100" w:type="dxa"/>
              <w:start w:w="110" w:type="dxa"/>
              <w:bottom w:w="100" w:type="dxa"/>
              <w:end w:w="110" w:type="dxa"/>
            </w:tcMar>
          </w:tcPr>
          <w:p>
            <w:pPr>
              <w:spacing w:after="0" w:line="252" w:lineRule="auto"/>
            </w:pPr>
            <w:r>
              <w:rPr>
                <w:rFonts w:ascii="Arial" w:hAnsi="Arial"/>
                <w:color w:val="1F2933"/>
                <w:sz w:val="18"/>
              </w:rPr>
              <w:t>None 24  Low 6  Medium 31  High 33  Critical 26</w:t>
            </w:r>
          </w:p>
        </w:tc>
      </w:tr>
      <w:tr>
        <w:trPr>
          <w:cantSplit/>
        </w:trPr>
        <w:tc>
          <w:tcPr>
            <w:tcW w:type="dxa" w:w="3240"/>
            <w:shd w:fill="F4F6F7"/>
            <w:vAlign w:val="center"/>
            <w:tcMar>
              <w:top w:w="100" w:type="dxa"/>
              <w:start w:w="110" w:type="dxa"/>
              <w:bottom w:w="100" w:type="dxa"/>
              <w:end w:w="110" w:type="dxa"/>
            </w:tcMar>
          </w:tcPr>
          <w:p>
            <w:pPr>
              <w:spacing w:after="0" w:line="252" w:lineRule="auto"/>
            </w:pPr>
            <w:r>
              <w:rPr>
                <w:rFonts w:ascii="Arial" w:hAnsi="Arial"/>
                <w:color w:val="1F2933"/>
                <w:sz w:val="18"/>
              </w:rPr>
              <w:t>Rule frequencies</w:t>
            </w:r>
          </w:p>
        </w:tc>
        <w:tc>
          <w:tcPr>
            <w:tcW w:type="dxa" w:w="7200"/>
            <w:shd w:fill="F4F6F7"/>
            <w:vAlign w:val="center"/>
            <w:tcMar>
              <w:top w:w="100" w:type="dxa"/>
              <w:start w:w="110" w:type="dxa"/>
              <w:bottom w:w="100" w:type="dxa"/>
              <w:end w:w="110" w:type="dxa"/>
            </w:tcMar>
          </w:tcPr>
          <w:p>
            <w:pPr>
              <w:spacing w:after="0" w:line="252" w:lineRule="auto"/>
            </w:pPr>
            <w:r>
              <w:rPr>
                <w:rFonts w:ascii="Arial" w:hAnsi="Arial"/>
                <w:color w:val="1F2933"/>
                <w:sz w:val="18"/>
              </w:rPr>
              <w:t>Runtime 31  Network 31  Unexpected user 29  Docker socket 30  Image digest 31  Dependency 29</w:t>
            </w:r>
          </w:p>
        </w:tc>
      </w:tr>
    </w:tbl>
    <w:p>
      <w:pPr>
        <w:spacing w:after="40"/>
      </w:pPr>
    </w:p>
    <w:p>
      <w:pPr>
        <w:spacing w:after="120" w:line="269" w:lineRule="auto"/>
      </w:pPr>
      <w:r>
        <w:rPr>
          <w:rFonts w:ascii="Arial" w:hAnsi="Arial"/>
          <w:i/>
          <w:color w:val="1F2933"/>
          <w:sz w:val="21"/>
        </w:rPr>
        <w:t>The dataset provides controlled expected outputs for regression testing. Its labels were generated from the same rule specification used by CodeShield, so it establishes deterministic coverage but does not by itself prove generalization to unknown real world repositories.</w:t>
      </w:r>
    </w:p>
    <w:p>
      <w:pPr>
        <w:pStyle w:val="Heading2"/>
        <w:keepNext/>
        <w:spacing w:before="160" w:after="100"/>
      </w:pPr>
      <w:r>
        <w:t>Recorded public repository scans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952"/>
            <w:shd w:fill="173B57"/>
            <w:vAlign w:val="center"/>
            <w:tcMar>
              <w:top w:w="110" w:type="dxa"/>
              <w:start w:w="110" w:type="dxa"/>
              <w:bottom w:w="110" w:type="dxa"/>
              <w:end w:w="110" w:type="dxa"/>
            </w:tcMar>
          </w:tcPr>
          <w:p>
            <w:pPr>
              <w:spacing w:after="0"/>
              <w:jc w:val="center"/>
            </w:pPr>
            <w:r>
              <w:rPr>
                <w:rFonts w:ascii="Arial" w:hAnsi="Arial"/>
                <w:b/>
                <w:color w:val="FFFFFF"/>
                <w:sz w:val="18"/>
              </w:rPr>
              <w:t>Repository</w:t>
            </w:r>
          </w:p>
        </w:tc>
        <w:tc>
          <w:tcPr>
            <w:tcW w:type="dxa" w:w="4680"/>
            <w:shd w:fill="173B57"/>
            <w:vAlign w:val="center"/>
            <w:tcMar>
              <w:top w:w="110" w:type="dxa"/>
              <w:start w:w="110" w:type="dxa"/>
              <w:bottom w:w="110" w:type="dxa"/>
              <w:end w:w="110" w:type="dxa"/>
            </w:tcMar>
          </w:tcPr>
          <w:p>
            <w:pPr>
              <w:spacing w:after="0"/>
              <w:jc w:val="center"/>
            </w:pPr>
            <w:r>
              <w:rPr>
                <w:rFonts w:ascii="Arial" w:hAnsi="Arial"/>
                <w:b/>
                <w:color w:val="FFFFFF"/>
                <w:sz w:val="18"/>
              </w:rPr>
              <w:t>Recorded result</w:t>
            </w:r>
          </w:p>
        </w:tc>
        <w:tc>
          <w:tcPr>
            <w:tcW w:type="dxa" w:w="2880"/>
            <w:shd w:fill="173B57"/>
            <w:vAlign w:val="center"/>
            <w:tcMar>
              <w:top w:w="110" w:type="dxa"/>
              <w:start w:w="110" w:type="dxa"/>
              <w:bottom w:w="110" w:type="dxa"/>
              <w:end w:w="110" w:type="dxa"/>
            </w:tcMar>
          </w:tcPr>
          <w:p>
            <w:pPr>
              <w:spacing w:after="0"/>
              <w:jc w:val="center"/>
            </w:pPr>
            <w:r>
              <w:rPr>
                <w:rFonts w:ascii="Arial" w:hAnsi="Arial"/>
                <w:b/>
                <w:color w:val="FFFFFF"/>
                <w:sz w:val="18"/>
              </w:rPr>
              <w:t>Interpretation limit</w:t>
            </w:r>
          </w:p>
        </w:tc>
      </w:tr>
      <w:tr>
        <w:trPr>
          <w:cantSplit/>
        </w:trPr>
        <w:tc>
          <w:tcPr>
            <w:tcW w:type="dxa" w:w="2952"/>
            <w:vAlign w:val="center"/>
            <w:tcMar>
              <w:top w:w="100" w:type="dxa"/>
              <w:start w:w="110" w:type="dxa"/>
              <w:bottom w:w="100" w:type="dxa"/>
              <w:end w:w="110" w:type="dxa"/>
            </w:tcMar>
          </w:tcPr>
          <w:p>
            <w:pPr>
              <w:spacing w:after="0" w:line="252" w:lineRule="auto"/>
            </w:pPr>
            <w:r>
              <w:rPr>
                <w:rFonts w:ascii="Arial" w:hAnsi="Arial"/>
                <w:color w:val="1F2933"/>
                <w:sz w:val="17"/>
              </w:rPr>
              <w:t>spring projects spring petclinic</w:t>
            </w:r>
          </w:p>
        </w:tc>
        <w:tc>
          <w:tcPr>
            <w:tcW w:type="dxa" w:w="4680"/>
            <w:vAlign w:val="center"/>
            <w:tcMar>
              <w:top w:w="100" w:type="dxa"/>
              <w:start w:w="110" w:type="dxa"/>
              <w:bottom w:w="100" w:type="dxa"/>
              <w:end w:w="110" w:type="dxa"/>
            </w:tcMar>
          </w:tcPr>
          <w:p>
            <w:pPr>
              <w:spacing w:after="0" w:line="252" w:lineRule="auto"/>
            </w:pPr>
            <w:r>
              <w:rPr>
                <w:rFonts w:ascii="Arial" w:hAnsi="Arial"/>
                <w:color w:val="1F2933"/>
                <w:sz w:val="17"/>
              </w:rPr>
              <w:t>Completed with 5 findings and maximum score 82. Recorded rules covered Java version, database exposure, container user, image digest, and dependency version.</w:t>
            </w:r>
          </w:p>
        </w:tc>
        <w:tc>
          <w:tcPr>
            <w:tcW w:type="dxa" w:w="2880"/>
            <w:vAlign w:val="center"/>
            <w:tcMar>
              <w:top w:w="100" w:type="dxa"/>
              <w:start w:w="110" w:type="dxa"/>
              <w:bottom w:w="100" w:type="dxa"/>
              <w:end w:w="110" w:type="dxa"/>
            </w:tcMar>
          </w:tcPr>
          <w:p>
            <w:pPr>
              <w:spacing w:after="0" w:line="252" w:lineRule="auto"/>
            </w:pPr>
            <w:r>
              <w:rPr>
                <w:rFonts w:ascii="Arial" w:hAnsi="Arial"/>
                <w:color w:val="1F2933"/>
                <w:sz w:val="17"/>
              </w:rPr>
              <w:t>Findings express differences from the selected stored baseline. They are not a claim that the repository contains five exploitable vulnerabilities.</w:t>
            </w:r>
          </w:p>
        </w:tc>
      </w:tr>
      <w:tr>
        <w:trPr>
          <w:cantSplit/>
        </w:trPr>
        <w:tc>
          <w:tcPr>
            <w:tcW w:type="dxa" w:w="2952"/>
            <w:shd w:fill="F4F6F7"/>
            <w:vAlign w:val="center"/>
            <w:tcMar>
              <w:top w:w="100" w:type="dxa"/>
              <w:start w:w="110" w:type="dxa"/>
              <w:bottom w:w="100" w:type="dxa"/>
              <w:end w:w="110" w:type="dxa"/>
            </w:tcMar>
          </w:tcPr>
          <w:p>
            <w:pPr>
              <w:spacing w:after="0" w:line="252" w:lineRule="auto"/>
            </w:pPr>
            <w:r>
              <w:rPr>
                <w:rFonts w:ascii="Arial" w:hAnsi="Arial"/>
                <w:color w:val="1F2933"/>
                <w:sz w:val="17"/>
              </w:rPr>
              <w:t>ShauryaRawat27 Adaptive LLM</w:t>
            </w:r>
          </w:p>
        </w:tc>
        <w:tc>
          <w:tcPr>
            <w:tcW w:type="dxa" w:w="4680"/>
            <w:shd w:fill="F4F6F7"/>
            <w:vAlign w:val="center"/>
            <w:tcMar>
              <w:top w:w="100" w:type="dxa"/>
              <w:start w:w="110" w:type="dxa"/>
              <w:bottom w:w="100" w:type="dxa"/>
              <w:end w:w="110" w:type="dxa"/>
            </w:tcMar>
          </w:tcPr>
          <w:p>
            <w:pPr>
              <w:spacing w:after="0" w:line="252" w:lineRule="auto"/>
            </w:pPr>
            <w:r>
              <w:rPr>
                <w:rFonts w:ascii="Arial" w:hAnsi="Arial"/>
                <w:color w:val="1F2933"/>
                <w:sz w:val="17"/>
              </w:rPr>
              <w:t>Completed with 2 findings and maximum score 72. Recorded rules covered container user and an unpinned image reference.</w:t>
            </w:r>
          </w:p>
        </w:tc>
        <w:tc>
          <w:tcPr>
            <w:tcW w:type="dxa" w:w="2880"/>
            <w:shd w:fill="F4F6F7"/>
            <w:vAlign w:val="center"/>
            <w:tcMar>
              <w:top w:w="100" w:type="dxa"/>
              <w:start w:w="110" w:type="dxa"/>
              <w:bottom w:w="100" w:type="dxa"/>
              <w:end w:w="110" w:type="dxa"/>
            </w:tcMar>
          </w:tcPr>
          <w:p>
            <w:pPr>
              <w:spacing w:after="0" w:line="252" w:lineRule="auto"/>
            </w:pPr>
            <w:r>
              <w:rPr>
                <w:rFonts w:ascii="Arial" w:hAnsi="Arial"/>
                <w:color w:val="1F2933"/>
                <w:sz w:val="17"/>
              </w:rPr>
              <w:t>The result depends on supported files and the chosen baseline. Unsupported configuration is outside the scan scope.</w:t>
            </w:r>
          </w:p>
        </w:tc>
      </w:tr>
    </w:tbl>
    <w:p>
      <w:pPr>
        <w:spacing w:after="40"/>
      </w:pPr>
    </w:p>
    <w:p>
      <w:pPr>
        <w:pStyle w:val="Heading2"/>
        <w:keepNext/>
        <w:spacing w:before="160" w:after="100"/>
      </w:pPr>
      <w:r>
        <w:t>Clean installation smoke result</w:t>
      </w:r>
    </w:p>
    <w:p>
      <w:pPr>
        <w:spacing w:after="120" w:line="269" w:lineRule="auto"/>
      </w:pPr>
      <w:r>
        <w:rPr>
          <w:rFonts w:ascii="Arial" w:hAnsi="Arial"/>
          <w:i w:val="0"/>
          <w:color w:val="1F2933"/>
          <w:sz w:val="21"/>
        </w:rPr>
        <w:t>A packaged JAR was started against an empty in memory database. The dashboard, manual scan page, and repository scan page returned HTTP 200, and GET /api/assets returned an empty array. This verifies that the application no longer depends on preloaded demonstration data.</w:t>
      </w:r>
    </w:p>
    <w:p>
      <w:pPr>
        <w:pStyle w:val="Heading2"/>
        <w:keepNext/>
        <w:spacing w:before="160" w:after="100"/>
      </w:pPr>
      <w:r>
        <w:t>Experiments still required for stronger claims</w:t>
      </w:r>
    </w:p>
    <w:p>
      <w:pPr>
        <w:pStyle w:val="ListBullet"/>
        <w:spacing w:after="60" w:line="259" w:lineRule="auto"/>
      </w:pPr>
      <w:r>
        <w:rPr>
          <w:rFonts w:ascii="Arial" w:hAnsi="Arial"/>
          <w:color w:val="1F2933"/>
          <w:sz w:val="21"/>
        </w:rPr>
        <w:t>Execute all 120 benchmark cases through the application and calculate per rule true positives, false positives, false negatives, precision, recall, and F1 score.</w:t>
      </w:r>
    </w:p>
    <w:p>
      <w:pPr>
        <w:pStyle w:val="ListBullet"/>
        <w:spacing w:after="60" w:line="259" w:lineRule="auto"/>
      </w:pPr>
      <w:r>
        <w:rPr>
          <w:rFonts w:ascii="Arial" w:hAnsi="Arial"/>
          <w:color w:val="1F2933"/>
          <w:sz w:val="21"/>
        </w:rPr>
        <w:t>Measure repository scan time and extracted file count across a larger and documented set of public repositories.</w:t>
      </w:r>
    </w:p>
    <w:p>
      <w:pPr>
        <w:pStyle w:val="ListBullet"/>
        <w:spacing w:after="60" w:line="259" w:lineRule="auto"/>
      </w:pPr>
      <w:r>
        <w:rPr>
          <w:rFonts w:ascii="Arial" w:hAnsi="Arial"/>
          <w:color w:val="1F2933"/>
          <w:sz w:val="21"/>
        </w:rPr>
        <w:t>Create paired scoring cases that change only one context variable to quantify the effect of criticality, exposure, and exploitation evidence.</w:t>
      </w:r>
    </w:p>
    <w:p>
      <w:pPr>
        <w:pStyle w:val="ListBullet"/>
        <w:spacing w:after="60" w:line="259" w:lineRule="auto"/>
      </w:pPr>
      <w:r>
        <w:rPr>
          <w:rFonts w:ascii="Arial" w:hAnsi="Arial"/>
          <w:color w:val="1F2933"/>
          <w:sz w:val="21"/>
        </w:rPr>
        <w:t>Ask independent reviewers to judge whether evidence and remediation are understandable, using a defined rubric.</w:t>
      </w:r>
    </w:p>
    <w:p>
      <w:pPr>
        <w:pStyle w:val="ListBullet"/>
        <w:spacing w:after="60" w:line="259" w:lineRule="auto"/>
      </w:pPr>
      <w:r>
        <w:rPr>
          <w:rFonts w:ascii="Arial" w:hAnsi="Arial"/>
          <w:color w:val="1F2933"/>
          <w:sz w:val="21"/>
        </w:rPr>
        <w:t>Repeat scans after controlled remediation to verify that findings close consistently.</w:t>
      </w:r>
    </w:p>
    <w:p>
      <w:pPr>
        <w:pStyle w:val="Heading2"/>
        <w:keepNext/>
        <w:spacing w:before="160" w:after="100"/>
      </w:pPr>
      <w:r>
        <w:t>Result table template for the final report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28"/>
        <w:gridCol w:w="1428"/>
        <w:gridCol w:w="1428"/>
        <w:gridCol w:w="1428"/>
        <w:gridCol w:w="1428"/>
        <w:gridCol w:w="1428"/>
        <w:gridCol w:w="1428"/>
      </w:tblGrid>
      <w:tr>
        <w:trPr>
          <w:tblHeader w:val="true"/>
        </w:trPr>
        <w:tc>
          <w:tcPr>
            <w:tcW w:type="dxa" w:w="2736"/>
            <w:shd w:fill="173B57"/>
            <w:vAlign w:val="center"/>
            <w:tcMar>
              <w:top w:w="110" w:type="dxa"/>
              <w:start w:w="110" w:type="dxa"/>
              <w:bottom w:w="110" w:type="dxa"/>
              <w:end w:w="110" w:type="dxa"/>
            </w:tcMar>
          </w:tcPr>
          <w:p>
            <w:pPr>
              <w:spacing w:after="0"/>
              <w:jc w:val="center"/>
            </w:pPr>
            <w:r>
              <w:rPr>
                <w:rFonts w:ascii="Arial" w:hAnsi="Arial"/>
                <w:b/>
                <w:color w:val="FFFFFF"/>
                <w:sz w:val="18"/>
              </w:rPr>
              <w:t>Rule</w:t>
            </w:r>
          </w:p>
        </w:tc>
        <w:tc>
          <w:tcPr>
            <w:tcW w:type="dxa" w:w="792"/>
            <w:shd w:fill="173B57"/>
            <w:vAlign w:val="center"/>
            <w:tcMar>
              <w:top w:w="110" w:type="dxa"/>
              <w:start w:w="110" w:type="dxa"/>
              <w:bottom w:w="110" w:type="dxa"/>
              <w:end w:w="110" w:type="dxa"/>
            </w:tcMar>
          </w:tcPr>
          <w:p>
            <w:pPr>
              <w:spacing w:after="0"/>
              <w:jc w:val="center"/>
            </w:pPr>
            <w:r>
              <w:rPr>
                <w:rFonts w:ascii="Arial" w:hAnsi="Arial"/>
                <w:b/>
                <w:color w:val="FFFFFF"/>
                <w:sz w:val="18"/>
              </w:rPr>
              <w:t>TP</w:t>
            </w:r>
          </w:p>
        </w:tc>
        <w:tc>
          <w:tcPr>
            <w:tcW w:type="dxa" w:w="792"/>
            <w:shd w:fill="173B57"/>
            <w:vAlign w:val="center"/>
            <w:tcMar>
              <w:top w:w="110" w:type="dxa"/>
              <w:start w:w="110" w:type="dxa"/>
              <w:bottom w:w="110" w:type="dxa"/>
              <w:end w:w="110" w:type="dxa"/>
            </w:tcMar>
          </w:tcPr>
          <w:p>
            <w:pPr>
              <w:spacing w:after="0"/>
              <w:jc w:val="center"/>
            </w:pPr>
            <w:r>
              <w:rPr>
                <w:rFonts w:ascii="Arial" w:hAnsi="Arial"/>
                <w:b/>
                <w:color w:val="FFFFFF"/>
                <w:sz w:val="18"/>
              </w:rPr>
              <w:t>FP</w:t>
            </w:r>
          </w:p>
        </w:tc>
        <w:tc>
          <w:tcPr>
            <w:tcW w:type="dxa" w:w="792"/>
            <w:shd w:fill="173B57"/>
            <w:vAlign w:val="center"/>
            <w:tcMar>
              <w:top w:w="110" w:type="dxa"/>
              <w:start w:w="110" w:type="dxa"/>
              <w:bottom w:w="110" w:type="dxa"/>
              <w:end w:w="110" w:type="dxa"/>
            </w:tcMar>
          </w:tcPr>
          <w:p>
            <w:pPr>
              <w:spacing w:after="0"/>
              <w:jc w:val="center"/>
            </w:pPr>
            <w:r>
              <w:rPr>
                <w:rFonts w:ascii="Arial" w:hAnsi="Arial"/>
                <w:b/>
                <w:color w:val="FFFFFF"/>
                <w:sz w:val="18"/>
              </w:rPr>
              <w:t>FN</w:t>
            </w:r>
          </w:p>
        </w:tc>
        <w:tc>
          <w:tcPr>
            <w:tcW w:type="dxa" w:w="1728"/>
            <w:shd w:fill="173B57"/>
            <w:vAlign w:val="center"/>
            <w:tcMar>
              <w:top w:w="110" w:type="dxa"/>
              <w:start w:w="110" w:type="dxa"/>
              <w:bottom w:w="110" w:type="dxa"/>
              <w:end w:w="110" w:type="dxa"/>
            </w:tcMar>
          </w:tcPr>
          <w:p>
            <w:pPr>
              <w:spacing w:after="0"/>
              <w:jc w:val="center"/>
            </w:pPr>
            <w:r>
              <w:rPr>
                <w:rFonts w:ascii="Arial" w:hAnsi="Arial"/>
                <w:b/>
                <w:color w:val="FFFFFF"/>
                <w:sz w:val="18"/>
              </w:rPr>
              <w:t>Precision</w:t>
            </w:r>
          </w:p>
        </w:tc>
        <w:tc>
          <w:tcPr>
            <w:tcW w:type="dxa" w:w="1728"/>
            <w:shd w:fill="173B57"/>
            <w:vAlign w:val="center"/>
            <w:tcMar>
              <w:top w:w="110" w:type="dxa"/>
              <w:start w:w="110" w:type="dxa"/>
              <w:bottom w:w="110" w:type="dxa"/>
              <w:end w:w="110" w:type="dxa"/>
            </w:tcMar>
          </w:tcPr>
          <w:p>
            <w:pPr>
              <w:spacing w:after="0"/>
              <w:jc w:val="center"/>
            </w:pPr>
            <w:r>
              <w:rPr>
                <w:rFonts w:ascii="Arial" w:hAnsi="Arial"/>
                <w:b/>
                <w:color w:val="FFFFFF"/>
                <w:sz w:val="18"/>
              </w:rPr>
              <w:t>Recall</w:t>
            </w:r>
          </w:p>
        </w:tc>
        <w:tc>
          <w:tcPr>
            <w:tcW w:type="dxa" w:w="1728"/>
            <w:shd w:fill="173B57"/>
            <w:vAlign w:val="center"/>
            <w:tcMar>
              <w:top w:w="110" w:type="dxa"/>
              <w:start w:w="110" w:type="dxa"/>
              <w:bottom w:w="110" w:type="dxa"/>
              <w:end w:w="110" w:type="dxa"/>
            </w:tcMar>
          </w:tcPr>
          <w:p>
            <w:pPr>
              <w:spacing w:after="0"/>
              <w:jc w:val="center"/>
            </w:pPr>
            <w:r>
              <w:rPr>
                <w:rFonts w:ascii="Arial" w:hAnsi="Arial"/>
                <w:b/>
                <w:color w:val="FFFFFF"/>
                <w:sz w:val="18"/>
              </w:rPr>
              <w:t>F1</w:t>
            </w:r>
          </w:p>
        </w:tc>
      </w:tr>
      <w:tr>
        <w:trPr>
          <w:cantSplit/>
        </w:trPr>
        <w:tc>
          <w:tcPr>
            <w:tcW w:type="dxa" w:w="2736"/>
            <w:vAlign w:val="center"/>
            <w:tcMar>
              <w:top w:w="100" w:type="dxa"/>
              <w:start w:w="110" w:type="dxa"/>
              <w:bottom w:w="100" w:type="dxa"/>
              <w:end w:w="110" w:type="dxa"/>
            </w:tcMar>
          </w:tcPr>
          <w:p>
            <w:pPr>
              <w:spacing w:after="0" w:line="252" w:lineRule="auto"/>
            </w:pPr>
            <w:r>
              <w:rPr>
                <w:rFonts w:ascii="Arial" w:hAnsi="Arial"/>
                <w:color w:val="1F2933"/>
                <w:sz w:val="17"/>
              </w:rPr>
              <w:t>Runtime</w:t>
            </w:r>
          </w:p>
        </w:tc>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vAlign w:val="center"/>
            <w:tcMar>
              <w:top w:w="100" w:type="dxa"/>
              <w:start w:w="110" w:type="dxa"/>
              <w:bottom w:w="100" w:type="dxa"/>
              <w:end w:w="110" w:type="dxa"/>
            </w:tcMar>
          </w:tcPr>
          <w:p>
            <w:pPr>
              <w:spacing w:after="0" w:line="252" w:lineRule="auto"/>
            </w:pPr>
            <w:r>
              <w:rPr>
                <w:rFonts w:ascii="Arial" w:hAnsi="Arial"/>
                <w:color w:val="1F2933"/>
                <w:sz w:val="17"/>
              </w:rPr>
              <w:t>TBD</w:t>
            </w:r>
          </w:p>
        </w:tc>
      </w:tr>
      <w:tr>
        <w:trPr>
          <w:cantSplit/>
        </w:trPr>
        <w:tc>
          <w:tcPr>
            <w:tcW w:type="dxa" w:w="2736"/>
            <w:shd w:fill="F4F6F7"/>
            <w:vAlign w:val="center"/>
            <w:tcMar>
              <w:top w:w="100" w:type="dxa"/>
              <w:start w:w="110" w:type="dxa"/>
              <w:bottom w:w="100" w:type="dxa"/>
              <w:end w:w="110" w:type="dxa"/>
            </w:tcMar>
          </w:tcPr>
          <w:p>
            <w:pPr>
              <w:spacing w:after="0" w:line="252" w:lineRule="auto"/>
            </w:pPr>
            <w:r>
              <w:rPr>
                <w:rFonts w:ascii="Arial" w:hAnsi="Arial"/>
                <w:color w:val="1F2933"/>
                <w:sz w:val="17"/>
              </w:rPr>
              <w:t>Network</w:t>
            </w:r>
          </w:p>
        </w:tc>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r>
      <w:tr>
        <w:trPr>
          <w:cantSplit/>
        </w:trPr>
        <w:tc>
          <w:tcPr>
            <w:tcW w:type="dxa" w:w="2736"/>
            <w:vAlign w:val="center"/>
            <w:tcMar>
              <w:top w:w="100" w:type="dxa"/>
              <w:start w:w="110" w:type="dxa"/>
              <w:bottom w:w="100" w:type="dxa"/>
              <w:end w:w="110" w:type="dxa"/>
            </w:tcMar>
          </w:tcPr>
          <w:p>
            <w:pPr>
              <w:spacing w:after="0" w:line="252" w:lineRule="auto"/>
            </w:pPr>
            <w:r>
              <w:rPr>
                <w:rFonts w:ascii="Arial" w:hAnsi="Arial"/>
                <w:color w:val="1F2933"/>
                <w:sz w:val="17"/>
              </w:rPr>
              <w:t>Container user</w:t>
            </w:r>
          </w:p>
        </w:tc>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vAlign w:val="center"/>
            <w:tcMar>
              <w:top w:w="100" w:type="dxa"/>
              <w:start w:w="110" w:type="dxa"/>
              <w:bottom w:w="100" w:type="dxa"/>
              <w:end w:w="110" w:type="dxa"/>
            </w:tcMar>
          </w:tcPr>
          <w:p>
            <w:pPr>
              <w:spacing w:after="0" w:line="252" w:lineRule="auto"/>
            </w:pPr>
            <w:r>
              <w:rPr>
                <w:rFonts w:ascii="Arial" w:hAnsi="Arial"/>
                <w:color w:val="1F2933"/>
                <w:sz w:val="17"/>
              </w:rPr>
              <w:t>TBD</w:t>
            </w:r>
          </w:p>
        </w:tc>
      </w:tr>
      <w:tr>
        <w:trPr>
          <w:cantSplit/>
        </w:trPr>
        <w:tc>
          <w:tcPr>
            <w:tcW w:type="dxa" w:w="2736"/>
            <w:shd w:fill="F4F6F7"/>
            <w:vAlign w:val="center"/>
            <w:tcMar>
              <w:top w:w="100" w:type="dxa"/>
              <w:start w:w="110" w:type="dxa"/>
              <w:bottom w:w="100" w:type="dxa"/>
              <w:end w:w="110" w:type="dxa"/>
            </w:tcMar>
          </w:tcPr>
          <w:p>
            <w:pPr>
              <w:spacing w:after="0" w:line="252" w:lineRule="auto"/>
            </w:pPr>
            <w:r>
              <w:rPr>
                <w:rFonts w:ascii="Arial" w:hAnsi="Arial"/>
                <w:color w:val="1F2933"/>
                <w:sz w:val="17"/>
              </w:rPr>
              <w:t>Docker socket</w:t>
            </w:r>
          </w:p>
        </w:tc>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r>
      <w:tr>
        <w:trPr>
          <w:cantSplit/>
        </w:trPr>
        <w:tc>
          <w:tcPr>
            <w:tcW w:type="dxa" w:w="2736"/>
            <w:vAlign w:val="center"/>
            <w:tcMar>
              <w:top w:w="100" w:type="dxa"/>
              <w:start w:w="110" w:type="dxa"/>
              <w:bottom w:w="100" w:type="dxa"/>
              <w:end w:w="110" w:type="dxa"/>
            </w:tcMar>
          </w:tcPr>
          <w:p>
            <w:pPr>
              <w:spacing w:after="0" w:line="252" w:lineRule="auto"/>
            </w:pPr>
            <w:r>
              <w:rPr>
                <w:rFonts w:ascii="Arial" w:hAnsi="Arial"/>
                <w:color w:val="1F2933"/>
                <w:sz w:val="17"/>
              </w:rPr>
              <w:t>Image digest</w:t>
            </w:r>
          </w:p>
        </w:tc>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vAlign w:val="center"/>
            <w:tcMar>
              <w:top w:w="100" w:type="dxa"/>
              <w:start w:w="110" w:type="dxa"/>
              <w:bottom w:w="100" w:type="dxa"/>
              <w:end w:w="110" w:type="dxa"/>
            </w:tcMar>
          </w:tcPr>
          <w:p>
            <w:pPr>
              <w:spacing w:after="0" w:line="252" w:lineRule="auto"/>
            </w:pPr>
            <w:r>
              <w:rPr>
                <w:rFonts w:ascii="Arial" w:hAnsi="Arial"/>
                <w:color w:val="1F2933"/>
                <w:sz w:val="17"/>
              </w:rPr>
              <w:t>TBD</w:t>
            </w:r>
          </w:p>
        </w:tc>
      </w:tr>
      <w:tr>
        <w:trPr>
          <w:cantSplit/>
        </w:trPr>
        <w:tc>
          <w:tcPr>
            <w:tcW w:type="dxa" w:w="2736"/>
            <w:shd w:fill="F4F6F7"/>
            <w:vAlign w:val="center"/>
            <w:tcMar>
              <w:top w:w="100" w:type="dxa"/>
              <w:start w:w="110" w:type="dxa"/>
              <w:bottom w:w="100" w:type="dxa"/>
              <w:end w:w="110" w:type="dxa"/>
            </w:tcMar>
          </w:tcPr>
          <w:p>
            <w:pPr>
              <w:spacing w:after="0" w:line="252" w:lineRule="auto"/>
            </w:pPr>
            <w:r>
              <w:rPr>
                <w:rFonts w:ascii="Arial" w:hAnsi="Arial"/>
                <w:color w:val="1F2933"/>
                <w:sz w:val="17"/>
              </w:rPr>
              <w:t>Dependency</w:t>
            </w:r>
          </w:p>
        </w:tc>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792"/>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c>
          <w:tcPr>
            <w:tcW w:type="dxa" w:w="1728"/>
            <w:shd w:fill="F4F6F7"/>
            <w:vAlign w:val="center"/>
            <w:tcMar>
              <w:top w:w="100" w:type="dxa"/>
              <w:start w:w="110" w:type="dxa"/>
              <w:bottom w:w="100" w:type="dxa"/>
              <w:end w:w="110" w:type="dxa"/>
            </w:tcMar>
          </w:tcPr>
          <w:p>
            <w:pPr>
              <w:spacing w:after="0" w:line="252" w:lineRule="auto"/>
            </w:pPr>
            <w:r>
              <w:rPr>
                <w:rFonts w:ascii="Arial" w:hAnsi="Arial"/>
                <w:color w:val="1F2933"/>
                <w:sz w:val="17"/>
              </w:rPr>
              <w:t>TBD</w:t>
            </w:r>
          </w:p>
        </w:tc>
      </w:tr>
    </w:tbl>
    <w:p>
      <w:pPr>
        <w:spacing w:after="40"/>
      </w:pPr>
    </w:p>
    <w:p>
      <w:r>
        <w:br w:type="page"/>
      </w:r>
    </w:p>
    <w:p>
      <w:pPr>
        <w:pStyle w:val="Heading1"/>
        <w:keepNext/>
        <w:spacing w:before="240" w:after="100"/>
      </w:pPr>
      <w:r>
        <w:t>Conclusions content guide</w:t>
      </w:r>
    </w:p>
    <w:p>
      <w:pPr>
        <w:spacing w:after="120" w:line="269" w:lineRule="auto"/>
      </w:pPr>
      <w:r>
        <w:rPr>
          <w:rFonts w:ascii="Arial" w:hAnsi="Arial"/>
          <w:i w:val="0"/>
          <w:color w:val="1F2933"/>
          <w:sz w:val="21"/>
        </w:rPr>
        <w:t>The conclusion should directly answer the project objective. State that the prototype demonstrates an end to end path from a registered baseline and user supplied evidence to explainable persisted findings. Refer to the passing tests, controlled benchmark coverage, and completed public repository scans as evidence of functional feasibility.</w:t>
      </w:r>
    </w:p>
    <w:p>
      <w:pPr>
        <w:spacing w:after="120" w:line="269" w:lineRule="auto"/>
      </w:pPr>
      <w:r>
        <w:rPr>
          <w:rFonts w:ascii="Arial" w:hAnsi="Arial"/>
          <w:i w:val="0"/>
          <w:color w:val="1F2933"/>
          <w:sz w:val="21"/>
        </w:rPr>
        <w:t>Then state the limits: repository parsing covers selected Java and container files; repository evidence is not equivalent to live runtime observation; the dataset labels are specification derived; the current evaluation does not establish real world precision or recall; and the prototype lacks authentication, autonomous collectors, vulnerability intelligence, SBOM analysis, Kubernetes support, and production persistence.</w:t>
      </w:r>
    </w:p>
    <w:p>
      <w:pPr>
        <w:spacing w:after="120" w:line="269" w:lineRule="auto"/>
      </w:pPr>
      <w:r>
        <w:rPr>
          <w:rFonts w:ascii="Arial" w:hAnsi="Arial"/>
          <w:i w:val="0"/>
          <w:color w:val="1F2933"/>
          <w:sz w:val="21"/>
        </w:rPr>
        <w:t>End with specific future work: execute the benchmark end to end, broaden the repository corpus, add read only authenticated runtime collectors, integrate SBOM and vulnerability sources, measure overhead and accuracy, migrate to PostgreSQL, and add access control. Avoid generic claims that the platform will transform cybersecurity.</w:t>
      </w:r>
    </w:p>
    <w:p>
      <w:pPr>
        <w:pStyle w:val="Heading1"/>
        <w:keepNext/>
        <w:spacing w:before="240" w:after="100"/>
      </w:pPr>
      <w:r>
        <w:t>Claims and wording boundaries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384"/>
            <w:shd w:fill="173B57"/>
            <w:vAlign w:val="center"/>
            <w:tcMar>
              <w:top w:w="110" w:type="dxa"/>
              <w:start w:w="110" w:type="dxa"/>
              <w:bottom w:w="110" w:type="dxa"/>
              <w:end w:w="110" w:type="dxa"/>
            </w:tcMar>
          </w:tcPr>
          <w:p>
            <w:pPr>
              <w:spacing w:after="0"/>
              <w:jc w:val="center"/>
            </w:pPr>
            <w:r>
              <w:rPr>
                <w:rFonts w:ascii="Arial" w:hAnsi="Arial"/>
                <w:b/>
                <w:color w:val="FFFFFF"/>
                <w:sz w:val="18"/>
              </w:rPr>
              <w:t>Use this wording</w:t>
            </w:r>
          </w:p>
        </w:tc>
        <w:tc>
          <w:tcPr>
            <w:tcW w:type="dxa" w:w="3384"/>
            <w:shd w:fill="173B57"/>
            <w:vAlign w:val="center"/>
            <w:tcMar>
              <w:top w:w="110" w:type="dxa"/>
              <w:start w:w="110" w:type="dxa"/>
              <w:bottom w:w="110" w:type="dxa"/>
              <w:end w:w="110" w:type="dxa"/>
            </w:tcMar>
          </w:tcPr>
          <w:p>
            <w:pPr>
              <w:spacing w:after="0"/>
              <w:jc w:val="center"/>
            </w:pPr>
            <w:r>
              <w:rPr>
                <w:rFonts w:ascii="Arial" w:hAnsi="Arial"/>
                <w:b/>
                <w:color w:val="FFFFFF"/>
                <w:sz w:val="18"/>
              </w:rPr>
              <w:t>Avoid this wording</w:t>
            </w:r>
          </w:p>
        </w:tc>
        <w:tc>
          <w:tcPr>
            <w:tcW w:type="dxa" w:w="3672"/>
            <w:shd w:fill="173B57"/>
            <w:vAlign w:val="center"/>
            <w:tcMar>
              <w:top w:w="110" w:type="dxa"/>
              <w:start w:w="110" w:type="dxa"/>
              <w:bottom w:w="110" w:type="dxa"/>
              <w:end w:w="110" w:type="dxa"/>
            </w:tcMar>
          </w:tcPr>
          <w:p>
            <w:pPr>
              <w:spacing w:after="0"/>
              <w:jc w:val="center"/>
            </w:pPr>
            <w:r>
              <w:rPr>
                <w:rFonts w:ascii="Arial" w:hAnsi="Arial"/>
                <w:b/>
                <w:color w:val="FFFFFF"/>
                <w:sz w:val="18"/>
              </w:rPr>
              <w:t>Reason</w:t>
            </w:r>
          </w:p>
        </w:tc>
      </w:tr>
      <w:tr>
        <w:trPr>
          <w:cantSplit/>
        </w:trPr>
        <w:tc>
          <w:tcPr>
            <w:tcW w:type="dxa" w:w="3384"/>
            <w:vAlign w:val="center"/>
            <w:tcMar>
              <w:top w:w="100" w:type="dxa"/>
              <w:start w:w="110" w:type="dxa"/>
              <w:bottom w:w="100" w:type="dxa"/>
              <w:end w:w="110" w:type="dxa"/>
            </w:tcMar>
          </w:tcPr>
          <w:p>
            <w:pPr>
              <w:spacing w:after="0" w:line="252" w:lineRule="auto"/>
            </w:pPr>
            <w:r>
              <w:rPr>
                <w:rFonts w:ascii="Arial" w:hAnsi="Arial"/>
                <w:color w:val="1F2933"/>
                <w:sz w:val="17"/>
              </w:rPr>
              <w:t>Deterministic security drift detection</w:t>
            </w:r>
          </w:p>
        </w:tc>
        <w:tc>
          <w:tcPr>
            <w:tcW w:type="dxa" w:w="3384"/>
            <w:vAlign w:val="center"/>
            <w:tcMar>
              <w:top w:w="100" w:type="dxa"/>
              <w:start w:w="110" w:type="dxa"/>
              <w:bottom w:w="100" w:type="dxa"/>
              <w:end w:w="110" w:type="dxa"/>
            </w:tcMar>
          </w:tcPr>
          <w:p>
            <w:pPr>
              <w:spacing w:after="0" w:line="252" w:lineRule="auto"/>
            </w:pPr>
            <w:r>
              <w:rPr>
                <w:rFonts w:ascii="Arial" w:hAnsi="Arial"/>
                <w:color w:val="1F2933"/>
                <w:sz w:val="17"/>
              </w:rPr>
              <w:t>AI powered security platform</w:t>
            </w:r>
          </w:p>
        </w:tc>
        <w:tc>
          <w:tcPr>
            <w:tcW w:type="dxa" w:w="3672"/>
            <w:vAlign w:val="center"/>
            <w:tcMar>
              <w:top w:w="100" w:type="dxa"/>
              <w:start w:w="110" w:type="dxa"/>
              <w:bottom w:w="100" w:type="dxa"/>
              <w:end w:w="110" w:type="dxa"/>
            </w:tcMar>
          </w:tcPr>
          <w:p>
            <w:pPr>
              <w:spacing w:after="0" w:line="252" w:lineRule="auto"/>
            </w:pPr>
            <w:r>
              <w:rPr>
                <w:rFonts w:ascii="Arial" w:hAnsi="Arial"/>
                <w:color w:val="1F2933"/>
                <w:sz w:val="17"/>
              </w:rPr>
              <w:t>The implementation does not use AI or machine learning.</w:t>
            </w:r>
          </w:p>
        </w:tc>
      </w:tr>
      <w:tr>
        <w:trPr>
          <w:cantSplit/>
        </w:trPr>
        <w:tc>
          <w:tcPr>
            <w:tcW w:type="dxa" w:w="3384"/>
            <w:shd w:fill="F4F6F7"/>
            <w:vAlign w:val="center"/>
            <w:tcMar>
              <w:top w:w="100" w:type="dxa"/>
              <w:start w:w="110" w:type="dxa"/>
              <w:bottom w:w="100" w:type="dxa"/>
              <w:end w:w="110" w:type="dxa"/>
            </w:tcMar>
          </w:tcPr>
          <w:p>
            <w:pPr>
              <w:spacing w:after="0" w:line="252" w:lineRule="auto"/>
            </w:pPr>
            <w:r>
              <w:rPr>
                <w:rFonts w:ascii="Arial" w:hAnsi="Arial"/>
                <w:color w:val="1F2933"/>
                <w:sz w:val="17"/>
              </w:rPr>
              <w:t>Repository configuration evidence</w:t>
            </w:r>
          </w:p>
        </w:tc>
        <w:tc>
          <w:tcPr>
            <w:tcW w:type="dxa" w:w="3384"/>
            <w:shd w:fill="F4F6F7"/>
            <w:vAlign w:val="center"/>
            <w:tcMar>
              <w:top w:w="100" w:type="dxa"/>
              <w:start w:w="110" w:type="dxa"/>
              <w:bottom w:w="100" w:type="dxa"/>
              <w:end w:w="110" w:type="dxa"/>
            </w:tcMar>
          </w:tcPr>
          <w:p>
            <w:pPr>
              <w:spacing w:after="0" w:line="252" w:lineRule="auto"/>
            </w:pPr>
            <w:r>
              <w:rPr>
                <w:rFonts w:ascii="Arial" w:hAnsi="Arial"/>
                <w:color w:val="1F2933"/>
                <w:sz w:val="17"/>
              </w:rPr>
              <w:t>Live runtime state discovered from Git</w:t>
            </w:r>
          </w:p>
        </w:tc>
        <w:tc>
          <w:tcPr>
            <w:tcW w:type="dxa" w:w="3672"/>
            <w:shd w:fill="F4F6F7"/>
            <w:vAlign w:val="center"/>
            <w:tcMar>
              <w:top w:w="100" w:type="dxa"/>
              <w:start w:w="110" w:type="dxa"/>
              <w:bottom w:w="100" w:type="dxa"/>
              <w:end w:w="110" w:type="dxa"/>
            </w:tcMar>
          </w:tcPr>
          <w:p>
            <w:pPr>
              <w:spacing w:after="0" w:line="252" w:lineRule="auto"/>
            </w:pPr>
            <w:r>
              <w:rPr>
                <w:rFonts w:ascii="Arial" w:hAnsi="Arial"/>
                <w:color w:val="1F2933"/>
                <w:sz w:val="17"/>
              </w:rPr>
              <w:t>A repository scan observes declared configuration, not a running host.</w:t>
            </w:r>
          </w:p>
        </w:tc>
      </w:tr>
      <w:tr>
        <w:trPr>
          <w:cantSplit/>
        </w:trPr>
        <w:tc>
          <w:tcPr>
            <w:tcW w:type="dxa" w:w="3384"/>
            <w:vAlign w:val="center"/>
            <w:tcMar>
              <w:top w:w="100" w:type="dxa"/>
              <w:start w:w="110" w:type="dxa"/>
              <w:bottom w:w="100" w:type="dxa"/>
              <w:end w:w="110" w:type="dxa"/>
            </w:tcMar>
          </w:tcPr>
          <w:p>
            <w:pPr>
              <w:spacing w:after="0" w:line="252" w:lineRule="auto"/>
            </w:pPr>
            <w:r>
              <w:rPr>
                <w:rFonts w:ascii="Arial" w:hAnsi="Arial"/>
                <w:color w:val="1F2933"/>
                <w:sz w:val="17"/>
              </w:rPr>
              <w:t>Public HTTPS repositories and local paths</w:t>
            </w:r>
          </w:p>
        </w:tc>
        <w:tc>
          <w:tcPr>
            <w:tcW w:type="dxa" w:w="3384"/>
            <w:vAlign w:val="center"/>
            <w:tcMar>
              <w:top w:w="100" w:type="dxa"/>
              <w:start w:w="110" w:type="dxa"/>
              <w:bottom w:w="100" w:type="dxa"/>
              <w:end w:w="110" w:type="dxa"/>
            </w:tcMar>
          </w:tcPr>
          <w:p>
            <w:pPr>
              <w:spacing w:after="0" w:line="252" w:lineRule="auto"/>
            </w:pPr>
            <w:r>
              <w:rPr>
                <w:rFonts w:ascii="Arial" w:hAnsi="Arial"/>
                <w:color w:val="1F2933"/>
                <w:sz w:val="17"/>
              </w:rPr>
              <w:t>Any Git repository</w:t>
            </w:r>
          </w:p>
        </w:tc>
        <w:tc>
          <w:tcPr>
            <w:tcW w:type="dxa" w:w="3672"/>
            <w:vAlign w:val="center"/>
            <w:tcMar>
              <w:top w:w="100" w:type="dxa"/>
              <w:start w:w="110" w:type="dxa"/>
              <w:bottom w:w="100" w:type="dxa"/>
              <w:end w:w="110" w:type="dxa"/>
            </w:tcMar>
          </w:tcPr>
          <w:p>
            <w:pPr>
              <w:spacing w:after="0" w:line="252" w:lineRule="auto"/>
            </w:pPr>
            <w:r>
              <w:rPr>
                <w:rFonts w:ascii="Arial" w:hAnsi="Arial"/>
                <w:color w:val="1F2933"/>
                <w:sz w:val="17"/>
              </w:rPr>
              <w:t>Private authenticated repositories are not currently supported.</w:t>
            </w:r>
          </w:p>
        </w:tc>
      </w:tr>
      <w:tr>
        <w:trPr>
          <w:cantSplit/>
        </w:trPr>
        <w:tc>
          <w:tcPr>
            <w:tcW w:type="dxa" w:w="3384"/>
            <w:shd w:fill="F4F6F7"/>
            <w:vAlign w:val="center"/>
            <w:tcMar>
              <w:top w:w="100" w:type="dxa"/>
              <w:start w:w="110" w:type="dxa"/>
              <w:bottom w:w="100" w:type="dxa"/>
              <w:end w:w="110" w:type="dxa"/>
            </w:tcMar>
          </w:tcPr>
          <w:p>
            <w:pPr>
              <w:spacing w:after="0" w:line="252" w:lineRule="auto"/>
            </w:pPr>
            <w:r>
              <w:rPr>
                <w:rFonts w:ascii="Arial" w:hAnsi="Arial"/>
                <w:color w:val="1F2933"/>
                <w:sz w:val="17"/>
              </w:rPr>
              <w:t>Six implemented rules</w:t>
            </w:r>
          </w:p>
        </w:tc>
        <w:tc>
          <w:tcPr>
            <w:tcW w:type="dxa" w:w="3384"/>
            <w:shd w:fill="F4F6F7"/>
            <w:vAlign w:val="center"/>
            <w:tcMar>
              <w:top w:w="100" w:type="dxa"/>
              <w:start w:w="110" w:type="dxa"/>
              <w:bottom w:w="100" w:type="dxa"/>
              <w:end w:w="110" w:type="dxa"/>
            </w:tcMar>
          </w:tcPr>
          <w:p>
            <w:pPr>
              <w:spacing w:after="0" w:line="252" w:lineRule="auto"/>
            </w:pPr>
            <w:r>
              <w:rPr>
                <w:rFonts w:ascii="Arial" w:hAnsi="Arial"/>
                <w:color w:val="1F2933"/>
                <w:sz w:val="17"/>
              </w:rPr>
              <w:t>Complete container security coverage</w:t>
            </w:r>
          </w:p>
        </w:tc>
        <w:tc>
          <w:tcPr>
            <w:tcW w:type="dxa" w:w="3672"/>
            <w:shd w:fill="F4F6F7"/>
            <w:vAlign w:val="center"/>
            <w:tcMar>
              <w:top w:w="100" w:type="dxa"/>
              <w:start w:w="110" w:type="dxa"/>
              <w:bottom w:w="100" w:type="dxa"/>
              <w:end w:w="110" w:type="dxa"/>
            </w:tcMar>
          </w:tcPr>
          <w:p>
            <w:pPr>
              <w:spacing w:after="0" w:line="252" w:lineRule="auto"/>
            </w:pPr>
            <w:r>
              <w:rPr>
                <w:rFonts w:ascii="Arial" w:hAnsi="Arial"/>
                <w:color w:val="1F2933"/>
                <w:sz w:val="17"/>
              </w:rPr>
              <w:t>The parser and rules cover a defined subset.</w:t>
            </w:r>
          </w:p>
        </w:tc>
      </w:tr>
      <w:tr>
        <w:trPr>
          <w:cantSplit/>
        </w:trPr>
        <w:tc>
          <w:tcPr>
            <w:tcW w:type="dxa" w:w="3384"/>
            <w:vAlign w:val="center"/>
            <w:tcMar>
              <w:top w:w="100" w:type="dxa"/>
              <w:start w:w="110" w:type="dxa"/>
              <w:bottom w:w="100" w:type="dxa"/>
              <w:end w:w="110" w:type="dxa"/>
            </w:tcMar>
          </w:tcPr>
          <w:p>
            <w:pPr>
              <w:spacing w:after="0" w:line="252" w:lineRule="auto"/>
            </w:pPr>
            <w:r>
              <w:rPr>
                <w:rFonts w:ascii="Arial" w:hAnsi="Arial"/>
                <w:color w:val="1F2933"/>
                <w:sz w:val="17"/>
              </w:rPr>
              <w:t>Context adjusted rule score</w:t>
            </w:r>
          </w:p>
        </w:tc>
        <w:tc>
          <w:tcPr>
            <w:tcW w:type="dxa" w:w="3384"/>
            <w:vAlign w:val="center"/>
            <w:tcMar>
              <w:top w:w="100" w:type="dxa"/>
              <w:start w:w="110" w:type="dxa"/>
              <w:bottom w:w="100" w:type="dxa"/>
              <w:end w:w="110" w:type="dxa"/>
            </w:tcMar>
          </w:tcPr>
          <w:p>
            <w:pPr>
              <w:spacing w:after="0" w:line="252" w:lineRule="auto"/>
            </w:pPr>
            <w:r>
              <w:rPr>
                <w:rFonts w:ascii="Arial" w:hAnsi="Arial"/>
                <w:color w:val="1F2933"/>
                <w:sz w:val="17"/>
              </w:rPr>
              <w:t>Exploit probability</w:t>
            </w:r>
          </w:p>
        </w:tc>
        <w:tc>
          <w:tcPr>
            <w:tcW w:type="dxa" w:w="3672"/>
            <w:vAlign w:val="center"/>
            <w:tcMar>
              <w:top w:w="100" w:type="dxa"/>
              <w:start w:w="110" w:type="dxa"/>
              <w:bottom w:w="100" w:type="dxa"/>
              <w:end w:w="110" w:type="dxa"/>
            </w:tcMar>
          </w:tcPr>
          <w:p>
            <w:pPr>
              <w:spacing w:after="0" w:line="252" w:lineRule="auto"/>
            </w:pPr>
            <w:r>
              <w:rPr>
                <w:rFonts w:ascii="Arial" w:hAnsi="Arial"/>
                <w:color w:val="1F2933"/>
                <w:sz w:val="17"/>
              </w:rPr>
              <w:t>The score is a transparent priority model, not a calibrated probability.</w:t>
            </w:r>
          </w:p>
        </w:tc>
      </w:tr>
      <w:tr>
        <w:trPr>
          <w:cantSplit/>
        </w:trPr>
        <w:tc>
          <w:tcPr>
            <w:tcW w:type="dxa" w:w="3384"/>
            <w:shd w:fill="F4F6F7"/>
            <w:vAlign w:val="center"/>
            <w:tcMar>
              <w:top w:w="100" w:type="dxa"/>
              <w:start w:w="110" w:type="dxa"/>
              <w:bottom w:w="100" w:type="dxa"/>
              <w:end w:w="110" w:type="dxa"/>
            </w:tcMar>
          </w:tcPr>
          <w:p>
            <w:pPr>
              <w:spacing w:after="0" w:line="252" w:lineRule="auto"/>
            </w:pPr>
            <w:r>
              <w:rPr>
                <w:rFonts w:ascii="Arial" w:hAnsi="Arial"/>
                <w:color w:val="1F2933"/>
                <w:sz w:val="17"/>
              </w:rPr>
              <w:t>120 labeled benchmark cases</w:t>
            </w:r>
          </w:p>
        </w:tc>
        <w:tc>
          <w:tcPr>
            <w:tcW w:type="dxa" w:w="3384"/>
            <w:shd w:fill="F4F6F7"/>
            <w:vAlign w:val="center"/>
            <w:tcMar>
              <w:top w:w="100" w:type="dxa"/>
              <w:start w:w="110" w:type="dxa"/>
              <w:bottom w:w="100" w:type="dxa"/>
              <w:end w:w="110" w:type="dxa"/>
            </w:tcMar>
          </w:tcPr>
          <w:p>
            <w:pPr>
              <w:spacing w:after="0" w:line="252" w:lineRule="auto"/>
            </w:pPr>
            <w:r>
              <w:rPr>
                <w:rFonts w:ascii="Arial" w:hAnsi="Arial"/>
                <w:color w:val="1F2933"/>
                <w:sz w:val="17"/>
              </w:rPr>
              <w:t>120 real attacks</w:t>
            </w:r>
          </w:p>
        </w:tc>
        <w:tc>
          <w:tcPr>
            <w:tcW w:type="dxa" w:w="3672"/>
            <w:shd w:fill="F4F6F7"/>
            <w:vAlign w:val="center"/>
            <w:tcMar>
              <w:top w:w="100" w:type="dxa"/>
              <w:start w:w="110" w:type="dxa"/>
              <w:bottom w:w="100" w:type="dxa"/>
              <w:end w:w="110" w:type="dxa"/>
            </w:tcMar>
          </w:tcPr>
          <w:p>
            <w:pPr>
              <w:spacing w:after="0" w:line="252" w:lineRule="auto"/>
            </w:pPr>
            <w:r>
              <w:rPr>
                <w:rFonts w:ascii="Arial" w:hAnsi="Arial"/>
                <w:color w:val="1F2933"/>
                <w:sz w:val="17"/>
              </w:rPr>
              <w:t>The benchmark is synthetic and deterministic.</w:t>
            </w:r>
          </w:p>
        </w:tc>
      </w:tr>
      <w:tr>
        <w:trPr>
          <w:cantSplit/>
        </w:trPr>
        <w:tc>
          <w:tcPr>
            <w:tcW w:type="dxa" w:w="3384"/>
            <w:vAlign w:val="center"/>
            <w:tcMar>
              <w:top w:w="100" w:type="dxa"/>
              <w:start w:w="110" w:type="dxa"/>
              <w:bottom w:w="100" w:type="dxa"/>
              <w:end w:w="110" w:type="dxa"/>
            </w:tcMar>
          </w:tcPr>
          <w:p>
            <w:pPr>
              <w:spacing w:after="0" w:line="252" w:lineRule="auto"/>
            </w:pPr>
            <w:r>
              <w:rPr>
                <w:rFonts w:ascii="Arial" w:hAnsi="Arial"/>
                <w:color w:val="1F2933"/>
                <w:sz w:val="17"/>
              </w:rPr>
              <w:t>Recorded differences from a selected baseline</w:t>
            </w:r>
          </w:p>
        </w:tc>
        <w:tc>
          <w:tcPr>
            <w:tcW w:type="dxa" w:w="3384"/>
            <w:vAlign w:val="center"/>
            <w:tcMar>
              <w:top w:w="100" w:type="dxa"/>
              <w:start w:w="110" w:type="dxa"/>
              <w:bottom w:w="100" w:type="dxa"/>
              <w:end w:w="110" w:type="dxa"/>
            </w:tcMar>
          </w:tcPr>
          <w:p>
            <w:pPr>
              <w:spacing w:after="0" w:line="252" w:lineRule="auto"/>
            </w:pPr>
            <w:r>
              <w:rPr>
                <w:rFonts w:ascii="Arial" w:hAnsi="Arial"/>
                <w:color w:val="1F2933"/>
                <w:sz w:val="17"/>
              </w:rPr>
              <w:t>Confirmed vulnerabilities in the scanned repositories</w:t>
            </w:r>
          </w:p>
        </w:tc>
        <w:tc>
          <w:tcPr>
            <w:tcW w:type="dxa" w:w="3672"/>
            <w:vAlign w:val="center"/>
            <w:tcMar>
              <w:top w:w="100" w:type="dxa"/>
              <w:start w:w="110" w:type="dxa"/>
              <w:bottom w:w="100" w:type="dxa"/>
              <w:end w:w="110" w:type="dxa"/>
            </w:tcMar>
          </w:tcPr>
          <w:p>
            <w:pPr>
              <w:spacing w:after="0" w:line="252" w:lineRule="auto"/>
            </w:pPr>
            <w:r>
              <w:rPr>
                <w:rFonts w:ascii="Arial" w:hAnsi="Arial"/>
                <w:color w:val="1F2933"/>
                <w:sz w:val="17"/>
              </w:rPr>
              <w:t>A drift finding is not proof of exploitability.</w:t>
            </w:r>
          </w:p>
        </w:tc>
      </w:tr>
      <w:tr>
        <w:trPr>
          <w:cantSplit/>
        </w:trPr>
        <w:tc>
          <w:tcPr>
            <w:tcW w:type="dxa" w:w="3384"/>
            <w:shd w:fill="F4F6F7"/>
            <w:vAlign w:val="center"/>
            <w:tcMar>
              <w:top w:w="100" w:type="dxa"/>
              <w:start w:w="110" w:type="dxa"/>
              <w:bottom w:w="100" w:type="dxa"/>
              <w:end w:w="110" w:type="dxa"/>
            </w:tcMar>
          </w:tcPr>
          <w:p>
            <w:pPr>
              <w:spacing w:after="0" w:line="252" w:lineRule="auto"/>
            </w:pPr>
            <w:r>
              <w:rPr>
                <w:rFonts w:ascii="Arial" w:hAnsi="Arial"/>
                <w:color w:val="1F2933"/>
                <w:sz w:val="17"/>
              </w:rPr>
              <w:t>Prototype with publication potential</w:t>
            </w:r>
          </w:p>
        </w:tc>
        <w:tc>
          <w:tcPr>
            <w:tcW w:type="dxa" w:w="3384"/>
            <w:shd w:fill="F4F6F7"/>
            <w:vAlign w:val="center"/>
            <w:tcMar>
              <w:top w:w="100" w:type="dxa"/>
              <w:start w:w="110" w:type="dxa"/>
              <w:bottom w:w="100" w:type="dxa"/>
              <w:end w:w="110" w:type="dxa"/>
            </w:tcMar>
          </w:tcPr>
          <w:p>
            <w:pPr>
              <w:spacing w:after="0" w:line="252" w:lineRule="auto"/>
            </w:pPr>
            <w:r>
              <w:rPr>
                <w:rFonts w:ascii="Arial" w:hAnsi="Arial"/>
                <w:color w:val="1F2933"/>
                <w:sz w:val="17"/>
              </w:rPr>
              <w:t>Novel patented system</w:t>
            </w:r>
          </w:p>
        </w:tc>
        <w:tc>
          <w:tcPr>
            <w:tcW w:type="dxa" w:w="3672"/>
            <w:shd w:fill="F4F6F7"/>
            <w:vAlign w:val="center"/>
            <w:tcMar>
              <w:top w:w="100" w:type="dxa"/>
              <w:start w:w="110" w:type="dxa"/>
              <w:bottom w:w="100" w:type="dxa"/>
              <w:end w:w="110" w:type="dxa"/>
            </w:tcMar>
          </w:tcPr>
          <w:p>
            <w:pPr>
              <w:spacing w:after="0" w:line="252" w:lineRule="auto"/>
            </w:pPr>
            <w:r>
              <w:rPr>
                <w:rFonts w:ascii="Arial" w:hAnsi="Arial"/>
                <w:color w:val="1F2933"/>
                <w:sz w:val="17"/>
              </w:rPr>
              <w:t>Novelty and patentability require prior art review and stronger evaluation.</w:t>
            </w:r>
          </w:p>
        </w:tc>
      </w:tr>
    </w:tbl>
    <w:p>
      <w:pPr>
        <w:spacing w:after="40"/>
      </w:pPr>
    </w:p>
    <w:p>
      <w:r>
        <w:br w:type="page"/>
      </w:r>
    </w:p>
    <w:p>
      <w:pPr>
        <w:pStyle w:val="Heading1"/>
        <w:keepNext/>
        <w:spacing w:before="240" w:after="100"/>
      </w:pPr>
      <w:r>
        <w:t>Files to attach with the master prompt</w:t>
      </w:r>
    </w:p>
    <w:p>
      <w:pPr>
        <w:pStyle w:val="ListBullet"/>
        <w:spacing w:after="60" w:line="259" w:lineRule="auto"/>
      </w:pPr>
      <w:r>
        <w:rPr>
          <w:rFonts w:ascii="Arial" w:hAnsi="Arial"/>
          <w:color w:val="1F2933"/>
          <w:sz w:val="21"/>
        </w:rPr>
        <w:t>README.md for the implemented scope, operation, API, rules, and configuration.</w:t>
      </w:r>
    </w:p>
    <w:p>
      <w:pPr>
        <w:pStyle w:val="ListBullet"/>
        <w:spacing w:after="60" w:line="259" w:lineRule="auto"/>
      </w:pPr>
      <w:r>
        <w:rPr>
          <w:rFonts w:ascii="Arial" w:hAnsi="Arial"/>
          <w:color w:val="1F2933"/>
          <w:sz w:val="21"/>
        </w:rPr>
        <w:t>CodeShield Literature Review 10 Papers.xlsx for the verified research table and links.</w:t>
      </w:r>
    </w:p>
    <w:p>
      <w:pPr>
        <w:pStyle w:val="ListBullet"/>
        <w:spacing w:after="60" w:line="259" w:lineRule="auto"/>
      </w:pPr>
      <w:r>
        <w:rPr>
          <w:rFonts w:ascii="Arial" w:hAnsi="Arial"/>
          <w:color w:val="1F2933"/>
          <w:sz w:val="21"/>
        </w:rPr>
        <w:t>CodeShield Security Drift Benchmark Dataset.xlsx for benchmark cases, labels, scoring, rule catalog, and methodology.</w:t>
      </w:r>
    </w:p>
    <w:p>
      <w:pPr>
        <w:pStyle w:val="ListBullet"/>
        <w:spacing w:after="60" w:line="259" w:lineRule="auto"/>
      </w:pPr>
      <w:r>
        <w:rPr>
          <w:rFonts w:ascii="Arial" w:hAnsi="Arial"/>
          <w:color w:val="1F2933"/>
          <w:sz w:val="21"/>
        </w:rPr>
        <w:t>CodeShield Short Project Report.docx only as supporting background. Correct any future architecture statements using this prompt pack.</w:t>
      </w:r>
    </w:p>
    <w:p>
      <w:pPr>
        <w:pStyle w:val="ListBullet"/>
        <w:spacing w:after="60" w:line="259" w:lineRule="auto"/>
      </w:pPr>
      <w:r>
        <w:rPr>
          <w:rFonts w:ascii="Arial" w:hAnsi="Arial"/>
          <w:color w:val="1F2933"/>
          <w:sz w:val="21"/>
        </w:rPr>
        <w:t>Source files under src/main/java and src/main/resources when the writing tool can inspect code.</w:t>
      </w:r>
    </w:p>
    <w:p>
      <w:pPr>
        <w:pStyle w:val="ListBullet"/>
        <w:spacing w:after="60" w:line="259" w:lineRule="auto"/>
      </w:pPr>
      <w:r>
        <w:rPr>
          <w:rFonts w:ascii="Arial" w:hAnsi="Arial"/>
          <w:color w:val="1F2933"/>
          <w:sz w:val="21"/>
        </w:rPr>
        <w:t>Maven test output or Surefire reports for the final verified test count.</w:t>
      </w:r>
    </w:p>
    <w:p>
      <w:r>
        <w:br w:type="page"/>
      </w:r>
    </w:p>
    <w:p>
      <w:pPr>
        <w:pStyle w:val="Heading1"/>
        <w:keepNext/>
        <w:spacing w:before="240" w:after="100"/>
      </w:pPr>
      <w:r>
        <w:t>Master prompt for creating the Review 3 report</w:t>
      </w:r>
    </w:p>
    <w:p>
      <w:pPr>
        <w:spacing w:after="120" w:line="269" w:lineRule="auto"/>
      </w:pPr>
      <w:r>
        <w:rPr>
          <w:rFonts w:ascii="Arial" w:hAnsi="Arial"/>
          <w:i w:val="0"/>
          <w:color w:val="1F2933"/>
          <w:sz w:val="21"/>
        </w:rPr>
        <w:t>Copy the text below and attach the project files listed above. Replace bracketed identity or formatting placeholders before use.</w:t>
      </w:r>
    </w:p>
    <w:p>
      <w:pPr>
        <w:spacing w:after="140" w:line="259" w:lineRule="auto"/>
        <w:ind w:left="360" w:right="288"/>
      </w:pPr>
      <w:r>
        <w:rPr>
          <w:rFonts w:ascii="Courier New" w:hAnsi="Courier New"/>
          <w:color w:val="1F2933"/>
          <w:sz w:val="18"/>
        </w:rPr>
        <w:t>Write a formal Review 3 academic report for the project CodeShield Context Aware Security Drift Analyzer. The required sections are Abstract, Introduction, Relevant Work, Methodology, Experimental Results, and Conclusions. Use clear technical prose suitable for a computer science or cybersecurity review. Use third person or first person plural consistently according to [institutional preference]. Follow [citation style] and [word or page limit].</w:t>
      </w:r>
    </w:p>
    <w:p>
      <w:pPr>
        <w:spacing w:after="140" w:line="259" w:lineRule="auto"/>
        <w:ind w:left="360" w:right="288"/>
      </w:pPr>
      <w:r>
        <w:rPr>
          <w:rFonts w:ascii="Courier New" w:hAnsi="Courier New"/>
          <w:color w:val="1F2933"/>
          <w:sz w:val="18"/>
        </w:rPr>
        <w:t>Treat the supplied source code, README, benchmark workbook, literature review workbook, and verified test output as the evidence base. Do not invent results, performance numbers, user studies, accuracy percentages, citations, components, or deployment capabilities. Distinguish implemented features from proposed architecture and future work.</w:t>
      </w:r>
    </w:p>
    <w:p>
      <w:pPr>
        <w:spacing w:after="140" w:line="259" w:lineRule="auto"/>
        <w:ind w:left="360" w:right="288"/>
      </w:pPr>
      <w:r>
        <w:rPr>
          <w:rFonts w:ascii="Courier New" w:hAnsi="Courier New"/>
          <w:color w:val="1F2933"/>
          <w:sz w:val="18"/>
        </w:rPr>
        <w:t>Describe CodeShield as a deterministic Spring Boot security drift prototype. It stores an approved application baseline, accepts repository configuration or supplied runtime observations, compares expected and observed states through six explainable rules, applies a configurable context adjusted score, and persists evidence linked findings and scan history. It does not use AI or machine learning.</w:t>
      </w:r>
    </w:p>
    <w:p>
      <w:pPr>
        <w:spacing w:after="140" w:line="259" w:lineRule="auto"/>
        <w:ind w:left="360" w:right="288"/>
      </w:pPr>
      <w:r>
        <w:rPr>
          <w:rFonts w:ascii="Courier New" w:hAnsi="Courier New"/>
          <w:color w:val="1F2933"/>
          <w:sz w:val="18"/>
        </w:rPr>
        <w:t>In the Abstract, state the problem, objective, method, Java and Spring Boot implementation, verified results, conclusion, and main limitation in one paragraph of about 180 to 250 words.</w:t>
      </w:r>
    </w:p>
    <w:p>
      <w:pPr>
        <w:spacing w:after="140" w:line="259" w:lineRule="auto"/>
        <w:ind w:left="360" w:right="288"/>
      </w:pPr>
      <w:r>
        <w:rPr>
          <w:rFonts w:ascii="Courier New" w:hAnsi="Courier New"/>
          <w:color w:val="1F2933"/>
          <w:sz w:val="18"/>
        </w:rPr>
        <w:t>In the Introduction, define application and infrastructure security drift, explain why source security can differ from deployed configuration, give concrete examples, identify the gap between single layer scanners and baseline correlation, state the project objectives, list the engineering contributions, and define the current scope.</w:t>
      </w:r>
    </w:p>
    <w:p>
      <w:pPr>
        <w:spacing w:after="140" w:line="259" w:lineRule="auto"/>
        <w:ind w:left="360" w:right="288"/>
      </w:pPr>
      <w:r>
        <w:rPr>
          <w:rFonts w:ascii="Courier New" w:hAnsi="Courier New"/>
          <w:color w:val="1F2933"/>
          <w:sz w:val="18"/>
        </w:rPr>
        <w:t>In Relevant Work, synthesize the ten supplied papers by theme: container threats and isolation; misconfiguration and network exposure; dependency reachability and supply chains; SBOM quality; and runtime protection. Compare their methods and limitations with CodeShield. Do not claim that CodeShield replaces those specialized techniques. End with the narrow research gap addressed by the prototype.</w:t>
      </w:r>
    </w:p>
    <w:p>
      <w:pPr>
        <w:spacing w:after="140" w:line="259" w:lineRule="auto"/>
        <w:ind w:left="360" w:right="288"/>
      </w:pPr>
      <w:r>
        <w:rPr>
          <w:rFonts w:ascii="Courier New" w:hAnsi="Courier New"/>
          <w:color w:val="1F2933"/>
          <w:sz w:val="18"/>
        </w:rPr>
        <w:t>In Methodology, explain the data model, baseline registration, repository source validation, public HTTPS shallow cloning, temporary cleanup, supported file discovery, Maven and Gradle parsing, Dockerfile and Compose extraction, ScanRequest normalization, the six rule conditions, risk scoring, persistence, user interface, REST API, security boundaries, and reproducibility controls. State all repository parser fallback behavior and limitations.</w:t>
      </w:r>
    </w:p>
    <w:p>
      <w:pPr>
        <w:spacing w:after="140" w:line="259" w:lineRule="auto"/>
        <w:ind w:left="360" w:right="288"/>
      </w:pPr>
      <w:r>
        <w:rPr>
          <w:rFonts w:ascii="Courier New" w:hAnsi="Courier New"/>
          <w:color w:val="1F2933"/>
          <w:sz w:val="18"/>
        </w:rPr>
        <w:t>Use the default risk formula: score equals base rule risk plus criticality weight plus 15 for Internet exposure plus 18 for known exploitation, capped at 100. Criticality weights are 0, 8, 15, and 22 for Low, Medium, High, and Critical. Severity thresholds are Medium at 40, High at 65, and Critical at 85. Explain that these values are configuration settings and can be overridden.</w:t>
      </w:r>
    </w:p>
    <w:p>
      <w:pPr>
        <w:spacing w:after="140" w:line="259" w:lineRule="auto"/>
        <w:ind w:left="360" w:right="288"/>
      </w:pPr>
      <w:r>
        <w:rPr>
          <w:rFonts w:ascii="Courier New" w:hAnsi="Courier New"/>
          <w:color w:val="1F2933"/>
          <w:sz w:val="18"/>
        </w:rPr>
        <w:t>In Experimental Results, report that 11 of 11 automated tests passed with zero failures, errors, or skipped tests. Break this into four web and API tests, two drift rule tests, two risk tests, and three repository inspection tests. Report the benchmark composition as 120 deterministic labeled cases, including 24 compliant cases, 96 drift cases, 181 expected findings, and an 84 18 18 train validation test split. Make clear that this describes generated ground truth and does not yet establish measured precision or recall.</w:t>
      </w:r>
    </w:p>
    <w:p>
      <w:pPr>
        <w:spacing w:after="140" w:line="259" w:lineRule="auto"/>
        <w:ind w:left="360" w:right="288"/>
      </w:pPr>
      <w:r>
        <w:rPr>
          <w:rFonts w:ascii="Courier New" w:hAnsi="Courier New"/>
          <w:color w:val="1F2933"/>
          <w:sz w:val="18"/>
        </w:rPr>
        <w:t>Report two recorded public repository scans as preliminary integration observations. The spring projects spring petclinic scan completed with five findings and a maximum score of 82. The ShauryaRawat27 Adaptive LLM scan completed with two findings and a maximum score of 72. Explain that findings are differences from the selected stored baseline and are not claims of exploitable vulnerabilities in those repositories.</w:t>
      </w:r>
    </w:p>
    <w:p>
      <w:pPr>
        <w:spacing w:after="140" w:line="259" w:lineRule="auto"/>
        <w:ind w:left="360" w:right="288"/>
      </w:pPr>
      <w:r>
        <w:rPr>
          <w:rFonts w:ascii="Courier New" w:hAnsi="Courier New"/>
          <w:color w:val="1F2933"/>
          <w:sz w:val="18"/>
        </w:rPr>
        <w:t>Also report that a packaged JAR started against an empty database and returned HTTP 200 for the dashboard, manual scan page, and repository scan page, while the asset API returned an empty array. This verifies that the application does not require preloaded sample data.</w:t>
      </w:r>
    </w:p>
    <w:p>
      <w:pPr>
        <w:spacing w:after="140" w:line="259" w:lineRule="auto"/>
        <w:ind w:left="360" w:right="288"/>
      </w:pPr>
      <w:r>
        <w:rPr>
          <w:rFonts w:ascii="Courier New" w:hAnsi="Courier New"/>
          <w:color w:val="1F2933"/>
          <w:sz w:val="18"/>
        </w:rPr>
        <w:t>Do not calculate precision, recall, F1, false positive rate, performance improvement, or statistical significance unless separate executed results are supplied. Instead, state the exact experiments required to calculate them and use clearly labeled TBD fields where necessary.</w:t>
      </w:r>
    </w:p>
    <w:p>
      <w:pPr>
        <w:spacing w:after="140" w:line="259" w:lineRule="auto"/>
        <w:ind w:left="360" w:right="288"/>
      </w:pPr>
      <w:r>
        <w:rPr>
          <w:rFonts w:ascii="Courier New" w:hAnsi="Courier New"/>
          <w:color w:val="1F2933"/>
          <w:sz w:val="18"/>
        </w:rPr>
        <w:t>In Conclusions, state what the current evidence supports, list the implementation limits, and propose specific next work: execute the 120 case benchmark end to end, expand the repository corpus, add read only authenticated runtime collectors, integrate SBOM and vulnerability intelligence, measure scan overhead and accuracy, add access control, and use PostgreSQL for production deployment.</w:t>
      </w:r>
    </w:p>
    <w:p>
      <w:pPr>
        <w:spacing w:after="140" w:line="259" w:lineRule="auto"/>
        <w:ind w:left="360" w:right="288"/>
      </w:pPr>
      <w:r>
        <w:rPr>
          <w:rFonts w:ascii="Courier New" w:hAnsi="Courier New"/>
          <w:color w:val="1F2933"/>
          <w:sz w:val="18"/>
        </w:rPr>
        <w:t>Keep the tone factual. Avoid promotional language, claims of patentability, statements that the project is state of the art, and claims of continuous monitoring. Use tables only where they improve comparison. Include a complete reference list for all ten supplied papers using their verified DOI or official conference URLs.</w:t>
      </w:r>
    </w:p>
    <w:p>
      <w:pPr>
        <w:pStyle w:val="Heading1"/>
        <w:keepNext/>
        <w:spacing w:before="240" w:after="100"/>
      </w:pPr>
      <w:r>
        <w:t>Verified references</w:t>
      </w:r>
    </w:p>
    <w:p>
      <w:pPr>
        <w:spacing w:after="100" w:line="252" w:lineRule="auto"/>
        <w:ind w:hanging="360" w:left="360"/>
      </w:pPr>
      <w:r>
        <w:rPr>
          <w:rFonts w:ascii="Arial" w:hAnsi="Arial"/>
          <w:color w:val="1F2933"/>
          <w:sz w:val="18"/>
        </w:rPr>
        <w:t xml:space="preserve">[1] Jarkas O Ko R Dong N and Mahmud R 2025 A Container Security Survey Exploits Attacks and Defenses ACM Computing Surveys 57 7 Article 170  </w:t>
      </w:r>
      <w:hyperlink r:id="rId10">
        <w:r>
          <w:rPr>
            <w:rFonts w:ascii="Arial" w:hAnsi="Arial"/>
            <w:color w:val="2F6F8F"/>
            <w:u w:val="single"/>
          </w:rPr>
          <w:t>Verified source</w:t>
        </w:r>
      </w:hyperlink>
    </w:p>
    <w:p>
      <w:pPr>
        <w:spacing w:after="100" w:line="252" w:lineRule="auto"/>
        <w:ind w:hanging="360" w:left="360"/>
      </w:pPr>
      <w:r>
        <w:rPr>
          <w:rFonts w:ascii="Arial" w:hAnsi="Arial"/>
          <w:color w:val="1F2933"/>
          <w:sz w:val="18"/>
        </w:rPr>
        <w:t xml:space="preserve">[2] Deng P Zhang L Meng Y et al. 2025 ChainFuzz Exploiting Upstream Vulnerabilities in Open Source Supply Chains 34th USENIX Security Symposium  </w:t>
      </w:r>
      <w:hyperlink r:id="rId11">
        <w:r>
          <w:rPr>
            <w:rFonts w:ascii="Arial" w:hAnsi="Arial"/>
            <w:color w:val="2F6F8F"/>
            <w:u w:val="single"/>
          </w:rPr>
          <w:t>Verified source</w:t>
        </w:r>
      </w:hyperlink>
    </w:p>
    <w:p>
      <w:pPr>
        <w:spacing w:after="100" w:line="252" w:lineRule="auto"/>
        <w:ind w:hanging="360" w:left="360"/>
      </w:pPr>
      <w:r>
        <w:rPr>
          <w:rFonts w:ascii="Arial" w:hAnsi="Arial"/>
          <w:color w:val="1F2933"/>
          <w:sz w:val="18"/>
        </w:rPr>
        <w:t xml:space="preserve">[3] Jia Z Yang C Feng P et al. 2025 Impact Assessment of Third Party Library Vulnerabilities through Vulnerability Reachability Analysis Computers and Security 157 104546  </w:t>
      </w:r>
      <w:hyperlink r:id="rId12">
        <w:r>
          <w:rPr>
            <w:rFonts w:ascii="Arial" w:hAnsi="Arial"/>
            <w:color w:val="2F6F8F"/>
            <w:u w:val="single"/>
          </w:rPr>
          <w:t>Verified source</w:t>
        </w:r>
      </w:hyperlink>
    </w:p>
    <w:p>
      <w:pPr>
        <w:spacing w:after="100" w:line="252" w:lineRule="auto"/>
        <w:ind w:hanging="360" w:left="360"/>
      </w:pPr>
      <w:r>
        <w:rPr>
          <w:rFonts w:ascii="Arial" w:hAnsi="Arial"/>
          <w:color w:val="1F2933"/>
          <w:sz w:val="18"/>
        </w:rPr>
        <w:t xml:space="preserve">[4] Zhou Q Cao W Jia X et al. 2025 RContainer A Secure Container Architecture through Extending ARM CCA Hardware Primitives NDSS 2025  </w:t>
      </w:r>
      <w:hyperlink r:id="rId13">
        <w:r>
          <w:rPr>
            <w:rFonts w:ascii="Arial" w:hAnsi="Arial"/>
            <w:color w:val="2F6F8F"/>
            <w:u w:val="single"/>
          </w:rPr>
          <w:t>Verified source</w:t>
        </w:r>
      </w:hyperlink>
    </w:p>
    <w:p>
      <w:pPr>
        <w:spacing w:after="100" w:line="252" w:lineRule="auto"/>
        <w:ind w:hanging="360" w:left="360"/>
      </w:pPr>
      <w:r>
        <w:rPr>
          <w:rFonts w:ascii="Arial" w:hAnsi="Arial"/>
          <w:color w:val="1F2933"/>
          <w:sz w:val="18"/>
        </w:rPr>
        <w:t xml:space="preserve">[5] Li Y Zhang C Zhu J et al. 2025 VulShield Protecting Vulnerable Code Before Deploying Patches NDSS 2025  </w:t>
      </w:r>
      <w:hyperlink r:id="rId14">
        <w:r>
          <w:rPr>
            <w:rFonts w:ascii="Arial" w:hAnsi="Arial"/>
            <w:color w:val="2F6F8F"/>
            <w:u w:val="single"/>
          </w:rPr>
          <w:t>Verified source</w:t>
        </w:r>
      </w:hyperlink>
    </w:p>
    <w:p>
      <w:pPr>
        <w:spacing w:after="100" w:line="252" w:lineRule="auto"/>
        <w:ind w:hanging="360" w:left="360"/>
      </w:pPr>
      <w:r>
        <w:rPr>
          <w:rFonts w:ascii="Arial" w:hAnsi="Arial"/>
          <w:color w:val="1F2933"/>
          <w:sz w:val="18"/>
        </w:rPr>
        <w:t xml:space="preserve">[6] Kermabon Bobinnec H Jarraya Y Wang L et al. 2024 Phoenix Surviving Unpatched Vulnerabilities via Accurate and Efficient Filtering of Syscall Sequences NDSS 2024  </w:t>
      </w:r>
      <w:hyperlink r:id="rId15">
        <w:r>
          <w:rPr>
            <w:rFonts w:ascii="Arial" w:hAnsi="Arial"/>
            <w:color w:val="2F6F8F"/>
            <w:u w:val="single"/>
          </w:rPr>
          <w:t>Verified source</w:t>
        </w:r>
      </w:hyperlink>
    </w:p>
    <w:p>
      <w:pPr>
        <w:spacing w:after="100" w:line="252" w:lineRule="auto"/>
        <w:ind w:hanging="360" w:left="360"/>
      </w:pPr>
      <w:r>
        <w:rPr>
          <w:rFonts w:ascii="Arial" w:hAnsi="Arial"/>
          <w:color w:val="1F2933"/>
          <w:sz w:val="18"/>
        </w:rPr>
        <w:t xml:space="preserve">[7] Choi D Seo H Kim K et al. 2024 Uncovering Threats in Container Systems A Study on Misconfigured Container Components in the Wild IEEE Access 12 192931 to 192945  </w:t>
      </w:r>
      <w:hyperlink r:id="rId16">
        <w:r>
          <w:rPr>
            <w:rFonts w:ascii="Arial" w:hAnsi="Arial"/>
            <w:color w:val="2F6F8F"/>
            <w:u w:val="single"/>
          </w:rPr>
          <w:t>Verified source</w:t>
        </w:r>
      </w:hyperlink>
    </w:p>
    <w:p>
      <w:pPr>
        <w:spacing w:after="100" w:line="252" w:lineRule="auto"/>
        <w:ind w:hanging="360" w:left="360"/>
      </w:pPr>
      <w:r>
        <w:rPr>
          <w:rFonts w:ascii="Arial" w:hAnsi="Arial"/>
          <w:color w:val="1F2933"/>
          <w:sz w:val="18"/>
        </w:rPr>
        <w:t xml:space="preserve">[8] Rankovic T Siljic F Tomic J Sladic G and Simic M 2024 Misconfiguration Prevention and Error Cause Detection for Distributed Cloud Applications IEEE SISY 2024  </w:t>
      </w:r>
      <w:hyperlink r:id="rId17">
        <w:r>
          <w:rPr>
            <w:rFonts w:ascii="Arial" w:hAnsi="Arial"/>
            <w:color w:val="2F6F8F"/>
            <w:u w:val="single"/>
          </w:rPr>
          <w:t>Verified source</w:t>
        </w:r>
      </w:hyperlink>
    </w:p>
    <w:p>
      <w:pPr>
        <w:spacing w:after="100" w:line="252" w:lineRule="auto"/>
        <w:ind w:hanging="360" w:left="360"/>
      </w:pPr>
      <w:r>
        <w:rPr>
          <w:rFonts w:ascii="Arial" w:hAnsi="Arial"/>
          <w:color w:val="1F2933"/>
          <w:sz w:val="18"/>
        </w:rPr>
        <w:t xml:space="preserve">[9] Stalnaker T Wintersgill N Chaparro O et al. 2024 BOMs Away Inside the Minds of Stakeholders ICSE 2024  </w:t>
      </w:r>
      <w:hyperlink r:id="rId18">
        <w:r>
          <w:rPr>
            <w:rFonts w:ascii="Arial" w:hAnsi="Arial"/>
            <w:color w:val="2F6F8F"/>
            <w:u w:val="single"/>
          </w:rPr>
          <w:t>Verified source</w:t>
        </w:r>
      </w:hyperlink>
    </w:p>
    <w:p>
      <w:pPr>
        <w:spacing w:after="100" w:line="252" w:lineRule="auto"/>
        <w:ind w:hanging="360" w:left="360"/>
      </w:pPr>
      <w:r>
        <w:rPr>
          <w:rFonts w:ascii="Arial" w:hAnsi="Arial"/>
          <w:color w:val="1F2933"/>
          <w:sz w:val="18"/>
        </w:rPr>
        <w:t xml:space="preserve">[10] He Y Guo R Xing Y et al. 2023 Cross Container Attacks The Bewildered eBPF on Clouds 32nd USENIX Security Symposium  </w:t>
      </w:r>
      <w:hyperlink r:id="rId19">
        <w:r>
          <w:rPr>
            <w:rFonts w:ascii="Arial" w:hAnsi="Arial"/>
            <w:color w:val="2F6F8F"/>
            <w:u w:val="single"/>
          </w:rPr>
          <w:t>Verified source</w:t>
        </w:r>
      </w:hyperlink>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3606B"/>
        <w:sz w:val="18"/>
      </w:rPr>
      <w:t>CodeShield Review 3 Report Writing Brief</w:t>
    </w:r>
    <w:r>
      <w:rPr>
        <w:rFonts w:ascii="Arial" w:hAnsi="Arial"/>
        <w:color w:val="1F2933"/>
        <w:sz w:val="18"/>
      </w:rPr>
      <w:tab/>
    </w:r>
  </w:p>
  <w:p>
    <w:pPr>
      <w:jc w:val="right"/>
    </w:pPr>
    <w:r>
      <w:rPr>
        <w:rFonts w:ascii="Arial" w:hAnsi="Arial"/>
        <w:color w:val="53606B"/>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45/3715001" TargetMode="External"/><Relationship Id="rId11" Type="http://schemas.openxmlformats.org/officeDocument/2006/relationships/hyperlink" Target="https://www.usenix.org/conference/usenixsecurity25/presentation/deng" TargetMode="External"/><Relationship Id="rId12" Type="http://schemas.openxmlformats.org/officeDocument/2006/relationships/hyperlink" Target="https://doi.org/10.1016/j.cose.2025.104546" TargetMode="External"/><Relationship Id="rId13" Type="http://schemas.openxmlformats.org/officeDocument/2006/relationships/hyperlink" Target="https://doi.org/10.14722/ndss.2025.240328" TargetMode="External"/><Relationship Id="rId14" Type="http://schemas.openxmlformats.org/officeDocument/2006/relationships/hyperlink" Target="https://doi.org/10.14722/ndss.2025.240298" TargetMode="External"/><Relationship Id="rId15" Type="http://schemas.openxmlformats.org/officeDocument/2006/relationships/hyperlink" Target="https://doi.org/10.14722/ndss.2024.24582" TargetMode="External"/><Relationship Id="rId16" Type="http://schemas.openxmlformats.org/officeDocument/2006/relationships/hyperlink" Target="https://doi.org/10.1109/ACCESS.2024.3514751" TargetMode="External"/><Relationship Id="rId17" Type="http://schemas.openxmlformats.org/officeDocument/2006/relationships/hyperlink" Target="https://doi.org/10.1109/SISY62279.2024.10737513" TargetMode="External"/><Relationship Id="rId18" Type="http://schemas.openxmlformats.org/officeDocument/2006/relationships/hyperlink" Target="https://doi.org/10.1145/3597503.3623347" TargetMode="External"/><Relationship Id="rId19" Type="http://schemas.openxmlformats.org/officeDocument/2006/relationships/hyperlink" Target="https://www.usenix.org/conference/usenixsecurity23/presentation/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CodeShield Review 3 Report Writing Brief</dc:title>
  <dc:subject>Verified project information and master prompt for Review 3</dc:subject>
  <dc:creator/>
  <cp:keywords>CodeShield, security drift, Review 3, research report</cp:keywords>
  <dc:description>generated by python-docx</dc:description>
  <cp:lastModifiedBy/>
  <cp:revision>1</cp:revision>
  <dcterms:created xsi:type="dcterms:W3CDTF">2013-12-23T23:15:00Z</dcterms:created>
  <dcterms:modified xsi:type="dcterms:W3CDTF">2013-12-23T23:15:00Z</dcterms:modified>
  <cp:category/>
</cp:coreProperties>
</file>