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top w:val="nil"/>
          <w:left w:val="nil"/>
          <w:bottom w:val="nil"/>
          <w:right w:val="nil"/>
          <w:between w:val="nil"/>
          <w:bar w:val="nil"/>
        </w:pBdr>
      </w:pPr>
      <w:r>
        <w:rPr>
          <w:rFonts w:ascii="Liberation Sans" w:hAnsi="Liberation Sans"/>
          <w:b/>
          <w:color w:val="000000"/>
          <w:sz w:val="44"/>
        </w:rPr>
        <w:t>CodeShield Context Aware SecOps Platform for Detecting Application Infrastructure Security Drift</w:t>
      </w:r>
    </w:p>
    <w:p>
      <w:pPr>
        <w:spacing w:before="0" w:after="40" w:line="269" w:lineRule="auto"/>
      </w:pPr>
      <w:r>
        <w:rPr>
          <w:rFonts w:ascii="Liberation Sans" w:hAnsi="Liberation Sans"/>
          <w:b/>
          <w:color w:val="0F5965"/>
          <w:sz w:val="26"/>
        </w:rPr>
        <w:t>Short Project Report</w:t>
      </w:r>
    </w:p>
    <w:p>
      <w:pPr>
        <w:spacing w:before="0" w:after="360" w:line="269" w:lineRule="auto"/>
      </w:pPr>
      <w:r>
        <w:rPr>
          <w:rFonts w:ascii="Liberation Sans" w:hAnsi="Liberation Sans"/>
          <w:color w:val="5E6C70"/>
          <w:sz w:val="19"/>
        </w:rPr>
        <w:t>Cybersecurity and DevSecOps  |  October 2026</w:t>
      </w:r>
    </w:p>
    <w:p>
      <w:pPr>
        <w:pStyle w:val="Heading1"/>
        <w:keepNext/>
      </w:pPr>
      <w:r>
        <w:rPr>
          <w:rFonts w:ascii="Liberation Sans" w:hAnsi="Liberation Sans"/>
          <w:b/>
          <w:color w:val="000000"/>
          <w:sz w:val="30"/>
        </w:rPr>
        <w:t>Executive Summary</w:t>
      </w:r>
    </w:p>
    <w:p>
      <w:pPr>
        <w:keepNext w:val="0"/>
        <w:spacing w:before="0" w:after="120" w:line="269" w:lineRule="auto"/>
      </w:pPr>
      <w:r>
        <w:rPr>
          <w:rFonts w:ascii="Liberation Sans" w:hAnsi="Liberation Sans"/>
          <w:color w:val="000000"/>
        </w:rPr>
        <w:t>CodeShield is a security platform that detects differences between an application's approved baseline and the configuration found in its repository or deployed environment. It combines repository evidence with supplied observations from containers, dependencies, hosts, and networks. The platform produces prioritized findings that state what was expected, what was observed, why the difference matters, and how to correct it.</w:t>
      </w:r>
    </w:p>
    <w:p>
      <w:pPr>
        <w:keepNext w:val="0"/>
        <w:spacing w:before="0" w:after="180" w:line="269" w:lineRule="auto"/>
      </w:pPr>
      <w:r>
        <w:rPr>
          <w:rFonts w:ascii="Liberation Sans" w:hAnsi="Liberation Sans"/>
          <w:color w:val="000000"/>
        </w:rPr>
        <w:t>The implemented application combines a read-only local repository scanner, manual and API-based runtime evidence input, deterministic drift rules, and transparent risk scoring. Findings retain their evidence source and can be marked open, resolved, or accepted. The system runs as a Spring Boot web application with an embedded database and Docker support.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232"/>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Area</w:t>
            </w:r>
          </w:p>
        </w:tc>
        <w:tc>
          <w:tcPr>
            <w:tcW w:type="dxa" w:w="7703"/>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Project definition</w:t>
            </w:r>
          </w:p>
        </w:tc>
      </w:tr>
      <w:tr>
        <w:tc>
          <w:tcPr>
            <w:tcW w:type="dxa" w:w="2232"/>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Primary goal</w:t>
            </w:r>
          </w:p>
        </w:tc>
        <w:tc>
          <w:tcPr>
            <w:tcW w:type="dxa" w:w="7703"/>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Detect security drift between application intent and runtime reality</w:t>
            </w:r>
          </w:p>
        </w:tc>
      </w:tr>
      <w:tr>
        <w:tc>
          <w:tcPr>
            <w:tcW w:type="dxa" w:w="2232"/>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Main inputs</w:t>
            </w:r>
          </w:p>
        </w:tc>
        <w:tc>
          <w:tcPr>
            <w:tcW w:type="dxa" w:w="7703"/>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Maven, Gradle, Dockerfile and Compose files plus supplied runtime observations</w:t>
            </w:r>
          </w:p>
        </w:tc>
      </w:tr>
      <w:tr>
        <w:tc>
          <w:tcPr>
            <w:tcW w:type="dxa" w:w="2232"/>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Main output</w:t>
            </w:r>
          </w:p>
        </w:tc>
        <w:tc>
          <w:tcPr>
            <w:tcW w:type="dxa" w:w="7703"/>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Explainable findings with evidence, risk score and remediation guidance</w:t>
            </w:r>
          </w:p>
        </w:tc>
      </w:tr>
      <w:tr>
        <w:tc>
          <w:tcPr>
            <w:tcW w:type="dxa" w:w="2232"/>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Implemented platform</w:t>
            </w:r>
          </w:p>
        </w:tc>
        <w:tc>
          <w:tcPr>
            <w:tcW w:type="dxa" w:w="7703"/>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Java 21, Spring Boot 3.3, Thymeleaf, Spring Data JPA and H2</w:t>
            </w:r>
          </w:p>
        </w:tc>
      </w:tr>
    </w:tbl>
    <w:p>
      <w:pPr>
        <w:spacing w:after="40" w:before="0"/>
      </w:pPr>
    </w:p>
    <w:p>
      <w:pPr>
        <w:pStyle w:val="Heading1"/>
        <w:keepNext/>
      </w:pPr>
      <w:r>
        <w:rPr>
          <w:rFonts w:ascii="Liberation Sans" w:hAnsi="Liberation Sans"/>
          <w:b/>
          <w:color w:val="000000"/>
          <w:sz w:val="30"/>
        </w:rPr>
        <w:t>Problem and Objectives</w:t>
      </w:r>
    </w:p>
    <w:p>
      <w:pPr>
        <w:keepNext w:val="0"/>
        <w:spacing w:before="0" w:after="120" w:line="269" w:lineRule="auto"/>
      </w:pPr>
      <w:r>
        <w:rPr>
          <w:rFonts w:ascii="Liberation Sans" w:hAnsi="Liberation Sans"/>
          <w:color w:val="000000"/>
        </w:rPr>
        <w:t>An application can be secure in source control but unsafe after deployment. A database intended for an internal network may become publicly reachable, a container may run as root, or the deployed library version may differ from the approved SBOM. These changes may result from configuration edits, emergency fixes, image replacement, or infrastructure maintenance.</w:t>
      </w:r>
    </w:p>
    <w:p>
      <w:pPr>
        <w:keepNext/>
        <w:spacing w:before="0" w:after="120" w:line="269" w:lineRule="auto"/>
      </w:pPr>
      <w:r>
        <w:rPr>
          <w:rFonts w:ascii="Liberation Sans" w:hAnsi="Liberation Sans"/>
          <w:color w:val="000000"/>
        </w:rPr>
        <w:t>CodeShield has four practical objectives:</w:t>
      </w:r>
    </w:p>
    <w:p>
      <w:pPr>
        <w:pStyle w:val="ListBullet"/>
        <w:spacing w:before="0" w:after="60" w:line="259" w:lineRule="auto"/>
      </w:pPr>
      <w:r>
        <w:rPr>
          <w:rFonts w:ascii="Liberation Sans" w:hAnsi="Liberation Sans"/>
          <w:color w:val="000000"/>
          <w:sz w:val="21"/>
        </w:rPr>
        <w:t>Store an approved application baseline covering versions, exposure, image identity and container user.</w:t>
      </w:r>
    </w:p>
    <w:p>
      <w:pPr>
        <w:pStyle w:val="ListBullet"/>
        <w:spacing w:before="0" w:after="60" w:line="259" w:lineRule="auto"/>
      </w:pPr>
      <w:r>
        <w:rPr>
          <w:rFonts w:ascii="Liberation Sans" w:hAnsi="Liberation Sans"/>
          <w:color w:val="000000"/>
          <w:sz w:val="21"/>
        </w:rPr>
        <w:t>Extract evidence from Maven, Gradle, Dockerfile and Docker Compose configuration without modifying the repository.</w:t>
      </w:r>
    </w:p>
    <w:p>
      <w:pPr>
        <w:pStyle w:val="ListBullet"/>
        <w:spacing w:before="0" w:after="60" w:line="259" w:lineRule="auto"/>
      </w:pPr>
      <w:r>
        <w:rPr>
          <w:rFonts w:ascii="Liberation Sans" w:hAnsi="Liberation Sans"/>
          <w:color w:val="000000"/>
          <w:sz w:val="21"/>
        </w:rPr>
        <w:t>Apply explainable rules to identify meaningful mismatches between the two models.</w:t>
      </w:r>
    </w:p>
    <w:p>
      <w:pPr>
        <w:pStyle w:val="ListBullet"/>
        <w:spacing w:before="0" w:after="140" w:line="259" w:lineRule="auto"/>
      </w:pPr>
      <w:r>
        <w:rPr>
          <w:rFonts w:ascii="Liberation Sans" w:hAnsi="Liberation Sans"/>
          <w:color w:val="000000"/>
          <w:sz w:val="21"/>
        </w:rPr>
        <w:t>Prioritize each mismatch using exposure, reachability, exploitability and asset importance.</w:t>
      </w:r>
    </w:p>
    <w:p>
      <w:pPr>
        <w:pStyle w:val="Heading1"/>
        <w:keepNext/>
      </w:pPr>
      <w:r>
        <w:rPr>
          <w:rFonts w:ascii="Liberation Sans" w:hAnsi="Liberation Sans"/>
          <w:b/>
          <w:color w:val="000000"/>
          <w:sz w:val="30"/>
        </w:rPr>
        <w:t>How CodeShield Differs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800"/>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Dimension</w:t>
            </w:r>
          </w:p>
        </w:tc>
        <w:tc>
          <w:tcPr>
            <w:tcW w:type="dxa" w:w="3671"/>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Conventional scanner</w:t>
            </w:r>
          </w:p>
        </w:tc>
        <w:tc>
          <w:tcPr>
            <w:tcW w:type="dxa" w:w="4464"/>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CodeShield</w:t>
            </w:r>
          </w:p>
        </w:tc>
      </w:tr>
      <w:tr>
        <w:tc>
          <w:tcPr>
            <w:tcW w:type="dxa" w:w="1800"/>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Analysis scope</w:t>
            </w:r>
          </w:p>
        </w:tc>
        <w:tc>
          <w:tcPr>
            <w:tcW w:type="dxa" w:w="3671"/>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Usually one layer or data source</w:t>
            </w:r>
          </w:p>
        </w:tc>
        <w:tc>
          <w:tcPr>
            <w:tcW w:type="dxa" w:w="4464"/>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Connects application, container, host, dependency and network evidence</w:t>
            </w:r>
          </w:p>
        </w:tc>
      </w:tr>
      <w:tr>
        <w:tc>
          <w:tcPr>
            <w:tcW w:type="dxa" w:w="1800"/>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Decision basis</w:t>
            </w:r>
          </w:p>
        </w:tc>
        <w:tc>
          <w:tcPr>
            <w:tcW w:type="dxa" w:w="3671"/>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Reports a vulnerability or misconfiguration</w:t>
            </w:r>
          </w:p>
        </w:tc>
        <w:tc>
          <w:tcPr>
            <w:tcW w:type="dxa" w:w="4464"/>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Checks whether the observed state violates application intent</w:t>
            </w:r>
          </w:p>
        </w:tc>
      </w:tr>
      <w:tr>
        <w:tc>
          <w:tcPr>
            <w:tcW w:type="dxa" w:w="1800"/>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Prioritization</w:t>
            </w:r>
          </w:p>
        </w:tc>
        <w:tc>
          <w:tcPr>
            <w:tcW w:type="dxa" w:w="3671"/>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Often dominated by severity scores</w:t>
            </w:r>
          </w:p>
        </w:tc>
        <w:tc>
          <w:tcPr>
            <w:tcW w:type="dxa" w:w="4464"/>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Adds exposure, reachability, privilege, asset importance and compensating controls</w:t>
            </w:r>
          </w:p>
        </w:tc>
      </w:tr>
      <w:tr>
        <w:tc>
          <w:tcPr>
            <w:tcW w:type="dxa" w:w="1800"/>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Explanation</w:t>
            </w:r>
          </w:p>
        </w:tc>
        <w:tc>
          <w:tcPr>
            <w:tcW w:type="dxa" w:w="3671"/>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Describes the isolated alert</w:t>
            </w:r>
          </w:p>
        </w:tc>
        <w:tc>
          <w:tcPr>
            <w:tcW w:type="dxa" w:w="4464"/>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Records expected state, observed state, evidence and recommended correction</w:t>
            </w:r>
          </w:p>
        </w:tc>
      </w:tr>
      <w:tr>
        <w:tc>
          <w:tcPr>
            <w:tcW w:type="dxa" w:w="1800"/>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Ongoing use</w:t>
            </w:r>
          </w:p>
        </w:tc>
        <w:tc>
          <w:tcPr>
            <w:tcW w:type="dxa" w:w="3671"/>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Runs periodic independent scans</w:t>
            </w:r>
          </w:p>
        </w:tc>
        <w:tc>
          <w:tcPr>
            <w:tcW w:type="dxa" w:w="4464"/>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Tracks drift and verifies remediation through re-scanning</w:t>
            </w:r>
          </w:p>
        </w:tc>
      </w:tr>
    </w:tbl>
    <w:p>
      <w:pPr>
        <w:spacing w:after="40" w:before="0"/>
      </w:pPr>
    </w:p>
    <w:p>
      <w:pPr>
        <w:pStyle w:val="Heading2"/>
        <w:keepNext/>
      </w:pPr>
      <w:r>
        <w:rPr>
          <w:rFonts w:ascii="Liberation Sans" w:hAnsi="Liberation Sans"/>
          <w:b/>
          <w:color w:val="000000"/>
          <w:sz w:val="24"/>
        </w:rPr>
        <w:t>Illustrative Finding</w:t>
      </w:r>
    </w:p>
    <w:p>
      <w:pPr>
        <w:keepNext w:val="0"/>
        <w:spacing w:before="0" w:after="120" w:line="269" w:lineRule="auto"/>
      </w:pPr>
      <w:r>
        <w:rPr>
          <w:rFonts w:ascii="Liberation Sans" w:hAnsi="Liberation Sans"/>
          <w:color w:val="000000"/>
        </w:rPr>
        <w:t>A configuration file declares Redis as an internal service, while the Docker and network collectors observe port 6379 published on all host interfaces. CodeShield correlates these facts and reports a trust-boundary violation. The finding identifies the expected private access, the observed public exposure, the affected asset, the supporting evidence, and the recommended action to remove the host mapping or restrict network access.</w:t>
      </w:r>
    </w:p>
    <w:p>
      <w:pPr>
        <w:pStyle w:val="Heading2"/>
        <w:keepNext/>
      </w:pPr>
      <w:r>
        <w:rPr>
          <w:rFonts w:ascii="Liberation Sans" w:hAnsi="Liberation Sans"/>
          <w:b/>
          <w:color w:val="000000"/>
          <w:sz w:val="24"/>
        </w:rPr>
        <w:t>Project Scope</w:t>
      </w:r>
    </w:p>
    <w:p>
      <w:pPr>
        <w:keepNext w:val="0"/>
        <w:spacing w:before="0" w:after="120" w:line="269" w:lineRule="auto"/>
      </w:pPr>
      <w:r>
        <w:rPr>
          <w:rFonts w:ascii="Liberation Sans" w:hAnsi="Liberation Sans"/>
          <w:color w:val="000000"/>
        </w:rPr>
        <w:t>CodeShield is designed for authorized security monitoring and complements existing source, dependency and container scanners. It can consume their results as evidence, while its own responsibility is to correlate that evidence with the deployed environment.</w:t>
      </w:r>
    </w:p>
    <w:p>
      <w:pPr>
        <w:pStyle w:val="ListBullet"/>
        <w:spacing w:before="0" w:after="60" w:line="259" w:lineRule="auto"/>
      </w:pPr>
      <w:r>
        <w:rPr>
          <w:rFonts w:ascii="Liberation Sans" w:hAnsi="Liberation Sans"/>
          <w:color w:val="000000"/>
          <w:sz w:val="21"/>
        </w:rPr>
        <w:t>Inspect only registered applications, hosts and container environments.</w:t>
      </w:r>
    </w:p>
    <w:p>
      <w:pPr>
        <w:pStyle w:val="ListBullet"/>
        <w:spacing w:before="0" w:after="60" w:line="259" w:lineRule="auto"/>
      </w:pPr>
      <w:r>
        <w:rPr>
          <w:rFonts w:ascii="Liberation Sans" w:hAnsi="Liberation Sans"/>
          <w:color w:val="000000"/>
          <w:sz w:val="21"/>
        </w:rPr>
        <w:t>Use read-only collection wherever possible and preserve evidence timestamps.</w:t>
      </w:r>
    </w:p>
    <w:p>
      <w:pPr>
        <w:pStyle w:val="ListBullet"/>
        <w:spacing w:before="0" w:after="60" w:line="259" w:lineRule="auto"/>
      </w:pPr>
      <w:r>
        <w:rPr>
          <w:rFonts w:ascii="Liberation Sans" w:hAnsi="Liberation Sans"/>
          <w:color w:val="000000"/>
          <w:sz w:val="21"/>
        </w:rPr>
        <w:t>Detect and report drift without automatically changing production systems.</w:t>
      </w:r>
    </w:p>
    <w:p>
      <w:pPr>
        <w:pStyle w:val="ListBullet"/>
        <w:spacing w:before="0" w:after="120" w:line="259" w:lineRule="auto"/>
      </w:pPr>
      <w:r>
        <w:rPr>
          <w:rFonts w:ascii="Liberation Sans" w:hAnsi="Liberation Sans"/>
          <w:color w:val="000000"/>
          <w:sz w:val="21"/>
        </w:rPr>
        <w:t>Require a human decision for exceptions and disruptive remediation.</w:t>
      </w:r>
    </w:p>
    <w:p>
      <w:r>
        <w:br w:type="page"/>
      </w:r>
    </w:p>
    <w:p>
      <w:pPr>
        <w:pStyle w:val="Heading1"/>
        <w:keepNext/>
      </w:pPr>
      <w:r>
        <w:rPr>
          <w:rFonts w:ascii="Liberation Sans" w:hAnsi="Liberation Sans"/>
          <w:b/>
          <w:color w:val="000000"/>
          <w:sz w:val="30"/>
        </w:rPr>
        <w:t>System Architecture</w:t>
      </w:r>
    </w:p>
    <w:p>
      <w:pPr>
        <w:keepNext w:val="0"/>
        <w:spacing w:before="0" w:after="140" w:line="269" w:lineRule="auto"/>
      </w:pPr>
      <w:r>
        <w:rPr>
          <w:rFonts w:ascii="Liberation Sans" w:hAnsi="Liberation Sans"/>
          <w:color w:val="000000"/>
        </w:rPr>
        <w:t>The architecture separates evidence collection from analysis and decision-making. Read-only collectors and authenticated agents gather facts. The Spring Boot control plane schedules work, manages access, stores evidence, and exposes findings. The correlation engine compares normalized intent and runtime models before the risk engine prioritizes the result.</w:t>
      </w:r>
    </w:p>
    <w:p>
      <w:pPr>
        <w:keepNext/>
        <w:jc w:val="center"/>
      </w:pPr>
      <w:r>
        <w:drawing>
          <wp:inline xmlns:a="http://schemas.openxmlformats.org/drawingml/2006/main" xmlns:pic="http://schemas.openxmlformats.org/drawingml/2006/picture">
            <wp:extent cx="6419088" cy="4172407"/>
            <wp:docPr id="1" name="Picture 1" title="CodeShield system architecture" descr="Evidence sources feed a Spring Boot control plane and analyzer workers. The resulting application intent and runtime reality models enter a correlation engine, followed by risk scoring, storage, and findings."/>
            <wp:cNvGraphicFramePr>
              <a:graphicFrameLocks noChangeAspect="1"/>
            </wp:cNvGraphicFramePr>
            <a:graphic>
              <a:graphicData uri="http://schemas.openxmlformats.org/drawingml/2006/picture">
                <pic:pic>
                  <pic:nvPicPr>
                    <pic:cNvPr id="0" name="CodeShield_System_Architecture.png"/>
                    <pic:cNvPicPr/>
                  </pic:nvPicPr>
                  <pic:blipFill>
                    <a:blip r:embed="rId10"/>
                    <a:stretch>
                      <a:fillRect/>
                    </a:stretch>
                  </pic:blipFill>
                  <pic:spPr>
                    <a:xfrm>
                      <a:off x="0" y="0"/>
                      <a:ext cx="6419088" cy="4172407"/>
                    </a:xfrm>
                    <a:prstGeom prst="rect"/>
                  </pic:spPr>
                </pic:pic>
              </a:graphicData>
            </a:graphic>
          </wp:inline>
        </w:drawing>
      </w:r>
    </w:p>
    <w:p>
      <w:pPr>
        <w:spacing w:before="60" w:after="140" w:line="240" w:lineRule="auto"/>
        <w:jc w:val="center"/>
      </w:pPr>
      <w:r>
        <w:rPr>
          <w:rFonts w:ascii="Liberation Sans" w:hAnsi="Liberation Sans"/>
          <w:i/>
          <w:color w:val="5E6C70"/>
          <w:sz w:val="18"/>
        </w:rPr>
        <w:t>Figure 1  CodeShield system architecture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376"/>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Layer</w:t>
            </w:r>
          </w:p>
        </w:tc>
        <w:tc>
          <w:tcPr>
            <w:tcW w:type="dxa" w:w="7560"/>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Responsibility</w:t>
            </w:r>
          </w:p>
        </w:tc>
      </w:tr>
      <w:tr>
        <w:tc>
          <w:tcPr>
            <w:tcW w:type="dxa" w:w="2376"/>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Evidence collection</w:t>
            </w:r>
          </w:p>
        </w:tc>
        <w:tc>
          <w:tcPr>
            <w:tcW w:type="dxa" w:w="7560"/>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Reads source and deployment artifacts; queries Docker; receives host, OS and network observations.</w:t>
            </w:r>
          </w:p>
        </w:tc>
      </w:tr>
      <w:tr>
        <w:tc>
          <w:tcPr>
            <w:tcW w:type="dxa" w:w="2376"/>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Normalized models</w:t>
            </w:r>
          </w:p>
        </w:tc>
        <w:tc>
          <w:tcPr>
            <w:tcW w:type="dxa" w:w="7560"/>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Converts raw inputs into comparable application intent and runtime reality facts.</w:t>
            </w:r>
          </w:p>
        </w:tc>
      </w:tr>
      <w:tr>
        <w:tc>
          <w:tcPr>
            <w:tcW w:type="dxa" w:w="2376"/>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Correlation engine</w:t>
            </w:r>
          </w:p>
        </w:tc>
        <w:tc>
          <w:tcPr>
            <w:tcW w:type="dxa" w:w="7560"/>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Applies deterministic drift rules and preserves the evidence behind each decision.</w:t>
            </w:r>
          </w:p>
        </w:tc>
      </w:tr>
      <w:tr>
        <w:tc>
          <w:tcPr>
            <w:tcW w:type="dxa" w:w="2376"/>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Risk engine</w:t>
            </w:r>
          </w:p>
        </w:tc>
        <w:tc>
          <w:tcPr>
            <w:tcW w:type="dxa" w:w="7560"/>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Combines severity with exposure, criticality, mismatch, reachability, privilege and controls.</w:t>
            </w:r>
          </w:p>
        </w:tc>
      </w:tr>
      <w:tr>
        <w:tc>
          <w:tcPr>
            <w:tcW w:type="dxa" w:w="2376"/>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Findings workflow</w:t>
            </w:r>
          </w:p>
        </w:tc>
        <w:tc>
          <w:tcPr>
            <w:tcW w:type="dxa" w:w="7560"/>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Supports dashboards, reports, ownership, exceptions, remediation status and re-scans.</w:t>
            </w:r>
          </w:p>
        </w:tc>
      </w:tr>
    </w:tbl>
    <w:p>
      <w:pPr>
        <w:spacing w:after="40" w:before="0"/>
      </w:pPr>
    </w:p>
    <w:p>
      <w:pPr>
        <w:pStyle w:val="Heading1"/>
        <w:keepNext/>
      </w:pPr>
      <w:r>
        <w:rPr>
          <w:rFonts w:ascii="Liberation Sans" w:hAnsi="Liberation Sans"/>
          <w:b/>
          <w:color w:val="000000"/>
          <w:sz w:val="30"/>
        </w:rPr>
        <w:t>Context Aware Risk Logic</w:t>
      </w:r>
    </w:p>
    <w:p>
      <w:pPr>
        <w:keepNext w:val="0"/>
        <w:spacing w:before="0" w:after="120" w:line="269" w:lineRule="auto"/>
      </w:pPr>
      <w:r>
        <w:rPr>
          <w:rFonts w:ascii="Liberation Sans" w:hAnsi="Liberation Sans"/>
          <w:color w:val="000000"/>
        </w:rPr>
        <w:t>The first version should use transparent rules rather than machine learning. A finding receives more weight when the affected asset is important, the service is externally exposed, the vulnerable code is reachable, or the runtime has excessive privileges. Verified controls such as network restrictions or compensating authentication may reduce the final score. CVSS remains an input, but it does not determine priority by itself.</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024"/>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Expected state</w:t>
            </w:r>
          </w:p>
        </w:tc>
        <w:tc>
          <w:tcPr>
            <w:tcW w:type="dxa" w:w="3096"/>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Observed state</w:t>
            </w:r>
          </w:p>
        </w:tc>
        <w:tc>
          <w:tcPr>
            <w:tcW w:type="dxa" w:w="3816"/>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Result</w:t>
            </w:r>
          </w:p>
        </w:tc>
      </w:tr>
      <w:tr>
        <w:tc>
          <w:tcPr>
            <w:tcW w:type="dxa" w:w="3024"/>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Java 21 required</w:t>
            </w:r>
          </w:p>
        </w:tc>
        <w:tc>
          <w:tcPr>
            <w:tcW w:type="dxa" w:w="3096"/>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Java 17 running</w:t>
            </w:r>
          </w:p>
        </w:tc>
        <w:tc>
          <w:tcPr>
            <w:tcW w:type="dxa" w:w="3816"/>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Runtime compatibility and patching risk</w:t>
            </w:r>
          </w:p>
        </w:tc>
      </w:tr>
      <w:tr>
        <w:tc>
          <w:tcPr>
            <w:tcW w:type="dxa" w:w="3024"/>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Database intended to be internal</w:t>
            </w:r>
          </w:p>
        </w:tc>
        <w:tc>
          <w:tcPr>
            <w:tcW w:type="dxa" w:w="3096"/>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Database port publicly reachable</w:t>
            </w:r>
          </w:p>
        </w:tc>
        <w:tc>
          <w:tcPr>
            <w:tcW w:type="dxa" w:w="3816"/>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Network trust-boundary violation</w:t>
            </w:r>
          </w:p>
        </w:tc>
      </w:tr>
      <w:tr>
        <w:tc>
          <w:tcPr>
            <w:tcW w:type="dxa" w:w="3024"/>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Non-root container expected</w:t>
            </w:r>
          </w:p>
        </w:tc>
        <w:tc>
          <w:tcPr>
            <w:tcW w:type="dxa" w:w="3096"/>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Container runs as root</w:t>
            </w:r>
          </w:p>
        </w:tc>
        <w:tc>
          <w:tcPr>
            <w:tcW w:type="dxa" w:w="3816"/>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Excessive runtime privilege</w:t>
            </w:r>
          </w:p>
        </w:tc>
      </w:tr>
      <w:tr>
        <w:tc>
          <w:tcPr>
            <w:tcW w:type="dxa" w:w="3024"/>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Approved image digest</w:t>
            </w:r>
          </w:p>
        </w:tc>
        <w:tc>
          <w:tcPr>
            <w:tcW w:type="dxa" w:w="3096"/>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Different digest running</w:t>
            </w:r>
          </w:p>
        </w:tc>
        <w:tc>
          <w:tcPr>
            <w:tcW w:type="dxa" w:w="3816"/>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Deployment integrity drift</w:t>
            </w:r>
          </w:p>
        </w:tc>
      </w:tr>
      <w:tr>
        <w:tc>
          <w:tcPr>
            <w:tcW w:type="dxa" w:w="3024"/>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Dependency version X declared</w:t>
            </w:r>
          </w:p>
        </w:tc>
        <w:tc>
          <w:tcPr>
            <w:tcW w:type="dxa" w:w="3096"/>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Version Y deployed</w:t>
            </w:r>
          </w:p>
        </w:tc>
        <w:tc>
          <w:tcPr>
            <w:tcW w:type="dxa" w:w="3816"/>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Dependency or SBOM drift</w:t>
            </w:r>
          </w:p>
        </w:tc>
      </w:tr>
    </w:tbl>
    <w:p>
      <w:pPr>
        <w:spacing w:after="40" w:before="0"/>
      </w:pPr>
    </w:p>
    <w:p>
      <w:pPr>
        <w:pStyle w:val="Heading1"/>
        <w:keepNext/>
      </w:pPr>
      <w:r>
        <w:rPr>
          <w:rFonts w:ascii="Liberation Sans" w:hAnsi="Liberation Sans"/>
          <w:b/>
          <w:color w:val="000000"/>
          <w:sz w:val="30"/>
        </w:rPr>
        <w:t>Implemented Scope</w:t>
      </w:r>
    </w:p>
    <w:p>
      <w:pPr>
        <w:keepNext w:val="0"/>
        <w:spacing w:before="0" w:after="120" w:line="269" w:lineRule="auto"/>
      </w:pPr>
      <w:r>
        <w:rPr>
          <w:rFonts w:ascii="Liberation Sans" w:hAnsi="Liberation Sans"/>
          <w:color w:val="000000"/>
        </w:rPr>
        <w:t>The current application implements the correlation workflow with focused evidence sources and explainable rules. It avoids automated remediation and machine learning so every finding can be traced to an explicit comparison.</w:t>
      </w:r>
    </w:p>
    <w:p>
      <w:pPr>
        <w:pStyle w:val="ListNumber"/>
        <w:spacing w:before="0" w:after="60" w:line="259" w:lineRule="auto"/>
      </w:pPr>
      <w:r>
        <w:rPr>
          <w:rFonts w:ascii="Liberation Sans" w:hAnsi="Liberation Sans"/>
          <w:color w:val="000000"/>
          <w:sz w:val="21"/>
        </w:rPr>
        <w:t>Register application baselines with ownership, criticality and approved configuration.</w:t>
      </w:r>
    </w:p>
    <w:p>
      <w:pPr>
        <w:pStyle w:val="ListNumber"/>
        <w:spacing w:before="0" w:after="60" w:line="259" w:lineRule="auto"/>
      </w:pPr>
      <w:r>
        <w:rPr>
          <w:rFonts w:ascii="Liberation Sans" w:hAnsi="Liberation Sans"/>
          <w:color w:val="000000"/>
          <w:sz w:val="21"/>
        </w:rPr>
        <w:t>Inspect local repositories for Maven, Gradle, Dockerfile and Docker Compose evidence.</w:t>
      </w:r>
    </w:p>
    <w:p>
      <w:pPr>
        <w:pStyle w:val="ListNumber"/>
        <w:spacing w:before="0" w:after="60" w:line="259" w:lineRule="auto"/>
      </w:pPr>
      <w:r>
        <w:rPr>
          <w:rFonts w:ascii="Liberation Sans" w:hAnsi="Liberation Sans"/>
          <w:color w:val="000000"/>
          <w:sz w:val="21"/>
        </w:rPr>
        <w:t>Accept runtime observations through a browser form or JSON API.</w:t>
      </w:r>
    </w:p>
    <w:p>
      <w:pPr>
        <w:pStyle w:val="ListNumber"/>
        <w:spacing w:before="0" w:after="60" w:line="259" w:lineRule="auto"/>
      </w:pPr>
      <w:r>
        <w:rPr>
          <w:rFonts w:ascii="Liberation Sans" w:hAnsi="Liberation Sans"/>
          <w:color w:val="000000"/>
          <w:sz w:val="21"/>
        </w:rPr>
        <w:t>Detect Java, dependency, exposure, container-user, Docker-socket and image-integrity drift.</w:t>
      </w:r>
    </w:p>
    <w:p>
      <w:pPr>
        <w:pStyle w:val="ListNumber"/>
        <w:spacing w:before="0" w:after="60" w:line="259" w:lineRule="auto"/>
      </w:pPr>
      <w:r>
        <w:rPr>
          <w:rFonts w:ascii="Liberation Sans" w:hAnsi="Liberation Sans"/>
          <w:color w:val="000000"/>
          <w:sz w:val="21"/>
        </w:rPr>
        <w:t>Score findings using rule risk, application criticality, Internet exposure and exploit context.</w:t>
      </w:r>
    </w:p>
    <w:p>
      <w:pPr>
        <w:pStyle w:val="ListNumber"/>
        <w:spacing w:before="0" w:after="60" w:line="259" w:lineRule="auto"/>
      </w:pPr>
      <w:r>
        <w:rPr>
          <w:rFonts w:ascii="Liberation Sans" w:hAnsi="Liberation Sans"/>
          <w:color w:val="000000"/>
          <w:sz w:val="21"/>
        </w:rPr>
        <w:t>Display evidence, expected and observed states, remediation, workflow status and scan history.</w:t>
      </w:r>
    </w:p>
    <w:p>
      <w:pPr>
        <w:pStyle w:val="ListNumber"/>
        <w:spacing w:before="0" w:after="60" w:line="259" w:lineRule="auto"/>
      </w:pPr>
      <w:r>
        <w:rPr>
          <w:rFonts w:ascii="Liberation Sans" w:hAnsi="Liberation Sans"/>
          <w:color w:val="000000"/>
          <w:sz w:val="21"/>
        </w:rPr>
        <w:t>Persist data in H2 and run locally or through Docker Compose.</w:t>
      </w:r>
    </w:p>
    <w:p>
      <w:pPr>
        <w:pStyle w:val="Heading1"/>
        <w:keepNext/>
      </w:pPr>
      <w:r>
        <w:rPr>
          <w:rFonts w:ascii="Liberation Sans" w:hAnsi="Liberation Sans"/>
          <w:b/>
          <w:color w:val="000000"/>
          <w:sz w:val="30"/>
        </w:rPr>
        <w:t>Security Design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088"/>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Boundary</w:t>
            </w:r>
          </w:p>
        </w:tc>
        <w:tc>
          <w:tcPr>
            <w:tcW w:type="dxa" w:w="7848"/>
            <w:shd w:fill="123F4A"/>
            <w:tcMar>
              <w:top w:w="110" w:type="dxa"/>
              <w:start w:w="130" w:type="dxa"/>
              <w:bottom w:w="110" w:type="dxa"/>
              <w:end w:w="130" w:type="dxa"/>
            </w:tcMar>
            <w:vAlign w:val="center"/>
          </w:tcPr>
          <w:p>
            <w:pPr>
              <w:spacing w:before="0" w:after="0" w:line="240" w:lineRule="auto"/>
              <w:jc w:val="left"/>
            </w:pPr>
            <w:r>
              <w:rPr>
                <w:rFonts w:ascii="Liberation Sans" w:hAnsi="Liberation Sans"/>
                <w:b/>
                <w:color w:val="FFFFFF"/>
                <w:sz w:val="19"/>
              </w:rPr>
              <w:t>Implemented control</w:t>
            </w:r>
          </w:p>
        </w:tc>
      </w:tr>
      <w:tr>
        <w:tc>
          <w:tcPr>
            <w:tcW w:type="dxa" w:w="2088"/>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Repository access</w:t>
            </w:r>
          </w:p>
        </w:tc>
        <w:tc>
          <w:tcPr>
            <w:tcW w:type="dxa" w:w="7848"/>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Read only supported configuration files and never modify the target repository.</w:t>
            </w:r>
          </w:p>
        </w:tc>
      </w:tr>
      <w:tr>
        <w:tc>
          <w:tcPr>
            <w:tcW w:type="dxa" w:w="2088"/>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Path handling</w:t>
            </w:r>
          </w:p>
        </w:tc>
        <w:tc>
          <w:tcPr>
            <w:tcW w:type="dxa" w:w="7848"/>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Normalize and validate repository paths before inspection.</w:t>
            </w:r>
          </w:p>
        </w:tc>
      </w:tr>
      <w:tr>
        <w:tc>
          <w:tcPr>
            <w:tcW w:type="dxa" w:w="2088"/>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File scope</w:t>
            </w:r>
          </w:p>
        </w:tc>
        <w:tc>
          <w:tcPr>
            <w:tcW w:type="dxa" w:w="7848"/>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Ignore generated directories and reject configuration files larger than one megabyte.</w:t>
            </w:r>
          </w:p>
        </w:tc>
      </w:tr>
      <w:tr>
        <w:tc>
          <w:tcPr>
            <w:tcW w:type="dxa" w:w="2088"/>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Runtime data</w:t>
            </w:r>
          </w:p>
        </w:tc>
        <w:tc>
          <w:tcPr>
            <w:tcW w:type="dxa" w:w="7848"/>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Record the evidence source and keep repository findings separate from live-host claims.</w:t>
            </w:r>
          </w:p>
        </w:tc>
      </w:tr>
      <w:tr>
        <w:tc>
          <w:tcPr>
            <w:tcW w:type="dxa" w:w="2088"/>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Remediation</w:t>
            </w:r>
          </w:p>
        </w:tc>
        <w:tc>
          <w:tcPr>
            <w:tcW w:type="dxa" w:w="7848"/>
            <w:shd w:fill="FFFFFF"/>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Provide guidance and workflow status without changing the scanned system.</w:t>
            </w:r>
          </w:p>
        </w:tc>
      </w:tr>
      <w:tr>
        <w:tc>
          <w:tcPr>
            <w:tcW w:type="dxa" w:w="2088"/>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Deployment</w:t>
            </w:r>
          </w:p>
        </w:tc>
        <w:tc>
          <w:tcPr>
            <w:tcW w:type="dxa" w:w="7848"/>
            <w:shd w:fill="F3F7F8"/>
            <w:tcMar>
              <w:top w:w="110" w:type="dxa"/>
              <w:start w:w="130" w:type="dxa"/>
              <w:bottom w:w="110" w:type="dxa"/>
              <w:end w:w="130" w:type="dxa"/>
            </w:tcMar>
            <w:vAlign w:val="center"/>
          </w:tcPr>
          <w:p>
            <w:pPr>
              <w:spacing w:before="0" w:after="0" w:line="252" w:lineRule="auto"/>
            </w:pPr>
            <w:r>
              <w:rPr>
                <w:rFonts w:ascii="Liberation Sans" w:hAnsi="Liberation Sans"/>
                <w:color w:val="000000"/>
                <w:sz w:val="18"/>
              </w:rPr>
              <w:t>Run the application container as a non-root user and mount scanned repositories read only.</w:t>
            </w:r>
          </w:p>
        </w:tc>
      </w:tr>
    </w:tbl>
    <w:p>
      <w:pPr>
        <w:spacing w:after="40" w:before="0"/>
      </w:pPr>
    </w:p>
    <w:p>
      <w:pPr>
        <w:pStyle w:val="Heading1"/>
        <w:keepNext/>
      </w:pPr>
      <w:r>
        <w:rPr>
          <w:rFonts w:ascii="Liberation Sans" w:hAnsi="Liberation Sans"/>
          <w:b/>
          <w:color w:val="000000"/>
          <w:sz w:val="30"/>
        </w:rPr>
        <w:t>Evaluation Plan</w:t>
      </w:r>
    </w:p>
    <w:p>
      <w:pPr>
        <w:keepNext w:val="0"/>
        <w:spacing w:before="0" w:after="120" w:line="269" w:lineRule="auto"/>
      </w:pPr>
      <w:r>
        <w:rPr>
          <w:rFonts w:ascii="Liberation Sans" w:hAnsi="Liberation Sans"/>
          <w:color w:val="000000"/>
        </w:rPr>
        <w:t>Evaluation should use controlled deployments with seeded drift cases and a known ground truth. Each case should represent a realistic mismatch, such as a publicly exposed internal service, an unapproved image digest, an incorrect runtime version, or an unnecessary privilege.</w:t>
      </w:r>
    </w:p>
    <w:p>
      <w:pPr>
        <w:pStyle w:val="ListBullet"/>
        <w:spacing w:before="0" w:after="60" w:line="259" w:lineRule="auto"/>
      </w:pPr>
      <w:r>
        <w:rPr>
          <w:rFonts w:ascii="Liberation Sans" w:hAnsi="Liberation Sans"/>
          <w:color w:val="000000"/>
          <w:sz w:val="21"/>
        </w:rPr>
        <w:t>Measure precision, recall and false-positive rate for each drift category.</w:t>
      </w:r>
    </w:p>
    <w:p>
      <w:pPr>
        <w:pStyle w:val="ListBullet"/>
        <w:spacing w:before="0" w:after="60" w:line="259" w:lineRule="auto"/>
      </w:pPr>
      <w:r>
        <w:rPr>
          <w:rFonts w:ascii="Liberation Sans" w:hAnsi="Liberation Sans"/>
          <w:color w:val="000000"/>
          <w:sz w:val="21"/>
        </w:rPr>
        <w:t>Compare alert quality before and after application context is added.</w:t>
      </w:r>
    </w:p>
    <w:p>
      <w:pPr>
        <w:pStyle w:val="ListBullet"/>
        <w:spacing w:before="0" w:after="60" w:line="259" w:lineRule="auto"/>
      </w:pPr>
      <w:r>
        <w:rPr>
          <w:rFonts w:ascii="Liberation Sans" w:hAnsi="Liberation Sans"/>
          <w:color w:val="000000"/>
          <w:sz w:val="21"/>
        </w:rPr>
        <w:t>Measure dependency matching and network exposure classification accuracy.</w:t>
      </w:r>
    </w:p>
    <w:p>
      <w:pPr>
        <w:pStyle w:val="ListBullet"/>
        <w:spacing w:before="0" w:after="140" w:line="259" w:lineRule="auto"/>
      </w:pPr>
      <w:r>
        <w:rPr>
          <w:rFonts w:ascii="Liberation Sans" w:hAnsi="Liberation Sans"/>
          <w:color w:val="000000"/>
          <w:sz w:val="21"/>
        </w:rPr>
        <w:t>Record scan duration, agent overhead, stale-evidence behavior and re-scan consistency.</w:t>
      </w:r>
    </w:p>
    <w:p>
      <w:pPr>
        <w:pStyle w:val="Heading1"/>
        <w:keepNext/>
      </w:pPr>
      <w:r>
        <w:rPr>
          <w:rFonts w:ascii="Liberation Sans" w:hAnsi="Liberation Sans"/>
          <w:b/>
          <w:color w:val="000000"/>
          <w:sz w:val="30"/>
        </w:rPr>
        <w:t>Current Result</w:t>
      </w:r>
    </w:p>
    <w:p>
      <w:pPr>
        <w:keepNext w:val="0"/>
        <w:spacing w:before="0" w:after="120" w:line="269" w:lineRule="auto"/>
      </w:pPr>
      <w:r>
        <w:rPr>
          <w:rFonts w:ascii="Liberation Sans" w:hAnsi="Liberation Sans"/>
          <w:color w:val="000000"/>
        </w:rPr>
        <w:t>CodeShield now scans real local repositories, converts supported configuration into comparable evidence, and applies the same drift and risk engine used for submitted runtime observations. Automated tests cover repository extraction, rule detection, risk scoring, web pages and JSON endpoints. The accompanying literature review workbook provides the research foundation for container security, software supply-chain risk, vulnerability prioritization, SBOM analysis, runtime monitoring and configuration drift.</w:t>
      </w:r>
    </w:p>
    <w:p>
      <w:pPr>
        <w:pStyle w:val="Heading1"/>
        <w:keepNext/>
      </w:pPr>
      <w:r>
        <w:rPr>
          <w:rFonts w:ascii="Liberation Sans" w:hAnsi="Liberation Sans"/>
          <w:b/>
          <w:color w:val="000000"/>
          <w:sz w:val="30"/>
        </w:rPr>
        <w:t>Project Deliverables</w:t>
      </w:r>
    </w:p>
    <w:p>
      <w:pPr>
        <w:pStyle w:val="ListBullet"/>
        <w:spacing w:before="0" w:after="60" w:line="259" w:lineRule="auto"/>
      </w:pPr>
      <w:r>
        <w:rPr>
          <w:rFonts w:ascii="Liberation Sans" w:hAnsi="Liberation Sans"/>
          <w:color w:val="000000"/>
          <w:sz w:val="21"/>
        </w:rPr>
        <w:t>Runnable Spring Boot source code with web interface, REST API, database and Docker support.</w:t>
      </w:r>
    </w:p>
    <w:p>
      <w:pPr>
        <w:pStyle w:val="ListBullet"/>
        <w:spacing w:before="0" w:after="60" w:line="259" w:lineRule="auto"/>
      </w:pPr>
      <w:r>
        <w:rPr>
          <w:rFonts w:ascii="Liberation Sans" w:hAnsi="Liberation Sans"/>
          <w:color w:val="000000"/>
          <w:sz w:val="21"/>
        </w:rPr>
        <w:t>CodeShield System Architecture in PNG and editable SVG formats.</w:t>
      </w:r>
    </w:p>
    <w:p>
      <w:pPr>
        <w:pStyle w:val="ListBullet"/>
        <w:spacing w:before="0" w:after="60" w:line="259" w:lineRule="auto"/>
      </w:pPr>
      <w:r>
        <w:rPr>
          <w:rFonts w:ascii="Liberation Sans" w:hAnsi="Liberation Sans"/>
          <w:color w:val="000000"/>
          <w:sz w:val="21"/>
        </w:rPr>
        <w:t>CodeShield Literature Review with ten recent and verified papers in Excel format.</w:t>
      </w:r>
    </w:p>
    <w:p>
      <w:pPr>
        <w:pStyle w:val="ListBullet"/>
        <w:spacing w:before="0" w:after="60" w:line="259" w:lineRule="auto"/>
      </w:pPr>
      <w:r>
        <w:rPr>
          <w:rFonts w:ascii="Liberation Sans" w:hAnsi="Liberation Sans"/>
          <w:color w:val="000000"/>
          <w:sz w:val="21"/>
        </w:rPr>
        <w:t>CodeShield README with detailed architecture, modules, security boundaries and implementation scope.</w:t>
      </w:r>
    </w:p>
    <w:sectPr w:rsidR="00FC693F" w:rsidRPr="0006063C" w:rsidSect="00034616">
      <w:footerReference w:type="default" r:id="rId9"/>
      <w:pgSz w:w="12240" w:h="15840"/>
      <w:pgMar w:top="979"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spacing w:before="0" w:after="0" w:line="240" w:lineRule="auto"/>
    </w:pPr>
    <w:r>
      <w:rPr>
        <w:rFonts w:ascii="Liberation Sans" w:hAnsi="Liberation Sans"/>
        <w:color w:val="5E6C70"/>
        <w:sz w:val="17"/>
      </w:rPr>
      <w:t>CodeShield Project Report</w:t>
    </w:r>
    <w:r>
      <w:rPr>
        <w:rFonts w:ascii="Liberation Sans" w:hAnsi="Liberation Sans"/>
        <w:color w:val="5E6C70"/>
        <w:sz w:val="17"/>
      </w:rPr>
      <w:tab/>
    </w:r>
    <w:r>
      <w:rPr>
        <w:rFonts w:ascii="Liberation Sans" w:hAnsi="Liberation Sans"/>
        <w:color w:val="5E6C70"/>
        <w:sz w:val="17"/>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Liberation Sans" w:hAnsi="Liberation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000000"/>
      <w:sz w:val="21"/>
    </w:rPr>
  </w:style>
  <w:style w:type="paragraph" w:styleId="ListBullet2">
    <w:name w:val="List Bullet 2"/>
    <w:basedOn w:val="Normal"/>
    <w:uiPriority w:val="99"/>
    <w:unhideWhenUsed/>
    <w:rsid w:val="00326F90"/>
    <w:pPr>
      <w:numPr>
        <w:numId w:val="2"/>
      </w:numPr>
      <w:contextualSpacing/>
    </w:pPr>
    <w:rPr>
      <w:rFonts w:ascii="Liberation Sans" w:hAnsi="Liberation Sans"/>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CodeShield Context Aware SecOps Platform for Detecting Application Infrastructure Security Drift</dc:title>
  <dc:subject>Short project report</dc:subject>
  <dc:creator/>
  <cp:keywords>CodeShield, SecOps, security drift, Docker, Spring Boot, vulnerability management</cp:keywords>
  <dc:description>generated by python-docx</dc:description>
  <cp:lastModifiedBy/>
  <cp:revision>1</cp:revision>
  <dcterms:created xsi:type="dcterms:W3CDTF">2013-12-23T23:15:00Z</dcterms:created>
  <dcterms:modified xsi:type="dcterms:W3CDTF">2013-12-23T23:15:00Z</dcterms:modified>
  <cp:category/>
</cp:coreProperties>
</file>