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FA34C0">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FA34C0">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FA34C0"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FA34C0">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17F2708F" w14:textId="233F25F7" w:rsidR="00BF27B0" w:rsidRDefault="00BF27B0" w:rsidP="006675D8">
      <w:pPr>
        <w:spacing w:line="360" w:lineRule="auto"/>
        <w:ind w:left="-567" w:right="951"/>
        <w:jc w:val="both"/>
        <w:rPr>
          <w:b/>
          <w:bCs/>
          <w:color w:val="000000" w:themeColor="text1"/>
          <w:sz w:val="34"/>
          <w:szCs w:val="34"/>
        </w:rPr>
      </w:pP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D6B93AE"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730D2C8F" w14:textId="77777777" w:rsidR="00674EC1" w:rsidRPr="00CF4B67" w:rsidRDefault="00674EC1" w:rsidP="00674EC1">
      <w:pPr>
        <w:pStyle w:val="Heading1"/>
        <w:spacing w:before="195" w:line="240" w:lineRule="auto"/>
        <w:ind w:left="-567"/>
        <w:jc w:val="both"/>
        <w:rPr>
          <w:b w:val="0"/>
          <w:bCs w:val="0"/>
          <w:sz w:val="36"/>
          <w:szCs w:val="36"/>
        </w:rPr>
      </w:pPr>
    </w:p>
    <w:p w14:paraId="7557430B" w14:textId="77777777" w:rsidR="00321AC7" w:rsidRDefault="00321AC7" w:rsidP="00674EC1">
      <w:pPr>
        <w:pStyle w:val="BodyText"/>
        <w:spacing w:before="8"/>
        <w:rPr>
          <w:b/>
          <w:sz w:val="66"/>
        </w:rPr>
      </w:pPr>
    </w:p>
    <w:p w14:paraId="6A7420B6" w14:textId="77777777" w:rsidR="00FE6888" w:rsidRDefault="00FE6888">
      <w:pPr>
        <w:spacing w:line="254" w:lineRule="auto"/>
        <w:jc w:val="both"/>
        <w:sectPr w:rsidR="00FE6888" w:rsidSect="00674EC1">
          <w:headerReference w:type="default" r:id="rId25"/>
          <w:pgSz w:w="11910" w:h="16840"/>
          <w:pgMar w:top="706" w:right="0" w:bottom="1281" w:left="1321" w:header="850" w:footer="1100" w:gutter="0"/>
          <w:cols w:space="720"/>
          <w:docGrid w:linePitch="299"/>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rsidSect="00BF27B0">
          <w:headerReference w:type="default" r:id="rId26"/>
          <w:pgSz w:w="11910" w:h="16840"/>
          <w:pgMar w:top="1700" w:right="0" w:bottom="1280" w:left="1320" w:header="2098" w:footer="1099" w:gutter="0"/>
          <w:cols w:space="720"/>
          <w:docGrid w:linePitch="299"/>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7"/>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8"/>
          <w:footerReference w:type="default" r:id="rId29"/>
          <w:pgSz w:w="11910" w:h="16840"/>
          <w:pgMar w:top="1580" w:right="0" w:bottom="280" w:left="1320" w:header="0" w:footer="0" w:gutter="0"/>
          <w:cols w:space="720"/>
        </w:sectPr>
      </w:pPr>
      <w:r>
        <w:rPr>
          <w:b/>
          <w:sz w:val="24"/>
        </w:rPr>
        <w:t>Student ID4:</w:t>
      </w:r>
      <w:r w:rsidR="00321B71">
        <w:rPr>
          <w:b/>
          <w:sz w:val="24"/>
        </w:rPr>
        <w:t xml:space="preserve"> 19102004</w:t>
      </w: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30"/>
      <w:footerReference w:type="default" r:id="rId31"/>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0DD5E" w14:textId="77777777" w:rsidR="00FA34C0" w:rsidRDefault="00FA34C0">
      <w:r>
        <w:separator/>
      </w:r>
    </w:p>
  </w:endnote>
  <w:endnote w:type="continuationSeparator" w:id="0">
    <w:p w14:paraId="63A99B48" w14:textId="77777777" w:rsidR="00FA34C0" w:rsidRDefault="00FA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ABD83" w14:textId="77777777" w:rsidR="00FA34C0" w:rsidRDefault="00FA34C0">
      <w:r>
        <w:separator/>
      </w:r>
    </w:p>
  </w:footnote>
  <w:footnote w:type="continuationSeparator" w:id="0">
    <w:p w14:paraId="10A6355B" w14:textId="77777777" w:rsidR="00FA34C0" w:rsidRDefault="00FA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16A044E9">
              <wp:simplePos x="0" y="0"/>
              <wp:positionH relativeFrom="page">
                <wp:posOffset>568325</wp:posOffset>
              </wp:positionH>
              <wp:positionV relativeFrom="page">
                <wp:posOffset>962660</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6" type="#_x0000_t202" style="position:absolute;margin-left:44.75pt;margin-top:75.8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843F5"/>
    <w:rsid w:val="00321AC7"/>
    <w:rsid w:val="00321B71"/>
    <w:rsid w:val="00326A6F"/>
    <w:rsid w:val="0035124E"/>
    <w:rsid w:val="00352E2D"/>
    <w:rsid w:val="0037406A"/>
    <w:rsid w:val="003B7C4C"/>
    <w:rsid w:val="003D3B02"/>
    <w:rsid w:val="003F7240"/>
    <w:rsid w:val="003F793F"/>
    <w:rsid w:val="00433C3D"/>
    <w:rsid w:val="00460ED5"/>
    <w:rsid w:val="00482229"/>
    <w:rsid w:val="004D0117"/>
    <w:rsid w:val="0053375B"/>
    <w:rsid w:val="00533D1B"/>
    <w:rsid w:val="00583DEC"/>
    <w:rsid w:val="005D18CE"/>
    <w:rsid w:val="005D76FD"/>
    <w:rsid w:val="00613D33"/>
    <w:rsid w:val="00661EA7"/>
    <w:rsid w:val="006675D8"/>
    <w:rsid w:val="00674EC1"/>
    <w:rsid w:val="006A16B9"/>
    <w:rsid w:val="006A33E6"/>
    <w:rsid w:val="006A5EB4"/>
    <w:rsid w:val="006A6DBE"/>
    <w:rsid w:val="006D27E7"/>
    <w:rsid w:val="007366C7"/>
    <w:rsid w:val="007D088C"/>
    <w:rsid w:val="007D3C4A"/>
    <w:rsid w:val="00851E4C"/>
    <w:rsid w:val="008A7C24"/>
    <w:rsid w:val="00925F32"/>
    <w:rsid w:val="0094711C"/>
    <w:rsid w:val="0097186C"/>
    <w:rsid w:val="009E7253"/>
    <w:rsid w:val="00A31C6A"/>
    <w:rsid w:val="00A6781B"/>
    <w:rsid w:val="00AB7B36"/>
    <w:rsid w:val="00AD3A16"/>
    <w:rsid w:val="00AE55BC"/>
    <w:rsid w:val="00B40BB8"/>
    <w:rsid w:val="00B85229"/>
    <w:rsid w:val="00BF27B0"/>
    <w:rsid w:val="00C113F3"/>
    <w:rsid w:val="00CD69B8"/>
    <w:rsid w:val="00CE41CE"/>
    <w:rsid w:val="00CF4B67"/>
    <w:rsid w:val="00D52A54"/>
    <w:rsid w:val="00D83584"/>
    <w:rsid w:val="00DB0371"/>
    <w:rsid w:val="00DE39E2"/>
    <w:rsid w:val="00DE55D4"/>
    <w:rsid w:val="00E10729"/>
    <w:rsid w:val="00E33A5E"/>
    <w:rsid w:val="00E9073E"/>
    <w:rsid w:val="00EE3B72"/>
    <w:rsid w:val="00F1087A"/>
    <w:rsid w:val="00F230EE"/>
    <w:rsid w:val="00F85775"/>
    <w:rsid w:val="00FA34C0"/>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header" Target="header16.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5.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22</Pages>
  <Words>2092</Words>
  <Characters>11929</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24</cp:revision>
  <cp:lastPrinted>2020-11-23T15:53:00Z</cp:lastPrinted>
  <dcterms:created xsi:type="dcterms:W3CDTF">2020-11-23T15:53:00Z</dcterms:created>
  <dcterms:modified xsi:type="dcterms:W3CDTF">2020-12-15T21:20:00Z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