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44B83D9F"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sidR="00321B71">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proofErr w:type="gramEnd"/>
      <w:r w:rsidR="00321B71">
        <w:rPr>
          <w:b/>
          <w:i/>
          <w:sz w:val="24"/>
        </w:rPr>
        <w:t>19102004)</w:t>
      </w:r>
      <w:r w:rsidR="00321B71">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D55DCB">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B85229">
              <w:t>1</w:t>
            </w:r>
          </w:hyperlink>
        </w:p>
        <w:p w14:paraId="2F17F42D" w14:textId="75EC4AF1" w:rsidR="00FE6888" w:rsidRDefault="00D55DCB">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D55DCB"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D55DCB">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4"/>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5"/>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 xml:space="preserve">Chapter </w:t>
      </w:r>
      <w:r w:rsidRPr="003F7240">
        <w:rPr>
          <w:color w:val="7F7F7F" w:themeColor="text1" w:themeTint="80"/>
        </w:rPr>
        <w:t>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w:t>
      </w:r>
      <w:r w:rsidRPr="001D2078">
        <w:t>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w:t>
      </w:r>
      <w:r w:rsidRPr="0026428D">
        <w:rPr>
          <w:color w:val="000000" w:themeColor="text1"/>
          <w:sz w:val="24"/>
          <w:szCs w:val="24"/>
        </w:rPr>
        <w:t>2</w:t>
      </w:r>
      <w:r w:rsidRPr="0026428D">
        <w:rPr>
          <w:color w:val="000000" w:themeColor="text1"/>
          <w:sz w:val="24"/>
          <w:szCs w:val="24"/>
        </w:rPr>
        <w:t xml:space="preserve">: </w:t>
      </w:r>
      <w:r w:rsidRPr="0026428D">
        <w:rPr>
          <w:color w:val="000000" w:themeColor="text1"/>
          <w:sz w:val="24"/>
          <w:szCs w:val="24"/>
        </w:rPr>
        <w:t>Data f</w:t>
      </w:r>
      <w:r w:rsidRPr="0026428D">
        <w:rPr>
          <w:color w:val="000000" w:themeColor="text1"/>
          <w:sz w:val="24"/>
          <w:szCs w:val="24"/>
        </w:rPr>
        <w:t xml:space="preserve">low </w:t>
      </w:r>
      <w:r w:rsidRPr="0026428D">
        <w:rPr>
          <w:color w:val="000000" w:themeColor="text1"/>
          <w:sz w:val="24"/>
          <w:szCs w:val="24"/>
        </w:rPr>
        <w:t>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4"/>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77777777" w:rsidR="00540EC1" w:rsidRDefault="00540EC1" w:rsidP="00674EC1">
      <w:pPr>
        <w:pStyle w:val="Heading1"/>
        <w:spacing w:before="195" w:line="240" w:lineRule="auto"/>
        <w:ind w:left="-567"/>
        <w:jc w:val="both"/>
        <w:rPr>
          <w:b w:val="0"/>
          <w:bCs w:val="0"/>
          <w:sz w:val="36"/>
          <w:szCs w:val="36"/>
        </w:rPr>
      </w:pP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77777777" w:rsidR="00FE6888" w:rsidRDefault="00540EC1" w:rsidP="00540EC1">
      <w:pPr>
        <w:spacing w:line="254" w:lineRule="auto"/>
        <w:ind w:left="-567" w:right="666"/>
        <w:jc w:val="both"/>
      </w:pPr>
      <w:r>
        <w:rPr>
          <w:noProof/>
        </w:rPr>
        <w:drawing>
          <wp:inline distT="0" distB="0" distL="0" distR="0" wp14:anchorId="4EC9032D" wp14:editId="4C6DC40A">
            <wp:extent cx="6724015" cy="3301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6724015" cy="3301365"/>
                    </a:xfrm>
                    <a:prstGeom prst="rect">
                      <a:avLst/>
                    </a:prstGeom>
                  </pic:spPr>
                </pic:pic>
              </a:graphicData>
            </a:graphic>
          </wp:inline>
        </w:drawing>
      </w:r>
    </w:p>
    <w:p w14:paraId="694859F9" w14:textId="77777777" w:rsidR="00540EC1" w:rsidRDefault="00540EC1" w:rsidP="00540EC1">
      <w:pPr>
        <w:spacing w:line="254" w:lineRule="auto"/>
        <w:ind w:left="-567" w:right="666"/>
        <w:jc w:val="both"/>
      </w:pPr>
    </w:p>
    <w:p w14:paraId="69FC0DAD"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6"/>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7"/>
          <w:footerReference w:type="default" r:id="rId28"/>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F7649" w14:textId="77777777" w:rsidR="00D55DCB" w:rsidRDefault="00D55DCB">
      <w:r>
        <w:separator/>
      </w:r>
    </w:p>
  </w:endnote>
  <w:endnote w:type="continuationSeparator" w:id="0">
    <w:p w14:paraId="15D9D3C8" w14:textId="77777777" w:rsidR="00D55DCB" w:rsidRDefault="00D55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D75A7" w14:textId="77777777" w:rsidR="00D55DCB" w:rsidRDefault="00D55DCB">
      <w:r>
        <w:separator/>
      </w:r>
    </w:p>
  </w:footnote>
  <w:footnote w:type="continuationSeparator" w:id="0">
    <w:p w14:paraId="4E1B7CA3" w14:textId="77777777" w:rsidR="00D55DCB" w:rsidRDefault="00D55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26428D"/>
    <w:rsid w:val="002843F5"/>
    <w:rsid w:val="00321AC7"/>
    <w:rsid w:val="00321B71"/>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D27E7"/>
    <w:rsid w:val="007366C7"/>
    <w:rsid w:val="007849A4"/>
    <w:rsid w:val="007D088C"/>
    <w:rsid w:val="007D3C4A"/>
    <w:rsid w:val="007D4CB0"/>
    <w:rsid w:val="007E2D5A"/>
    <w:rsid w:val="00851E4C"/>
    <w:rsid w:val="008A7C24"/>
    <w:rsid w:val="00925F32"/>
    <w:rsid w:val="0094711C"/>
    <w:rsid w:val="0097186C"/>
    <w:rsid w:val="009E7253"/>
    <w:rsid w:val="00A31C6A"/>
    <w:rsid w:val="00A6781B"/>
    <w:rsid w:val="00AB7B36"/>
    <w:rsid w:val="00AD3A16"/>
    <w:rsid w:val="00AD542E"/>
    <w:rsid w:val="00AE55BC"/>
    <w:rsid w:val="00B40BB8"/>
    <w:rsid w:val="00B85229"/>
    <w:rsid w:val="00BF27B0"/>
    <w:rsid w:val="00C113F3"/>
    <w:rsid w:val="00CD69B8"/>
    <w:rsid w:val="00CE41CE"/>
    <w:rsid w:val="00CF4B67"/>
    <w:rsid w:val="00D52A54"/>
    <w:rsid w:val="00D55DCB"/>
    <w:rsid w:val="00D83584"/>
    <w:rsid w:val="00DB0371"/>
    <w:rsid w:val="00DE39E2"/>
    <w:rsid w:val="00DE55D4"/>
    <w:rsid w:val="00E10729"/>
    <w:rsid w:val="00E33A5E"/>
    <w:rsid w:val="00E9073E"/>
    <w:rsid w:val="00EE3B72"/>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4.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20</Pages>
  <Words>2109</Words>
  <Characters>12025</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30</cp:revision>
  <cp:lastPrinted>2020-11-23T15:53:00Z</cp:lastPrinted>
  <dcterms:created xsi:type="dcterms:W3CDTF">2020-11-23T15:53:00Z</dcterms:created>
  <dcterms:modified xsi:type="dcterms:W3CDTF">2020-12-15T22:23:00Z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