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Default="00E2607E" w:rsidP="00E2607E">
      <w:pPr>
        <w:jc w:val="center"/>
        <w:rPr>
          <w:rFonts w:ascii="Arial" w:hAnsi="Arial" w:cs="Arial"/>
        </w:rPr>
      </w:pPr>
    </w:p>
    <w:p w:rsidR="00E2607E" w:rsidRPr="00E2607E" w:rsidRDefault="00E2607E" w:rsidP="00E2607E">
      <w:pPr>
        <w:jc w:val="center"/>
        <w:rPr>
          <w:rFonts w:ascii="Arial" w:hAnsi="Arial" w:cs="Arial"/>
          <w:b/>
        </w:rPr>
      </w:pPr>
    </w:p>
    <w:p w:rsidR="004B51B7" w:rsidRPr="00E2607E" w:rsidRDefault="004B51B7" w:rsidP="00E2607E">
      <w:pPr>
        <w:jc w:val="center"/>
        <w:rPr>
          <w:rFonts w:ascii="Arial" w:hAnsi="Arial" w:cs="Arial"/>
          <w:b/>
        </w:rPr>
      </w:pPr>
      <w:r w:rsidRPr="00E2607E">
        <w:rPr>
          <w:rFonts w:ascii="Arial" w:hAnsi="Arial" w:cs="Arial"/>
          <w:b/>
        </w:rPr>
        <w:t>STEAMPULSE</w:t>
      </w:r>
    </w:p>
    <w:p w:rsidR="00774F16" w:rsidRPr="00E2607E" w:rsidRDefault="00E2607E" w:rsidP="00E2607E">
      <w:pPr>
        <w:jc w:val="center"/>
        <w:rPr>
          <w:rFonts w:ascii="Arial" w:hAnsi="Arial" w:cs="Arial"/>
          <w:b/>
        </w:rPr>
      </w:pPr>
      <w:r w:rsidRPr="00E2607E">
        <w:rPr>
          <w:rFonts w:ascii="Arial" w:hAnsi="Arial" w:cs="Arial"/>
          <w:b/>
        </w:rPr>
        <w:t>Propuesta de Dominio</w:t>
      </w:r>
    </w:p>
    <w:p w:rsidR="004B51B7" w:rsidRPr="00E2607E" w:rsidRDefault="004B51B7" w:rsidP="00E2607E">
      <w:pPr>
        <w:jc w:val="center"/>
        <w:rPr>
          <w:rFonts w:ascii="Arial" w:hAnsi="Arial" w:cs="Arial"/>
          <w:b/>
        </w:rPr>
      </w:pPr>
      <w:r w:rsidRPr="00E2607E">
        <w:rPr>
          <w:rFonts w:ascii="Arial" w:hAnsi="Arial" w:cs="Arial"/>
          <w:b/>
        </w:rPr>
        <w:t xml:space="preserve">Bases de Datos </w:t>
      </w:r>
      <w:proofErr w:type="gramStart"/>
      <w:r w:rsidRPr="00E2607E">
        <w:rPr>
          <w:rFonts w:ascii="Arial" w:hAnsi="Arial" w:cs="Arial"/>
          <w:b/>
        </w:rPr>
        <w:t>2  ·</w:t>
      </w:r>
      <w:proofErr w:type="gramEnd"/>
      <w:r w:rsidRPr="00E2607E">
        <w:rPr>
          <w:rFonts w:ascii="Arial" w:hAnsi="Arial" w:cs="Arial"/>
          <w:b/>
        </w:rPr>
        <w:t xml:space="preserve">  Universidad El Bosque</w:t>
      </w:r>
    </w:p>
    <w:p w:rsidR="004B51B7" w:rsidRPr="00E2607E" w:rsidRDefault="004B51B7" w:rsidP="00E2607E">
      <w:pPr>
        <w:jc w:val="center"/>
        <w:rPr>
          <w:rFonts w:ascii="Arial" w:hAnsi="Arial" w:cs="Arial"/>
          <w:b/>
        </w:rPr>
      </w:pPr>
      <w:r w:rsidRPr="00E2607E">
        <w:rPr>
          <w:rFonts w:ascii="Arial" w:hAnsi="Arial" w:cs="Arial"/>
          <w:b/>
        </w:rPr>
        <w:t xml:space="preserve">Ingeniería de </w:t>
      </w:r>
      <w:proofErr w:type="gramStart"/>
      <w:r w:rsidRPr="00E2607E">
        <w:rPr>
          <w:rFonts w:ascii="Arial" w:hAnsi="Arial" w:cs="Arial"/>
          <w:b/>
        </w:rPr>
        <w:t>Sistemas  ·</w:t>
      </w:r>
      <w:proofErr w:type="gramEnd"/>
      <w:r w:rsidRPr="00E2607E">
        <w:rPr>
          <w:rFonts w:ascii="Arial" w:hAnsi="Arial" w:cs="Arial"/>
          <w:b/>
        </w:rPr>
        <w:t xml:space="preserve">  2026-1</w:t>
      </w:r>
    </w:p>
    <w:p w:rsidR="004B51B7" w:rsidRPr="00E2607E" w:rsidRDefault="004B51B7" w:rsidP="00E2607E">
      <w:pPr>
        <w:jc w:val="center"/>
        <w:rPr>
          <w:rFonts w:ascii="Arial" w:hAnsi="Arial" w:cs="Arial"/>
          <w:b/>
        </w:rPr>
      </w:pPr>
      <w:r w:rsidRPr="00E2607E">
        <w:rPr>
          <w:rFonts w:ascii="Arial" w:hAnsi="Arial" w:cs="Arial"/>
          <w:b/>
        </w:rPr>
        <w:t>Daniel Garay Ramírez</w:t>
      </w:r>
      <w:r w:rsidRPr="00E2607E">
        <w:rPr>
          <w:rFonts w:ascii="Arial" w:hAnsi="Arial" w:cs="Arial"/>
          <w:b/>
        </w:rPr>
        <w:t xml:space="preserve"> 1013036901</w:t>
      </w:r>
    </w:p>
    <w:p w:rsidR="004B51B7" w:rsidRPr="00E2607E" w:rsidRDefault="004B51B7" w:rsidP="00E2607E">
      <w:pPr>
        <w:jc w:val="center"/>
        <w:rPr>
          <w:rFonts w:ascii="Arial" w:hAnsi="Arial" w:cs="Arial"/>
          <w:b/>
        </w:rPr>
      </w:pPr>
      <w:r w:rsidRPr="00E2607E">
        <w:rPr>
          <w:rFonts w:ascii="Arial" w:hAnsi="Arial" w:cs="Arial"/>
          <w:b/>
        </w:rPr>
        <w:t xml:space="preserve">Ricardo </w:t>
      </w:r>
      <w:proofErr w:type="spellStart"/>
      <w:r w:rsidRPr="00E2607E">
        <w:rPr>
          <w:rFonts w:ascii="Arial" w:hAnsi="Arial" w:cs="Arial"/>
          <w:b/>
        </w:rPr>
        <w:t>Cobarrubia</w:t>
      </w:r>
      <w:proofErr w:type="spellEnd"/>
    </w:p>
    <w:p w:rsidR="004B51B7" w:rsidRPr="00E2607E" w:rsidRDefault="004B51B7" w:rsidP="00E2607E">
      <w:pPr>
        <w:jc w:val="center"/>
        <w:rPr>
          <w:rFonts w:ascii="Arial" w:hAnsi="Arial" w:cs="Arial"/>
          <w:b/>
        </w:rPr>
      </w:pPr>
      <w:r w:rsidRPr="00E2607E">
        <w:rPr>
          <w:rFonts w:ascii="Arial" w:hAnsi="Arial" w:cs="Arial"/>
          <w:b/>
        </w:rPr>
        <w:t>Karen Morera</w:t>
      </w:r>
    </w:p>
    <w:p w:rsidR="004B51B7" w:rsidRPr="00E2607E" w:rsidRDefault="004B51B7" w:rsidP="00E2607E">
      <w:pPr>
        <w:jc w:val="center"/>
        <w:rPr>
          <w:rFonts w:ascii="Arial" w:hAnsi="Arial" w:cs="Arial"/>
          <w:b/>
        </w:rPr>
      </w:pPr>
      <w:r w:rsidRPr="00E2607E">
        <w:rPr>
          <w:rFonts w:ascii="Arial" w:hAnsi="Arial" w:cs="Arial"/>
          <w:b/>
        </w:rPr>
        <w:t>Juan David Rodríguez</w:t>
      </w:r>
    </w:p>
    <w:p w:rsidR="004B51B7" w:rsidRPr="00E2607E" w:rsidRDefault="004B51B7" w:rsidP="00E2607E">
      <w:pPr>
        <w:jc w:val="center"/>
        <w:rPr>
          <w:rFonts w:ascii="Arial" w:hAnsi="Arial" w:cs="Arial"/>
          <w:b/>
        </w:rPr>
      </w:pPr>
      <w:r w:rsidRPr="00E2607E">
        <w:rPr>
          <w:rFonts w:ascii="Arial" w:hAnsi="Arial" w:cs="Arial"/>
          <w:b/>
        </w:rPr>
        <w:t>Santiago Lozano</w:t>
      </w:r>
    </w:p>
    <w:p w:rsidR="004B51B7" w:rsidRDefault="004B51B7" w:rsidP="004B51B7">
      <w:pPr>
        <w:rPr>
          <w:rFonts w:ascii="Arial" w:hAnsi="Arial" w:cs="Arial"/>
        </w:rPr>
      </w:pPr>
    </w:p>
    <w:p w:rsidR="00E2607E" w:rsidRPr="004B51B7" w:rsidRDefault="00E2607E"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Pr="004B51B7" w:rsidRDefault="004B51B7" w:rsidP="004B51B7">
      <w:pPr>
        <w:rPr>
          <w:rFonts w:ascii="Arial" w:hAnsi="Arial" w:cs="Arial"/>
        </w:rPr>
      </w:pPr>
    </w:p>
    <w:p w:rsidR="004B51B7" w:rsidRDefault="004B51B7" w:rsidP="004B51B7">
      <w:pPr>
        <w:rPr>
          <w:rFonts w:ascii="Arial" w:hAnsi="Arial" w:cs="Arial"/>
        </w:rPr>
      </w:pPr>
    </w:p>
    <w:p w:rsidR="00E2607E" w:rsidRPr="004B51B7" w:rsidRDefault="00E2607E" w:rsidP="004B51B7">
      <w:pPr>
        <w:rPr>
          <w:rFonts w:ascii="Arial" w:hAnsi="Arial" w:cs="Arial"/>
        </w:rPr>
      </w:pPr>
    </w:p>
    <w:p w:rsidR="004B51B7" w:rsidRPr="00E2607E" w:rsidRDefault="004B51B7" w:rsidP="004B51B7">
      <w:pPr>
        <w:pStyle w:val="Prrafodelista"/>
        <w:numPr>
          <w:ilvl w:val="0"/>
          <w:numId w:val="1"/>
        </w:numPr>
        <w:rPr>
          <w:rFonts w:ascii="Arial" w:hAnsi="Arial" w:cs="Arial"/>
          <w:b/>
        </w:rPr>
      </w:pPr>
      <w:proofErr w:type="spellStart"/>
      <w:r w:rsidRPr="00E2607E">
        <w:rPr>
          <w:rFonts w:ascii="Arial" w:hAnsi="Arial" w:cs="Arial"/>
          <w:b/>
        </w:rPr>
        <w:lastRenderedPageBreak/>
        <w:t>Descripcion</w:t>
      </w:r>
      <w:proofErr w:type="spellEnd"/>
      <w:r w:rsidRPr="00E2607E">
        <w:rPr>
          <w:rFonts w:ascii="Arial" w:hAnsi="Arial" w:cs="Arial"/>
          <w:b/>
        </w:rPr>
        <w:t xml:space="preserve"> del Dominio</w:t>
      </w:r>
    </w:p>
    <w:p w:rsidR="004B51B7" w:rsidRPr="004B51B7" w:rsidRDefault="004B51B7" w:rsidP="004B51B7">
      <w:pPr>
        <w:pStyle w:val="Prrafodelista"/>
        <w:ind w:left="360"/>
        <w:rPr>
          <w:rFonts w:ascii="Arial" w:hAnsi="Arial" w:cs="Arial"/>
        </w:rPr>
      </w:pPr>
    </w:p>
    <w:p w:rsidR="004B51B7" w:rsidRPr="004B51B7" w:rsidRDefault="004B51B7" w:rsidP="004B51B7">
      <w:pPr>
        <w:pStyle w:val="Prrafodelista"/>
        <w:ind w:left="360"/>
        <w:rPr>
          <w:rFonts w:ascii="Arial" w:hAnsi="Arial" w:cs="Arial"/>
        </w:rPr>
      </w:pPr>
      <w:proofErr w:type="spellStart"/>
      <w:r w:rsidRPr="004B51B7">
        <w:rPr>
          <w:rFonts w:ascii="Arial" w:hAnsi="Arial" w:cs="Arial"/>
        </w:rPr>
        <w:t>SteamPulse</w:t>
      </w:r>
      <w:proofErr w:type="spellEnd"/>
      <w:r w:rsidRPr="004B51B7">
        <w:rPr>
          <w:rFonts w:ascii="Arial" w:hAnsi="Arial" w:cs="Arial"/>
        </w:rPr>
        <w:t xml:space="preserve"> es una plataforma híbrida que combina los modelos de negocio de un servicio de </w:t>
      </w:r>
      <w:proofErr w:type="spellStart"/>
      <w:r w:rsidRPr="004B51B7">
        <w:rPr>
          <w:rFonts w:ascii="Arial" w:hAnsi="Arial" w:cs="Arial"/>
        </w:rPr>
        <w:t>streaming</w:t>
      </w:r>
      <w:proofErr w:type="spellEnd"/>
      <w:r w:rsidRPr="004B51B7">
        <w:rPr>
          <w:rFonts w:ascii="Arial" w:hAnsi="Arial" w:cs="Arial"/>
        </w:rPr>
        <w:t xml:space="preserve"> por suscripción y una comunidad cinematográfica al estilo de una base de datos colaborativa de contenido audiovisual. El sistema gestiona un catálogo estructurado de películas, series y episodios, junto con la administración completa del ciclo de vida económico del usuario: planes de suscripción, facturación periódica y registro de pagos.</w:t>
      </w:r>
    </w:p>
    <w:p w:rsidR="004B51B7" w:rsidRPr="004B51B7" w:rsidRDefault="004B51B7" w:rsidP="004B51B7">
      <w:pPr>
        <w:pStyle w:val="Prrafodelista"/>
        <w:ind w:left="360"/>
        <w:rPr>
          <w:rFonts w:ascii="Arial" w:hAnsi="Arial" w:cs="Arial"/>
        </w:rPr>
      </w:pPr>
    </w:p>
    <w:p w:rsidR="004B51B7" w:rsidRPr="004B51B7" w:rsidRDefault="004B51B7" w:rsidP="004B51B7">
      <w:pPr>
        <w:pStyle w:val="Prrafodelista"/>
        <w:ind w:left="360"/>
        <w:rPr>
          <w:rFonts w:ascii="Arial" w:hAnsi="Arial" w:cs="Arial"/>
        </w:rPr>
      </w:pPr>
      <w:r w:rsidRPr="004B51B7">
        <w:rPr>
          <w:rFonts w:ascii="Arial" w:hAnsi="Arial" w:cs="Arial"/>
        </w:rPr>
        <w:t xml:space="preserve">El problema central que </w:t>
      </w:r>
      <w:proofErr w:type="spellStart"/>
      <w:r w:rsidRPr="004B51B7">
        <w:rPr>
          <w:rFonts w:ascii="Arial" w:hAnsi="Arial" w:cs="Arial"/>
        </w:rPr>
        <w:t>SteamPulse</w:t>
      </w:r>
      <w:proofErr w:type="spellEnd"/>
      <w:r w:rsidRPr="004B51B7">
        <w:rPr>
          <w:rFonts w:ascii="Arial" w:hAnsi="Arial" w:cs="Arial"/>
        </w:rPr>
        <w:t xml:space="preserve"> resuelve es la coexistencia de dos naturalezas de datos radicalmente distintas dentro de un mismo ecosistema: por un lado, las transacciones monetarias y los datos maestros del catálogo, que exigen consistencia fuerte e integridad referencial estricta; por otro, el contenido generado por los usuarios (reseñas, calificaciones y comentarios), que es masivo, de esquema variable y tolerante a la consistencia eventual.</w:t>
      </w:r>
    </w:p>
    <w:p w:rsidR="004B51B7" w:rsidRPr="004B51B7" w:rsidRDefault="004B51B7" w:rsidP="004B51B7">
      <w:pPr>
        <w:pStyle w:val="Prrafodelista"/>
        <w:ind w:left="360"/>
        <w:rPr>
          <w:rFonts w:ascii="Arial" w:hAnsi="Arial" w:cs="Arial"/>
        </w:rPr>
      </w:pPr>
    </w:p>
    <w:p w:rsidR="004B51B7" w:rsidRDefault="004B51B7" w:rsidP="004B51B7">
      <w:pPr>
        <w:pStyle w:val="Prrafodelista"/>
        <w:ind w:left="360"/>
        <w:rPr>
          <w:rFonts w:ascii="Arial" w:hAnsi="Arial" w:cs="Arial"/>
        </w:rPr>
      </w:pPr>
      <w:r w:rsidRPr="004B51B7">
        <w:rPr>
          <w:rFonts w:ascii="Arial" w:hAnsi="Arial" w:cs="Arial"/>
        </w:rPr>
        <w:t>La plataforma está orientada a usuarios finales que consumen contenido multimedia y desean registrar, compartir y descubrir opiniones sobre dicho contenido, y a administradores que requieren métricas de negocio cruzando datos de facturación con el comportamiento de consumo.</w:t>
      </w:r>
    </w:p>
    <w:p w:rsidR="004B51B7" w:rsidRPr="004B51B7" w:rsidRDefault="004B51B7" w:rsidP="004B51B7">
      <w:pPr>
        <w:pStyle w:val="Prrafodelista"/>
        <w:ind w:left="360"/>
        <w:rPr>
          <w:rFonts w:ascii="Arial" w:hAnsi="Arial" w:cs="Arial"/>
        </w:rPr>
      </w:pPr>
    </w:p>
    <w:p w:rsidR="004B51B7" w:rsidRPr="00E2607E" w:rsidRDefault="004B51B7" w:rsidP="004B51B7">
      <w:pPr>
        <w:pStyle w:val="Prrafodelista"/>
        <w:numPr>
          <w:ilvl w:val="0"/>
          <w:numId w:val="1"/>
        </w:numPr>
        <w:rPr>
          <w:rFonts w:ascii="Arial" w:hAnsi="Arial" w:cs="Arial"/>
          <w:b/>
        </w:rPr>
      </w:pPr>
      <w:r w:rsidRPr="00E2607E">
        <w:rPr>
          <w:rFonts w:ascii="Arial" w:hAnsi="Arial" w:cs="Arial"/>
          <w:b/>
        </w:rPr>
        <w:t xml:space="preserve">Entidades Principales </w:t>
      </w:r>
    </w:p>
    <w:p w:rsidR="004B51B7" w:rsidRPr="00E2607E" w:rsidRDefault="004B51B7" w:rsidP="004B51B7">
      <w:pPr>
        <w:pStyle w:val="Prrafodelista"/>
        <w:numPr>
          <w:ilvl w:val="1"/>
          <w:numId w:val="1"/>
        </w:numPr>
        <w:rPr>
          <w:rFonts w:ascii="Arial" w:hAnsi="Arial" w:cs="Arial"/>
          <w:b/>
        </w:rPr>
      </w:pPr>
      <w:r w:rsidRPr="00E2607E">
        <w:rPr>
          <w:rFonts w:ascii="Arial" w:hAnsi="Arial" w:cs="Arial"/>
          <w:b/>
        </w:rPr>
        <w:t xml:space="preserve">Núcleo Transaccional — </w:t>
      </w:r>
      <w:proofErr w:type="spellStart"/>
      <w:r w:rsidRPr="00E2607E">
        <w:rPr>
          <w:rFonts w:ascii="Arial" w:hAnsi="Arial" w:cs="Arial"/>
          <w:b/>
        </w:rPr>
        <w:t>PostgreSQL</w:t>
      </w:r>
      <w:proofErr w:type="spellEnd"/>
    </w:p>
    <w:tbl>
      <w:tblPr>
        <w:tblW w:w="9360" w:type="dxa"/>
        <w:tblInd w:w="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6687"/>
      </w:tblGrid>
      <w:tr w:rsidR="004B51B7" w:rsidRPr="004B51B7" w:rsidTr="004B51B7">
        <w:tblPrEx>
          <w:tblCellMar>
            <w:top w:w="0" w:type="dxa"/>
            <w:bottom w:w="0" w:type="dxa"/>
          </w:tblCellMar>
        </w:tblPrEx>
        <w:tc>
          <w:tcPr>
            <w:tcW w:w="2673" w:type="dxa"/>
            <w:shd w:val="clear" w:color="auto" w:fill="auto"/>
            <w:tcMar>
              <w:top w:w="100" w:type="dxa"/>
              <w:left w:w="140" w:type="dxa"/>
              <w:bottom w:w="100" w:type="dxa"/>
              <w:right w:w="140" w:type="dxa"/>
            </w:tcMar>
            <w:vAlign w:val="center"/>
          </w:tcPr>
          <w:p w:rsidR="004B51B7" w:rsidRPr="004B51B7" w:rsidRDefault="004B51B7" w:rsidP="00F7392A">
            <w:pPr>
              <w:jc w:val="center"/>
              <w:rPr>
                <w:rFonts w:ascii="Arial" w:hAnsi="Arial" w:cs="Arial"/>
              </w:rPr>
            </w:pPr>
            <w:r w:rsidRPr="004B51B7">
              <w:rPr>
                <w:rFonts w:ascii="Arial" w:eastAsia="Arial" w:hAnsi="Arial" w:cs="Arial"/>
                <w:b/>
                <w:bCs/>
              </w:rPr>
              <w:t>Entidad</w:t>
            </w:r>
          </w:p>
        </w:tc>
        <w:tc>
          <w:tcPr>
            <w:tcW w:w="6687" w:type="dxa"/>
            <w:shd w:val="clear" w:color="auto" w:fill="auto"/>
            <w:tcMar>
              <w:top w:w="100" w:type="dxa"/>
              <w:left w:w="140" w:type="dxa"/>
              <w:bottom w:w="100" w:type="dxa"/>
              <w:right w:w="140" w:type="dxa"/>
            </w:tcMar>
            <w:vAlign w:val="center"/>
          </w:tcPr>
          <w:p w:rsidR="004B51B7" w:rsidRPr="004B51B7" w:rsidRDefault="004B51B7" w:rsidP="00F7392A">
            <w:pPr>
              <w:jc w:val="center"/>
              <w:rPr>
                <w:rFonts w:ascii="Arial" w:hAnsi="Arial" w:cs="Arial"/>
              </w:rPr>
            </w:pPr>
            <w:r w:rsidRPr="004B51B7">
              <w:rPr>
                <w:rFonts w:ascii="Arial" w:eastAsia="Arial" w:hAnsi="Arial" w:cs="Arial"/>
                <w:b/>
                <w:bCs/>
              </w:rPr>
              <w:t>Descripción</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Usuario</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Datos de cuenta, credenciales y perfil del usuario registrado en la plataforma.</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Plan</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Tipos de suscripción disponibles con precio, resolución máxima y número de pantallas simultáneas permitidas.</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Suscripción</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Registro del plan activo (o histórico) de un usuario, con fechas de inicio, vencimiento y estado.</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Factura</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Documento contable generado por cada ciclo de cobro o evento de pago. Registra monto, fecha y estado (pagada, pendiente, vencida).</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Pago</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Evento concreto de transacción asociado a una factura. Incluye método de pago, fecha y estado de la transacción.</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Película</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Catálogo de largometrajes con título, año, duración, clasificación, idioma y sinopsis.</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lastRenderedPageBreak/>
              <w:t>Serie</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Catálogo de series con título, año de inicio, número de temporadas y estado de emisión.</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Episodio</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Unidad de contenido de una serie. Registra temporada, número de episodio, duración y título.</w:t>
            </w:r>
          </w:p>
        </w:tc>
      </w:tr>
      <w:tr w:rsidR="004B51B7" w:rsidRPr="004B51B7" w:rsidTr="004B51B7">
        <w:tblPrEx>
          <w:tblCellMar>
            <w:top w:w="0" w:type="dxa"/>
            <w:bottom w:w="0" w:type="dxa"/>
          </w:tblCellMar>
        </w:tblPrEx>
        <w:tc>
          <w:tcPr>
            <w:tcW w:w="2673"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b/>
                <w:bCs/>
              </w:rPr>
              <w:t>Género</w:t>
            </w:r>
          </w:p>
        </w:tc>
        <w:tc>
          <w:tcPr>
            <w:tcW w:w="6687" w:type="dxa"/>
            <w:shd w:val="clear" w:color="auto" w:fill="auto"/>
            <w:tcMar>
              <w:top w:w="80" w:type="dxa"/>
              <w:left w:w="140" w:type="dxa"/>
              <w:bottom w:w="80" w:type="dxa"/>
              <w:right w:w="140" w:type="dxa"/>
            </w:tcMar>
            <w:vAlign w:val="center"/>
          </w:tcPr>
          <w:p w:rsidR="004B51B7" w:rsidRPr="004B51B7" w:rsidRDefault="004B51B7" w:rsidP="00F7392A">
            <w:pPr>
              <w:rPr>
                <w:rFonts w:ascii="Arial" w:hAnsi="Arial" w:cs="Arial"/>
              </w:rPr>
            </w:pPr>
            <w:r w:rsidRPr="004B51B7">
              <w:rPr>
                <w:rFonts w:ascii="Arial" w:eastAsia="Arial" w:hAnsi="Arial" w:cs="Arial"/>
              </w:rPr>
              <w:t>Tabla de referencia para clasificar el contenido por género cinematográfico o televisivo.</w:t>
            </w:r>
          </w:p>
        </w:tc>
      </w:tr>
    </w:tbl>
    <w:p w:rsidR="004B51B7" w:rsidRDefault="004B51B7" w:rsidP="004B51B7">
      <w:pPr>
        <w:pStyle w:val="Prrafodelista"/>
        <w:ind w:left="792"/>
        <w:rPr>
          <w:rFonts w:ascii="Arial" w:hAnsi="Arial" w:cs="Arial"/>
        </w:rPr>
      </w:pPr>
    </w:p>
    <w:p w:rsidR="004B51B7" w:rsidRPr="00E2607E" w:rsidRDefault="004B51B7" w:rsidP="004B51B7">
      <w:pPr>
        <w:pStyle w:val="Prrafodelista"/>
        <w:numPr>
          <w:ilvl w:val="1"/>
          <w:numId w:val="1"/>
        </w:numPr>
        <w:rPr>
          <w:rFonts w:ascii="Arial" w:hAnsi="Arial" w:cs="Arial"/>
          <w:b/>
        </w:rPr>
      </w:pPr>
      <w:r w:rsidRPr="00E2607E">
        <w:rPr>
          <w:rFonts w:ascii="Arial" w:hAnsi="Arial" w:cs="Arial"/>
          <w:b/>
        </w:rPr>
        <w:t xml:space="preserve">Datos Flexibles — </w:t>
      </w:r>
      <w:proofErr w:type="spellStart"/>
      <w:r w:rsidRPr="00E2607E">
        <w:rPr>
          <w:rFonts w:ascii="Arial" w:hAnsi="Arial" w:cs="Arial"/>
          <w:b/>
        </w:rPr>
        <w:t>MongoDB</w:t>
      </w:r>
      <w:proofErr w:type="spellEnd"/>
    </w:p>
    <w:tbl>
      <w:tblPr>
        <w:tblW w:w="9360" w:type="dxa"/>
        <w:tblInd w:w="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B51B7" w:rsidRPr="004B51B7" w:rsidTr="004B51B7">
        <w:tblPrEx>
          <w:tblCellMar>
            <w:top w:w="0" w:type="dxa"/>
            <w:bottom w:w="0" w:type="dxa"/>
          </w:tblCellMar>
        </w:tblPrEx>
        <w:tc>
          <w:tcPr>
            <w:tcW w:w="2200" w:type="dxa"/>
            <w:shd w:val="clear" w:color="auto" w:fill="auto"/>
            <w:tcMar>
              <w:top w:w="100" w:type="dxa"/>
              <w:left w:w="140" w:type="dxa"/>
              <w:bottom w:w="100" w:type="dxa"/>
              <w:right w:w="140" w:type="dxa"/>
            </w:tcMar>
            <w:vAlign w:val="center"/>
          </w:tcPr>
          <w:p w:rsidR="004B51B7" w:rsidRPr="004B51B7" w:rsidRDefault="004B51B7" w:rsidP="00F7392A">
            <w:pPr>
              <w:jc w:val="center"/>
            </w:pPr>
            <w:r w:rsidRPr="004B51B7">
              <w:rPr>
                <w:rFonts w:ascii="Arial" w:eastAsia="Arial" w:hAnsi="Arial" w:cs="Arial"/>
                <w:b/>
                <w:bCs/>
              </w:rPr>
              <w:t>Colección</w:t>
            </w:r>
          </w:p>
        </w:tc>
        <w:tc>
          <w:tcPr>
            <w:tcW w:w="7160" w:type="dxa"/>
            <w:shd w:val="clear" w:color="auto" w:fill="auto"/>
            <w:tcMar>
              <w:top w:w="100" w:type="dxa"/>
              <w:left w:w="140" w:type="dxa"/>
              <w:bottom w:w="100" w:type="dxa"/>
              <w:right w:w="140" w:type="dxa"/>
            </w:tcMar>
            <w:vAlign w:val="center"/>
          </w:tcPr>
          <w:p w:rsidR="004B51B7" w:rsidRPr="004B51B7" w:rsidRDefault="004B51B7" w:rsidP="00F7392A">
            <w:pPr>
              <w:jc w:val="center"/>
            </w:pPr>
            <w:r w:rsidRPr="004B51B7">
              <w:rPr>
                <w:rFonts w:ascii="Arial" w:eastAsia="Arial" w:hAnsi="Arial" w:cs="Arial"/>
                <w:b/>
                <w:bCs/>
              </w:rPr>
              <w:t>Justificación del motor documental</w:t>
            </w:r>
          </w:p>
        </w:tc>
      </w:tr>
      <w:tr w:rsidR="004B51B7" w:rsidRPr="004B51B7" w:rsidTr="004B51B7">
        <w:tblPrEx>
          <w:tblCellMar>
            <w:top w:w="0" w:type="dxa"/>
            <w:bottom w:w="0" w:type="dxa"/>
          </w:tblCellMar>
        </w:tblPrEx>
        <w:tc>
          <w:tcPr>
            <w:tcW w:w="220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b/>
                <w:bCs/>
              </w:rPr>
              <w:t>Reseña</w:t>
            </w:r>
          </w:p>
        </w:tc>
        <w:tc>
          <w:tcPr>
            <w:tcW w:w="716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rPr>
              <w:t xml:space="preserve">Contenido </w:t>
            </w:r>
            <w:proofErr w:type="spellStart"/>
            <w:r w:rsidRPr="004B51B7">
              <w:rPr>
                <w:rFonts w:ascii="Arial" w:eastAsia="Arial" w:hAnsi="Arial" w:cs="Arial"/>
              </w:rPr>
              <w:t>semi</w:t>
            </w:r>
            <w:proofErr w:type="spellEnd"/>
            <w:r w:rsidRPr="004B51B7">
              <w:rPr>
                <w:rFonts w:ascii="Arial" w:eastAsia="Arial" w:hAnsi="Arial" w:cs="Arial"/>
              </w:rPr>
              <w:t>-estructurado de longitud variable. Cada reseña puede incluir spoilers, etiquetas, votos de utilidad y respuestas anidadas. El esquema varía por tipo de contenido.</w:t>
            </w:r>
          </w:p>
        </w:tc>
      </w:tr>
      <w:tr w:rsidR="004B51B7" w:rsidRPr="004B51B7" w:rsidTr="004B51B7">
        <w:tblPrEx>
          <w:tblCellMar>
            <w:top w:w="0" w:type="dxa"/>
            <w:bottom w:w="0" w:type="dxa"/>
          </w:tblCellMar>
        </w:tblPrEx>
        <w:tc>
          <w:tcPr>
            <w:tcW w:w="220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b/>
                <w:bCs/>
              </w:rPr>
              <w:t>Calificación</w:t>
            </w:r>
          </w:p>
        </w:tc>
        <w:tc>
          <w:tcPr>
            <w:tcW w:w="716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rPr>
              <w:t xml:space="preserve">Volumen masivo de documentos simples (usuario + contenido + puntaje + </w:t>
            </w:r>
            <w:proofErr w:type="spellStart"/>
            <w:r w:rsidRPr="004B51B7">
              <w:rPr>
                <w:rFonts w:ascii="Arial" w:eastAsia="Arial" w:hAnsi="Arial" w:cs="Arial"/>
              </w:rPr>
              <w:t>timestamp</w:t>
            </w:r>
            <w:proofErr w:type="spellEnd"/>
            <w:r w:rsidRPr="004B51B7">
              <w:rPr>
                <w:rFonts w:ascii="Arial" w:eastAsia="Arial" w:hAnsi="Arial" w:cs="Arial"/>
              </w:rPr>
              <w:t>). Tolerante a consistencia eventual; la puntuación promedio se calcula de forma agregada.</w:t>
            </w:r>
          </w:p>
        </w:tc>
      </w:tr>
      <w:tr w:rsidR="004B51B7" w:rsidRPr="004B51B7" w:rsidTr="004B51B7">
        <w:tblPrEx>
          <w:tblCellMar>
            <w:top w:w="0" w:type="dxa"/>
            <w:bottom w:w="0" w:type="dxa"/>
          </w:tblCellMar>
        </w:tblPrEx>
        <w:tc>
          <w:tcPr>
            <w:tcW w:w="220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b/>
                <w:bCs/>
              </w:rPr>
              <w:t>Comentario</w:t>
            </w:r>
          </w:p>
        </w:tc>
        <w:tc>
          <w:tcPr>
            <w:tcW w:w="7160" w:type="dxa"/>
            <w:shd w:val="clear" w:color="auto" w:fill="auto"/>
            <w:tcMar>
              <w:top w:w="80" w:type="dxa"/>
              <w:left w:w="140" w:type="dxa"/>
              <w:bottom w:w="80" w:type="dxa"/>
              <w:right w:w="140" w:type="dxa"/>
            </w:tcMar>
            <w:vAlign w:val="center"/>
          </w:tcPr>
          <w:p w:rsidR="004B51B7" w:rsidRPr="004B51B7" w:rsidRDefault="004B51B7" w:rsidP="00F7392A">
            <w:r w:rsidRPr="004B51B7">
              <w:rPr>
                <w:rFonts w:ascii="Arial" w:eastAsia="Arial" w:hAnsi="Arial" w:cs="Arial"/>
              </w:rPr>
              <w:t>Hilos de conversación con respuestas anidadas y reacciones. La estructura jerárquica y el alto volumen justifican el modelo documental sobre el relacional.</w:t>
            </w:r>
          </w:p>
        </w:tc>
      </w:tr>
    </w:tbl>
    <w:p w:rsidR="004B51B7" w:rsidRPr="004B51B7" w:rsidRDefault="004B51B7" w:rsidP="004B51B7">
      <w:pPr>
        <w:ind w:left="360"/>
        <w:rPr>
          <w:rFonts w:ascii="Arial" w:hAnsi="Arial" w:cs="Arial"/>
        </w:rPr>
      </w:pPr>
    </w:p>
    <w:p w:rsidR="004B51B7" w:rsidRPr="00E2607E" w:rsidRDefault="004B51B7" w:rsidP="004B51B7">
      <w:pPr>
        <w:pStyle w:val="Prrafodelista"/>
        <w:numPr>
          <w:ilvl w:val="0"/>
          <w:numId w:val="1"/>
        </w:numPr>
        <w:rPr>
          <w:rFonts w:ascii="Arial" w:hAnsi="Arial" w:cs="Arial"/>
          <w:b/>
        </w:rPr>
      </w:pPr>
      <w:r w:rsidRPr="00E2607E">
        <w:rPr>
          <w:rFonts w:ascii="Arial" w:hAnsi="Arial" w:cs="Arial"/>
          <w:b/>
        </w:rPr>
        <w:t>Justificación de Requisitos</w:t>
      </w:r>
    </w:p>
    <w:p w:rsidR="004B51B7" w:rsidRPr="00E2607E" w:rsidRDefault="004B51B7" w:rsidP="00E2607E">
      <w:pPr>
        <w:pStyle w:val="Prrafodelista"/>
        <w:numPr>
          <w:ilvl w:val="1"/>
          <w:numId w:val="1"/>
        </w:numPr>
        <w:rPr>
          <w:rFonts w:ascii="Arial" w:hAnsi="Arial" w:cs="Arial"/>
          <w:b/>
        </w:rPr>
      </w:pPr>
      <w:r w:rsidRPr="00E2607E">
        <w:rPr>
          <w:rFonts w:ascii="Arial" w:hAnsi="Arial" w:cs="Arial"/>
          <w:b/>
        </w:rPr>
        <w:t>Núcleo Transaccional</w:t>
      </w:r>
    </w:p>
    <w:p w:rsidR="004B51B7" w:rsidRDefault="004B51B7" w:rsidP="004B51B7">
      <w:pPr>
        <w:pStyle w:val="Prrafodelista"/>
        <w:ind w:left="792"/>
        <w:rPr>
          <w:rFonts w:ascii="Arial" w:hAnsi="Arial" w:cs="Arial"/>
        </w:rPr>
      </w:pPr>
      <w:r w:rsidRPr="004B51B7">
        <w:rPr>
          <w:rFonts w:ascii="Arial" w:hAnsi="Arial" w:cs="Arial"/>
        </w:rPr>
        <w:t xml:space="preserve">El flujo de pagos y suscripciones es el núcleo transaccional de </w:t>
      </w:r>
      <w:proofErr w:type="spellStart"/>
      <w:r w:rsidRPr="004B51B7">
        <w:rPr>
          <w:rFonts w:ascii="Arial" w:hAnsi="Arial" w:cs="Arial"/>
        </w:rPr>
        <w:t>SteamPulse</w:t>
      </w:r>
      <w:proofErr w:type="spellEnd"/>
      <w:r w:rsidRPr="004B51B7">
        <w:rPr>
          <w:rFonts w:ascii="Arial" w:hAnsi="Arial" w:cs="Arial"/>
        </w:rPr>
        <w:t>. Una operación de cobro involucra múltiples entidades de forma atómica: se debe crear una Factura, registrar un Pago y actualizar el estado de la Suscripción en una única transacción. Si alguno de estos pasos falla, el sistema no puede quedar en un estado parcialmente consistente (por ejemplo, con una suscripción activa sin un pago efectivo registrado).</w:t>
      </w:r>
    </w:p>
    <w:p w:rsidR="004B51B7" w:rsidRPr="004B51B7" w:rsidRDefault="004B51B7" w:rsidP="004B51B7">
      <w:pPr>
        <w:pStyle w:val="Prrafodelista"/>
        <w:ind w:left="792"/>
        <w:rPr>
          <w:rFonts w:ascii="Arial" w:hAnsi="Arial" w:cs="Arial"/>
        </w:rPr>
      </w:pPr>
    </w:p>
    <w:p w:rsidR="004B51B7" w:rsidRDefault="004B51B7" w:rsidP="004B51B7">
      <w:pPr>
        <w:pStyle w:val="Prrafodelista"/>
        <w:ind w:left="792"/>
        <w:rPr>
          <w:rFonts w:ascii="Arial" w:hAnsi="Arial" w:cs="Arial"/>
        </w:rPr>
      </w:pPr>
      <w:r w:rsidRPr="004B51B7">
        <w:rPr>
          <w:rFonts w:ascii="Arial" w:hAnsi="Arial" w:cs="Arial"/>
        </w:rPr>
        <w:t xml:space="preserve">Adicionalmente, el catálogo de contenido (Película, Serie, Episodio) requiere integridad referencial para garantizar que el </w:t>
      </w:r>
      <w:proofErr w:type="spellStart"/>
      <w:r w:rsidRPr="004B51B7">
        <w:rPr>
          <w:rFonts w:ascii="Arial" w:hAnsi="Arial" w:cs="Arial"/>
        </w:rPr>
        <w:t>Historial_Visualización</w:t>
      </w:r>
      <w:proofErr w:type="spellEnd"/>
      <w:r w:rsidRPr="004B51B7">
        <w:rPr>
          <w:rFonts w:ascii="Arial" w:hAnsi="Arial" w:cs="Arial"/>
        </w:rPr>
        <w:t xml:space="preserve"> nunca referencie contenido inexistente, y que los Géneros sean valores controlados, con soporte completo de ACID y llaves foráneas</w:t>
      </w:r>
      <w:r w:rsidR="00E2607E">
        <w:rPr>
          <w:rFonts w:ascii="Arial" w:hAnsi="Arial" w:cs="Arial"/>
        </w:rPr>
        <w:t>.</w:t>
      </w:r>
    </w:p>
    <w:p w:rsidR="00E2607E" w:rsidRDefault="00E2607E" w:rsidP="004B51B7">
      <w:pPr>
        <w:pStyle w:val="Prrafodelista"/>
        <w:ind w:left="792"/>
        <w:rPr>
          <w:rFonts w:ascii="Arial" w:hAnsi="Arial" w:cs="Arial"/>
        </w:rPr>
      </w:pPr>
    </w:p>
    <w:p w:rsidR="00E2607E" w:rsidRDefault="00E2607E" w:rsidP="004B51B7">
      <w:pPr>
        <w:pStyle w:val="Prrafodelista"/>
        <w:ind w:left="792"/>
        <w:rPr>
          <w:rFonts w:ascii="Arial" w:hAnsi="Arial" w:cs="Arial"/>
        </w:rPr>
      </w:pPr>
    </w:p>
    <w:p w:rsidR="00E2607E" w:rsidRDefault="00E2607E" w:rsidP="004B51B7">
      <w:pPr>
        <w:pStyle w:val="Prrafodelista"/>
        <w:ind w:left="792"/>
        <w:rPr>
          <w:rFonts w:ascii="Arial" w:hAnsi="Arial" w:cs="Arial"/>
        </w:rPr>
      </w:pPr>
    </w:p>
    <w:p w:rsidR="00E2607E" w:rsidRDefault="00E2607E" w:rsidP="004B51B7">
      <w:pPr>
        <w:pStyle w:val="Prrafodelista"/>
        <w:ind w:left="792"/>
        <w:rPr>
          <w:rFonts w:ascii="Arial" w:hAnsi="Arial" w:cs="Arial"/>
        </w:rPr>
      </w:pPr>
    </w:p>
    <w:p w:rsidR="00E2607E" w:rsidRDefault="00E2607E" w:rsidP="004B51B7">
      <w:pPr>
        <w:pStyle w:val="Prrafodelista"/>
        <w:ind w:left="792"/>
        <w:rPr>
          <w:rFonts w:ascii="Arial" w:hAnsi="Arial" w:cs="Arial"/>
        </w:rPr>
      </w:pPr>
    </w:p>
    <w:p w:rsidR="00E2607E" w:rsidRPr="00E2607E" w:rsidRDefault="004B51B7" w:rsidP="00E2607E">
      <w:pPr>
        <w:pStyle w:val="Prrafodelista"/>
        <w:numPr>
          <w:ilvl w:val="1"/>
          <w:numId w:val="1"/>
        </w:numPr>
        <w:rPr>
          <w:rFonts w:ascii="Arial" w:hAnsi="Arial" w:cs="Arial"/>
          <w:b/>
        </w:rPr>
      </w:pPr>
      <w:r w:rsidRPr="00E2607E">
        <w:rPr>
          <w:rFonts w:ascii="Arial" w:hAnsi="Arial" w:cs="Arial"/>
          <w:b/>
        </w:rPr>
        <w:lastRenderedPageBreak/>
        <w:t>Datos Flexibles</w:t>
      </w:r>
    </w:p>
    <w:p w:rsidR="00E2607E" w:rsidRDefault="00E2607E" w:rsidP="00E2607E">
      <w:pPr>
        <w:pStyle w:val="Prrafodelista"/>
        <w:ind w:left="792"/>
        <w:rPr>
          <w:rFonts w:ascii="Arial" w:eastAsia="Arial" w:hAnsi="Arial" w:cs="Arial"/>
          <w:color w:val="1A1A1A"/>
        </w:rPr>
      </w:pPr>
      <w:r>
        <w:rPr>
          <w:rFonts w:ascii="Arial" w:eastAsia="Arial" w:hAnsi="Arial" w:cs="Arial"/>
          <w:color w:val="1A1A1A"/>
        </w:rPr>
        <w:t xml:space="preserve">Las Reseñas, Calificaciones y Comentarios son generados por los usuarios de forma masiva y continua. Su estructura varía: una reseña de película puede tener secciones, spoiler </w:t>
      </w:r>
      <w:proofErr w:type="spellStart"/>
      <w:r>
        <w:rPr>
          <w:rFonts w:ascii="Arial" w:eastAsia="Arial" w:hAnsi="Arial" w:cs="Arial"/>
          <w:color w:val="1A1A1A"/>
        </w:rPr>
        <w:t>tags</w:t>
      </w:r>
      <w:proofErr w:type="spellEnd"/>
      <w:r>
        <w:rPr>
          <w:rFonts w:ascii="Arial" w:eastAsia="Arial" w:hAnsi="Arial" w:cs="Arial"/>
          <w:color w:val="1A1A1A"/>
        </w:rPr>
        <w:t xml:space="preserve"> y puntuaciones por categoría, mientras que una reseña de serie puede desglosarse por temporada.</w:t>
      </w:r>
    </w:p>
    <w:p w:rsidR="00E2607E" w:rsidRDefault="00E2607E" w:rsidP="00E2607E">
      <w:pPr>
        <w:pStyle w:val="Prrafodelista"/>
        <w:ind w:left="792"/>
        <w:rPr>
          <w:rFonts w:ascii="Arial" w:hAnsi="Arial" w:cs="Arial"/>
        </w:rPr>
      </w:pPr>
    </w:p>
    <w:p w:rsidR="00E2607E" w:rsidRDefault="00E2607E" w:rsidP="00E2607E">
      <w:pPr>
        <w:pStyle w:val="Prrafodelista"/>
        <w:ind w:left="792"/>
        <w:rPr>
          <w:rFonts w:ascii="Arial" w:hAnsi="Arial" w:cs="Arial"/>
        </w:rPr>
      </w:pPr>
      <w:proofErr w:type="spellStart"/>
      <w:r w:rsidRPr="00E2607E">
        <w:rPr>
          <w:rFonts w:ascii="Arial" w:hAnsi="Arial" w:cs="Arial"/>
        </w:rPr>
        <w:t>MongoDB</w:t>
      </w:r>
      <w:proofErr w:type="spellEnd"/>
      <w:r w:rsidRPr="00E2607E">
        <w:rPr>
          <w:rFonts w:ascii="Arial" w:hAnsi="Arial" w:cs="Arial"/>
        </w:rPr>
        <w:t xml:space="preserve"> permite almacenar estos documentos con la estructura exacta que cada uno requiere, y su </w:t>
      </w:r>
      <w:proofErr w:type="spellStart"/>
      <w:r w:rsidRPr="00E2607E">
        <w:rPr>
          <w:rFonts w:ascii="Arial" w:hAnsi="Arial" w:cs="Arial"/>
        </w:rPr>
        <w:t>aggregation</w:t>
      </w:r>
      <w:proofErr w:type="spellEnd"/>
      <w:r w:rsidRPr="00E2607E">
        <w:rPr>
          <w:rFonts w:ascii="Arial" w:hAnsi="Arial" w:cs="Arial"/>
        </w:rPr>
        <w:t xml:space="preserve"> pipeline facilita cálculos como el promedio de calificaciones o el ranking de contenido más comentado, operaciones que serán el núcleo del punto de integración.</w:t>
      </w:r>
    </w:p>
    <w:p w:rsidR="00E2607E" w:rsidRDefault="00E2607E" w:rsidP="00E2607E">
      <w:pPr>
        <w:pStyle w:val="Prrafodelista"/>
        <w:ind w:left="792"/>
        <w:rPr>
          <w:rFonts w:ascii="Arial" w:hAnsi="Arial" w:cs="Arial"/>
        </w:rPr>
      </w:pPr>
    </w:p>
    <w:p w:rsidR="004B51B7" w:rsidRPr="00E2607E" w:rsidRDefault="004B51B7" w:rsidP="004B51B7">
      <w:pPr>
        <w:pStyle w:val="Prrafodelista"/>
        <w:numPr>
          <w:ilvl w:val="1"/>
          <w:numId w:val="1"/>
        </w:numPr>
        <w:rPr>
          <w:rFonts w:ascii="Arial" w:hAnsi="Arial" w:cs="Arial"/>
          <w:b/>
        </w:rPr>
      </w:pPr>
      <w:r w:rsidRPr="00E2607E">
        <w:rPr>
          <w:rFonts w:ascii="Arial" w:hAnsi="Arial" w:cs="Arial"/>
          <w:b/>
        </w:rPr>
        <w:t>Punto de Integración</w:t>
      </w:r>
    </w:p>
    <w:p w:rsidR="00E2607E" w:rsidRDefault="00E2607E" w:rsidP="00E2607E">
      <w:pPr>
        <w:pStyle w:val="Prrafodelista"/>
        <w:ind w:left="792"/>
        <w:rPr>
          <w:rFonts w:ascii="Arial" w:hAnsi="Arial" w:cs="Arial"/>
        </w:rPr>
      </w:pPr>
      <w:r w:rsidRPr="00E2607E">
        <w:rPr>
          <w:rFonts w:ascii="Arial" w:hAnsi="Arial" w:cs="Arial"/>
        </w:rPr>
        <w:t xml:space="preserve">El primer escenario de integración es un reporte de rentabilidad por género: un script en Python consulta en </w:t>
      </w:r>
      <w:proofErr w:type="spellStart"/>
      <w:r w:rsidRPr="00E2607E">
        <w:rPr>
          <w:rFonts w:ascii="Arial" w:hAnsi="Arial" w:cs="Arial"/>
        </w:rPr>
        <w:t>PostgreSQL</w:t>
      </w:r>
      <w:proofErr w:type="spellEnd"/>
      <w:r w:rsidRPr="00E2607E">
        <w:rPr>
          <w:rFonts w:ascii="Arial" w:hAnsi="Arial" w:cs="Arial"/>
        </w:rPr>
        <w:t xml:space="preserve"> los ingresos totales agrupados por género en un rango de fechas determinado, cruzando las tablas Factura, </w:t>
      </w:r>
      <w:proofErr w:type="spellStart"/>
      <w:r w:rsidRPr="00E2607E">
        <w:rPr>
          <w:rFonts w:ascii="Arial" w:hAnsi="Arial" w:cs="Arial"/>
        </w:rPr>
        <w:t>Historial_Visualización</w:t>
      </w:r>
      <w:proofErr w:type="spellEnd"/>
      <w:r w:rsidRPr="00E2607E">
        <w:rPr>
          <w:rFonts w:ascii="Arial" w:hAnsi="Arial" w:cs="Arial"/>
        </w:rPr>
        <w:t xml:space="preserve"> y Género. De forma paralela, el mismo script consulta en </w:t>
      </w:r>
      <w:proofErr w:type="spellStart"/>
      <w:r w:rsidRPr="00E2607E">
        <w:rPr>
          <w:rFonts w:ascii="Arial" w:hAnsi="Arial" w:cs="Arial"/>
        </w:rPr>
        <w:t>MongoDB</w:t>
      </w:r>
      <w:proofErr w:type="spellEnd"/>
      <w:r w:rsidRPr="00E2607E">
        <w:rPr>
          <w:rFonts w:ascii="Arial" w:hAnsi="Arial" w:cs="Arial"/>
        </w:rPr>
        <w:t xml:space="preserve"> el promedio de calificaciones y el volumen de reseñas para ese mismo género. Los resultados de ambos motores se consolidan en memoria y se presentan como un reporte unificado en consola o archivo plano, demostrando la consulta cruzada entre motores sin necesidad de una capa de presentación.</w:t>
      </w:r>
    </w:p>
    <w:p w:rsidR="00E2607E" w:rsidRPr="00E2607E" w:rsidRDefault="00E2607E" w:rsidP="00E2607E">
      <w:pPr>
        <w:pStyle w:val="Prrafodelista"/>
        <w:ind w:left="792"/>
        <w:rPr>
          <w:rFonts w:ascii="Arial" w:hAnsi="Arial" w:cs="Arial"/>
        </w:rPr>
      </w:pPr>
    </w:p>
    <w:p w:rsidR="00E2607E" w:rsidRDefault="00E2607E" w:rsidP="00E2607E">
      <w:pPr>
        <w:pStyle w:val="Prrafodelista"/>
        <w:ind w:left="792"/>
        <w:rPr>
          <w:rFonts w:ascii="Arial" w:hAnsi="Arial" w:cs="Arial"/>
        </w:rPr>
      </w:pPr>
      <w:r w:rsidRPr="00E2607E">
        <w:rPr>
          <w:rFonts w:ascii="Arial" w:hAnsi="Arial" w:cs="Arial"/>
        </w:rPr>
        <w:t xml:space="preserve">El segundo escenario es el enriquecimiento del catálogo: el script recorre los títulos registrados en </w:t>
      </w:r>
      <w:proofErr w:type="spellStart"/>
      <w:r w:rsidRPr="00E2607E">
        <w:rPr>
          <w:rFonts w:ascii="Arial" w:hAnsi="Arial" w:cs="Arial"/>
        </w:rPr>
        <w:t>PostgreSQL</w:t>
      </w:r>
      <w:proofErr w:type="spellEnd"/>
      <w:r w:rsidRPr="00E2607E">
        <w:rPr>
          <w:rFonts w:ascii="Arial" w:hAnsi="Arial" w:cs="Arial"/>
        </w:rPr>
        <w:t xml:space="preserve"> y para cada uno realiza una consulta a </w:t>
      </w:r>
      <w:bookmarkStart w:id="0" w:name="_GoBack"/>
      <w:bookmarkEnd w:id="0"/>
      <w:proofErr w:type="spellStart"/>
      <w:r w:rsidRPr="00E2607E">
        <w:rPr>
          <w:rFonts w:ascii="Arial" w:hAnsi="Arial" w:cs="Arial"/>
        </w:rPr>
        <w:t>MongoDB</w:t>
      </w:r>
      <w:proofErr w:type="spellEnd"/>
      <w:r w:rsidRPr="00E2607E">
        <w:rPr>
          <w:rFonts w:ascii="Arial" w:hAnsi="Arial" w:cs="Arial"/>
        </w:rPr>
        <w:t xml:space="preserve"> que recupera su calificación promedio y el conteo de reseñas activas. El resultado es un conjunto de datos consolidado que combina los atributos estructurados del catálogo relacional con las métricas de comunidad almacenadas en el motor documental.</w:t>
      </w:r>
    </w:p>
    <w:p w:rsidR="004B51B7" w:rsidRPr="00E2607E" w:rsidRDefault="004B51B7" w:rsidP="004B51B7">
      <w:pPr>
        <w:pStyle w:val="Prrafodelista"/>
        <w:numPr>
          <w:ilvl w:val="1"/>
          <w:numId w:val="1"/>
        </w:numPr>
        <w:rPr>
          <w:rFonts w:ascii="Arial" w:hAnsi="Arial" w:cs="Arial"/>
          <w:b/>
        </w:rPr>
      </w:pPr>
      <w:proofErr w:type="spellStart"/>
      <w:r w:rsidRPr="00E2607E">
        <w:rPr>
          <w:rFonts w:ascii="Arial" w:hAnsi="Arial" w:cs="Arial"/>
          <w:b/>
        </w:rPr>
        <w:t>Trade</w:t>
      </w:r>
      <w:proofErr w:type="spellEnd"/>
      <w:r w:rsidRPr="00E2607E">
        <w:rPr>
          <w:rFonts w:ascii="Arial" w:hAnsi="Arial" w:cs="Arial"/>
          <w:b/>
        </w:rPr>
        <w:t>-off CAP</w:t>
      </w:r>
    </w:p>
    <w:p w:rsidR="00E2607E" w:rsidRPr="00E2607E" w:rsidRDefault="00E2607E" w:rsidP="00E2607E">
      <w:pPr>
        <w:pStyle w:val="Prrafodelista"/>
        <w:ind w:left="792"/>
        <w:rPr>
          <w:rFonts w:ascii="Arial" w:hAnsi="Arial" w:cs="Arial"/>
        </w:rPr>
      </w:pPr>
      <w:proofErr w:type="spellStart"/>
      <w:r w:rsidRPr="00E2607E">
        <w:rPr>
          <w:rFonts w:ascii="Arial" w:hAnsi="Arial" w:cs="Arial"/>
        </w:rPr>
        <w:t>SteamPulse</w:t>
      </w:r>
      <w:proofErr w:type="spellEnd"/>
      <w:r w:rsidRPr="00E2607E">
        <w:rPr>
          <w:rFonts w:ascii="Arial" w:hAnsi="Arial" w:cs="Arial"/>
        </w:rPr>
        <w:t xml:space="preserve"> adopta posiciones distintas en el triángulo CAP según la capa de datos:</w:t>
      </w:r>
    </w:p>
    <w:p w:rsidR="00E2607E" w:rsidRDefault="00E2607E" w:rsidP="00E2607E">
      <w:pPr>
        <w:pStyle w:val="Prrafodelista"/>
        <w:numPr>
          <w:ilvl w:val="0"/>
          <w:numId w:val="6"/>
        </w:numPr>
        <w:rPr>
          <w:rFonts w:ascii="Arial" w:hAnsi="Arial" w:cs="Arial"/>
        </w:rPr>
      </w:pPr>
      <w:proofErr w:type="spellStart"/>
      <w:r w:rsidRPr="00E2607E">
        <w:rPr>
          <w:rFonts w:ascii="Arial" w:hAnsi="Arial" w:cs="Arial"/>
          <w:b/>
        </w:rPr>
        <w:t>PostgreSQL</w:t>
      </w:r>
      <w:proofErr w:type="spellEnd"/>
      <w:r w:rsidRPr="00E2607E">
        <w:rPr>
          <w:rFonts w:ascii="Arial" w:hAnsi="Arial" w:cs="Arial"/>
          <w:b/>
        </w:rPr>
        <w:t xml:space="preserve"> (CP):</w:t>
      </w:r>
      <w:r w:rsidRPr="00E2607E">
        <w:rPr>
          <w:rFonts w:ascii="Arial" w:hAnsi="Arial" w:cs="Arial"/>
        </w:rPr>
        <w:t xml:space="preserve"> Se prioriza Consistencia sobre Disponibilidad. En un escenario de partición de red durante el procesamiento de pagos, el sistema preferirá rechazar la transacción antes que registrar un cobro duplicado o un estado inconsistente de suscripción.</w:t>
      </w:r>
    </w:p>
    <w:p w:rsidR="00E2607E" w:rsidRPr="00E2607E" w:rsidRDefault="00E2607E" w:rsidP="00E2607E">
      <w:pPr>
        <w:pStyle w:val="Prrafodelista"/>
        <w:ind w:left="2040"/>
        <w:rPr>
          <w:rFonts w:ascii="Arial" w:hAnsi="Arial" w:cs="Arial"/>
        </w:rPr>
      </w:pPr>
    </w:p>
    <w:p w:rsidR="00E2607E" w:rsidRPr="00E2607E" w:rsidRDefault="00E2607E" w:rsidP="00E2607E">
      <w:pPr>
        <w:pStyle w:val="Prrafodelista"/>
        <w:numPr>
          <w:ilvl w:val="0"/>
          <w:numId w:val="6"/>
        </w:numPr>
        <w:rPr>
          <w:rFonts w:ascii="Arial" w:hAnsi="Arial" w:cs="Arial"/>
        </w:rPr>
      </w:pPr>
      <w:proofErr w:type="spellStart"/>
      <w:r w:rsidRPr="00E2607E">
        <w:rPr>
          <w:rFonts w:ascii="Arial" w:hAnsi="Arial" w:cs="Arial"/>
          <w:b/>
        </w:rPr>
        <w:t>MongoDB</w:t>
      </w:r>
      <w:proofErr w:type="spellEnd"/>
      <w:r w:rsidRPr="00E2607E">
        <w:rPr>
          <w:rFonts w:ascii="Arial" w:hAnsi="Arial" w:cs="Arial"/>
          <w:b/>
        </w:rPr>
        <w:t xml:space="preserve"> (AP):</w:t>
      </w:r>
      <w:r w:rsidRPr="00E2607E">
        <w:rPr>
          <w:rFonts w:ascii="Arial" w:hAnsi="Arial" w:cs="Arial"/>
        </w:rPr>
        <w:t xml:space="preserve"> Se prioriza Disponibilidad sobre Consistencia. En un escenario de partición, los nodos secundarios pueden seguir sirviendo lecturas de reseñas y calificaciones con datos ligeramente desactualizados (consistencia eventual). Un usuario puede ver un promedio de calificación que aún no refleja los últimos 10 votos; esto es aceptable porque no tiene implicaciones financieras ni contractuales.</w:t>
      </w:r>
    </w:p>
    <w:sectPr w:rsidR="00E2607E" w:rsidRPr="00E260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E2E"/>
    <w:multiLevelType w:val="hybridMultilevel"/>
    <w:tmpl w:val="48847072"/>
    <w:lvl w:ilvl="0" w:tplc="BEC40298">
      <w:start w:val="1"/>
      <w:numFmt w:val="bullet"/>
      <w:lvlText w:val="•"/>
      <w:lvlJc w:val="left"/>
      <w:pPr>
        <w:ind w:left="2040" w:hanging="624"/>
      </w:pPr>
      <w:rPr>
        <w:rFonts w:hint="default"/>
      </w:rPr>
    </w:lvl>
    <w:lvl w:ilvl="1" w:tplc="240A0003" w:tentative="1">
      <w:start w:val="1"/>
      <w:numFmt w:val="bullet"/>
      <w:lvlText w:val="o"/>
      <w:lvlJc w:val="left"/>
      <w:pPr>
        <w:ind w:left="2064" w:hanging="360"/>
      </w:pPr>
      <w:rPr>
        <w:rFonts w:ascii="Courier New" w:hAnsi="Courier New" w:cs="Courier New" w:hint="default"/>
      </w:rPr>
    </w:lvl>
    <w:lvl w:ilvl="2" w:tplc="240A0005" w:tentative="1">
      <w:start w:val="1"/>
      <w:numFmt w:val="bullet"/>
      <w:lvlText w:val=""/>
      <w:lvlJc w:val="left"/>
      <w:pPr>
        <w:ind w:left="2784" w:hanging="360"/>
      </w:pPr>
      <w:rPr>
        <w:rFonts w:ascii="Wingdings" w:hAnsi="Wingdings" w:hint="default"/>
      </w:rPr>
    </w:lvl>
    <w:lvl w:ilvl="3" w:tplc="240A0001" w:tentative="1">
      <w:start w:val="1"/>
      <w:numFmt w:val="bullet"/>
      <w:lvlText w:val=""/>
      <w:lvlJc w:val="left"/>
      <w:pPr>
        <w:ind w:left="3504" w:hanging="360"/>
      </w:pPr>
      <w:rPr>
        <w:rFonts w:ascii="Symbol" w:hAnsi="Symbol" w:hint="default"/>
      </w:rPr>
    </w:lvl>
    <w:lvl w:ilvl="4" w:tplc="240A0003" w:tentative="1">
      <w:start w:val="1"/>
      <w:numFmt w:val="bullet"/>
      <w:lvlText w:val="o"/>
      <w:lvlJc w:val="left"/>
      <w:pPr>
        <w:ind w:left="4224" w:hanging="360"/>
      </w:pPr>
      <w:rPr>
        <w:rFonts w:ascii="Courier New" w:hAnsi="Courier New" w:cs="Courier New" w:hint="default"/>
      </w:rPr>
    </w:lvl>
    <w:lvl w:ilvl="5" w:tplc="240A0005" w:tentative="1">
      <w:start w:val="1"/>
      <w:numFmt w:val="bullet"/>
      <w:lvlText w:val=""/>
      <w:lvlJc w:val="left"/>
      <w:pPr>
        <w:ind w:left="4944" w:hanging="360"/>
      </w:pPr>
      <w:rPr>
        <w:rFonts w:ascii="Wingdings" w:hAnsi="Wingdings" w:hint="default"/>
      </w:rPr>
    </w:lvl>
    <w:lvl w:ilvl="6" w:tplc="240A0001" w:tentative="1">
      <w:start w:val="1"/>
      <w:numFmt w:val="bullet"/>
      <w:lvlText w:val=""/>
      <w:lvlJc w:val="left"/>
      <w:pPr>
        <w:ind w:left="5664" w:hanging="360"/>
      </w:pPr>
      <w:rPr>
        <w:rFonts w:ascii="Symbol" w:hAnsi="Symbol" w:hint="default"/>
      </w:rPr>
    </w:lvl>
    <w:lvl w:ilvl="7" w:tplc="240A0003" w:tentative="1">
      <w:start w:val="1"/>
      <w:numFmt w:val="bullet"/>
      <w:lvlText w:val="o"/>
      <w:lvlJc w:val="left"/>
      <w:pPr>
        <w:ind w:left="6384" w:hanging="360"/>
      </w:pPr>
      <w:rPr>
        <w:rFonts w:ascii="Courier New" w:hAnsi="Courier New" w:cs="Courier New" w:hint="default"/>
      </w:rPr>
    </w:lvl>
    <w:lvl w:ilvl="8" w:tplc="240A0005" w:tentative="1">
      <w:start w:val="1"/>
      <w:numFmt w:val="bullet"/>
      <w:lvlText w:val=""/>
      <w:lvlJc w:val="left"/>
      <w:pPr>
        <w:ind w:left="7104" w:hanging="360"/>
      </w:pPr>
      <w:rPr>
        <w:rFonts w:ascii="Wingdings" w:hAnsi="Wingdings" w:hint="default"/>
      </w:rPr>
    </w:lvl>
  </w:abstractNum>
  <w:abstractNum w:abstractNumId="1" w15:restartNumberingAfterBreak="0">
    <w:nsid w:val="08E312E3"/>
    <w:multiLevelType w:val="hybridMultilevel"/>
    <w:tmpl w:val="A5F057D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2F940E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D75223"/>
    <w:multiLevelType w:val="hybridMultilevel"/>
    <w:tmpl w:val="8B885ADE"/>
    <w:lvl w:ilvl="0" w:tplc="057A6F2C">
      <w:numFmt w:val="bullet"/>
      <w:lvlText w:val="•"/>
      <w:lvlJc w:val="left"/>
      <w:pPr>
        <w:ind w:left="2208" w:hanging="624"/>
      </w:pPr>
      <w:rPr>
        <w:rFonts w:ascii="Arial" w:eastAsiaTheme="minorHAnsi" w:hAnsi="Arial" w:cs="Aria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 w15:restartNumberingAfterBreak="0">
    <w:nsid w:val="3B2A714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9D00542"/>
    <w:multiLevelType w:val="hybridMultilevel"/>
    <w:tmpl w:val="78F28098"/>
    <w:lvl w:ilvl="0" w:tplc="057A6F2C">
      <w:numFmt w:val="bullet"/>
      <w:lvlText w:val="•"/>
      <w:lvlJc w:val="left"/>
      <w:pPr>
        <w:ind w:left="1416" w:hanging="624"/>
      </w:pPr>
      <w:rPr>
        <w:rFonts w:ascii="Arial" w:eastAsiaTheme="minorHAnsi" w:hAnsi="Arial" w:cs="Aria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F16"/>
    <w:rsid w:val="004B51B7"/>
    <w:rsid w:val="00774F16"/>
    <w:rsid w:val="00A05813"/>
    <w:rsid w:val="00E260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498D7"/>
  <w15:chartTrackingRefBased/>
  <w15:docId w15:val="{1BF7FD13-7F36-458D-8CE3-BCD64C5C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B5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097238">
      <w:bodyDiv w:val="1"/>
      <w:marLeft w:val="0"/>
      <w:marRight w:val="0"/>
      <w:marTop w:val="0"/>
      <w:marBottom w:val="0"/>
      <w:divBdr>
        <w:top w:val="none" w:sz="0" w:space="0" w:color="auto"/>
        <w:left w:val="none" w:sz="0" w:space="0" w:color="auto"/>
        <w:bottom w:val="none" w:sz="0" w:space="0" w:color="auto"/>
        <w:right w:val="none" w:sz="0" w:space="0" w:color="auto"/>
      </w:divBdr>
      <w:divsChild>
        <w:div w:id="1081635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99C18-54F8-45B0-84A2-89ACEFE6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956</Words>
  <Characters>5261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garay</dc:creator>
  <cp:keywords/>
  <dc:description/>
  <cp:lastModifiedBy>Daniel garay</cp:lastModifiedBy>
  <cp:revision>1</cp:revision>
  <dcterms:created xsi:type="dcterms:W3CDTF">2026-05-04T02:12:00Z</dcterms:created>
  <dcterms:modified xsi:type="dcterms:W3CDTF">2026-05-04T03:10:00Z</dcterms:modified>
</cp:coreProperties>
</file>