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Georgia" w:cs="Georgia" w:eastAsia="Georgia" w:hAnsi="Georgia"/>
          <w:b/>
          <w:bCs/>
          <w:color w:val="002060"/>
          <w:sz w:val="40"/>
          <w:szCs w:val="40"/>
        </w:rPr>
        <w:t xml:space="preserve">Note Rate Curve Analysis</w:t>
      </w:r>
    </w:p>
    <w:p>
      <w:pPr>
        <w:spacing w:after="40"/>
      </w:pPr>
      <w:r>
        <w:rPr>
          <w:color w:val="334155"/>
          <w:sz w:val="21"/>
          <w:szCs w:val="21"/>
        </w:rPr>
        <w:t xml:space="preserve">Stage Point Master, LLC  |  Secured Promissory Note Offering</w:t>
      </w:r>
    </w:p>
    <w:p>
      <w:pPr>
        <w:pBdr>
          <w:bottom w:val="single" w:color="66A7B8" w:sz="6" w:space="8"/>
        </w:pBdr>
        <w:spacing w:after="320"/>
      </w:pPr>
      <w:r>
        <w:rPr>
          <w:i/>
          <w:iCs/>
          <w:color w:val="64748B"/>
          <w:sz w:val="17"/>
          <w:szCs w:val="17"/>
        </w:rPr>
        <w:t xml:space="preserve">July 2026  |  Internal discussion draft. Not for distribution to investors.</w:t>
      </w:r>
    </w:p>
    <w:p>
      <w:pPr>
        <w:pStyle w:val="Heading1"/>
        <w:keepNext/>
        <w:spacing w:after="120" w:before="260"/>
      </w:pPr>
      <w:r>
        <w:rPr>
          <w:rFonts w:ascii="Georgia" w:cs="Georgia" w:eastAsia="Georgia" w:hAnsi="Georgia"/>
          <w:b/>
          <w:bCs/>
          <w:color w:val="002060"/>
          <w:sz w:val="28"/>
          <w:szCs w:val="28"/>
        </w:rPr>
        <w:t xml:space="preserve">The problem: the curve is severely front-loaded</w:t>
      </w:r>
    </w:p>
    <w:p>
      <w:pPr>
        <w:spacing w:after="140" w:line="264"/>
      </w:pPr>
      <w:r>
        <w:rPr>
          <w:color w:val="334155"/>
          <w:sz w:val="21"/>
          <w:szCs w:val="21"/>
        </w:rPr>
        <w:t xml:space="preserve">Converting each step of the current schedule into marginal basis points earned per additional month of lockup shows where the yield is actually being spent.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100"/>
        <w:gridCol w:w="2100"/>
        <w:gridCol w:w="2560"/>
      </w:tblGrid>
      <w:tr>
        <w:trPr>
          <w:tblHeader/>
        </w:trPr>
        <w:tc>
          <w:tcPr>
            <w:tcW w:type="dxa" w:w="260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left"/>
            </w:pPr>
            <w:r>
              <w:rPr>
                <w:b/>
                <w:bCs/>
                <w:color w:val="FFFFFF"/>
                <w:sz w:val="18"/>
                <w:szCs w:val="18"/>
              </w:rPr>
              <w:t xml:space="preserve">Step</w:t>
            </w:r>
          </w:p>
        </w:tc>
        <w:tc>
          <w:tcPr>
            <w:tcW w:type="dxa" w:w="210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center"/>
            </w:pPr>
            <w:r>
              <w:rPr>
                <w:b/>
                <w:bCs/>
                <w:color w:val="FFFFFF"/>
                <w:sz w:val="18"/>
                <w:szCs w:val="18"/>
              </w:rPr>
              <w:t xml:space="preserve">Extra lockup</w:t>
            </w:r>
          </w:p>
        </w:tc>
        <w:tc>
          <w:tcPr>
            <w:tcW w:type="dxa" w:w="210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center"/>
            </w:pPr>
            <w:r>
              <w:rPr>
                <w:b/>
                <w:bCs/>
                <w:color w:val="FFFFFF"/>
                <w:sz w:val="18"/>
                <w:szCs w:val="18"/>
              </w:rPr>
              <w:t xml:space="preserve">Extra yield</w:t>
            </w:r>
          </w:p>
        </w:tc>
        <w:tc>
          <w:tcPr>
            <w:tcW w:type="dxa" w:w="256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center"/>
            </w:pPr>
            <w:r>
              <w:rPr>
                <w:b/>
                <w:bCs/>
                <w:color w:val="FFFFFF"/>
                <w:sz w:val="18"/>
                <w:szCs w:val="18"/>
              </w:rPr>
              <w:t xml:space="preserve">Basis points per month</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3 to 6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3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+100 bps</w:t>
            </w:r>
          </w:p>
        </w:tc>
        <w:tc>
          <w:tcPr>
            <w:tcW w:type="dxa" w:w="25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33.3</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6 to 9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3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+80 bps</w:t>
            </w:r>
          </w:p>
        </w:tc>
        <w:tc>
          <w:tcPr>
            <w:tcW w:type="dxa" w:w="25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26.7</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9 to 12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3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+50 bps</w:t>
            </w:r>
          </w:p>
        </w:tc>
        <w:tc>
          <w:tcPr>
            <w:tcW w:type="dxa" w:w="25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16.7</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12 to 18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+45 bps</w:t>
            </w:r>
          </w:p>
        </w:tc>
        <w:tc>
          <w:tcPr>
            <w:tcW w:type="dxa" w:w="25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7.5</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18 to 24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+50 bps</w:t>
            </w:r>
          </w:p>
        </w:tc>
        <w:tc>
          <w:tcPr>
            <w:tcW w:type="dxa" w:w="25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8.3</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24 to 36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12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+25 bps</w:t>
            </w:r>
          </w:p>
        </w:tc>
        <w:tc>
          <w:tcPr>
            <w:tcW w:type="dxa" w:w="25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2.1</w:t>
            </w:r>
          </w:p>
        </w:tc>
      </w:tr>
      <w:tr>
        <w:tc>
          <w:tcPr>
            <w:tcW w:type="dxa" w:w="26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36 to 60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24 months</w:t>
            </w:r>
          </w:p>
        </w:tc>
        <w:tc>
          <w:tcPr>
            <w:tcW w:type="dxa" w:w="21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+50 bps</w:t>
            </w:r>
          </w:p>
        </w:tc>
        <w:tc>
          <w:tcPr>
            <w:tcW w:type="dxa" w:w="25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2.1</w:t>
            </w:r>
          </w:p>
        </w:tc>
      </w:tr>
    </w:tbl>
    <w:p>
      <w:pPr>
        <w:spacing w:after="150"/>
      </w:pPr>
    </w:p>
    <w:p>
      <w:pPr>
        <w:spacing w:after="140" w:line="264"/>
      </w:pPr>
      <w:r>
        <w:rPr>
          <w:color w:val="334155"/>
          <w:sz w:val="21"/>
          <w:szCs w:val="21"/>
        </w:rPr>
        <w:t xml:space="preserve">The marginal reward collapses sixteen-fold from the short end to the long end. Concretely, 57 percent of the entire 400 basis point spread is spent in the first 9 months of term extension, which is only 16 percent of the lockup range. The final three years of commitment buy an investor just 75 basis points.</w:t>
      </w:r>
    </w:p>
    <w:p>
      <w:pPr>
        <w:spacing w:after="140" w:line="264"/>
      </w:pPr>
      <w:r>
        <w:rPr>
          <w:color w:val="334155"/>
          <w:sz w:val="21"/>
          <w:szCs w:val="21"/>
        </w:rPr>
        <w:t xml:space="preserve">Put the way an investor actually evaluates it, moving from the 12 month note to the 60 month note earns 170 basis points for four extra years of illiquidity, about 42 basis points per year. For locked, unlisted private credit paper, that is not compensation a rational investor accepts. The curve currently tells investors to sit at 12 months and roll.</w:t>
      </w:r>
    </w:p>
    <w:p>
      <w:pPr>
        <w:spacing w:after="140" w:line="264"/>
      </w:pPr>
      <w:r>
        <w:rPr>
          <w:color w:val="334155"/>
          <w:sz w:val="21"/>
          <w:szCs w:val="21"/>
        </w:rPr>
        <w:t xml:space="preserve">There is also a small kink. The 12 to 18 month step pays 7.5 basis points per month while the 18 to 24 month step pays 8.3. The 18 month tier is slightly underpriced against its own neighbours, making it the least attractive rung on the ladder.</w:t>
      </w:r>
    </w:p>
    <w:p>
      <w:pPr>
        <w:pStyle w:val="Heading1"/>
        <w:keepNext/>
        <w:spacing w:after="120" w:before="260"/>
      </w:pPr>
      <w:r>
        <w:rPr>
          <w:rFonts w:ascii="Georgia" w:cs="Georgia" w:eastAsia="Georgia" w:hAnsi="Georgia"/>
          <w:b/>
          <w:bCs/>
          <w:color w:val="002060"/>
          <w:sz w:val="28"/>
          <w:szCs w:val="28"/>
        </w:rPr>
        <w:t xml:space="preserve">The constraint you cannot design around</w:t>
      </w:r>
    </w:p>
    <w:p>
      <w:pPr>
        <w:spacing w:after="140" w:line="264"/>
      </w:pPr>
      <w:r>
        <w:rPr>
          <w:color w:val="334155"/>
          <w:sz w:val="21"/>
          <w:szCs w:val="21"/>
        </w:rPr>
        <w:t xml:space="preserve">With both endpoints pinned, 3 months at 6.00 percent and 60 months at 10.00 percent, the only way to make long lockups more attractive is to lower the middle of the curve. The back end cannot be steepened without either raising the 60 month rate or cutting the 12 to 24 month rates. It is strictly zero sum. Every option below is therefore a question of how much the middle is repriced.</w:t>
      </w:r>
    </w:p>
    <w:p>
      <w:pPr>
        <w:pStyle w:val="Heading1"/>
        <w:keepNext/>
        <w:spacing w:after="120" w:before="260"/>
      </w:pPr>
      <w:r>
        <w:rPr>
          <w:rFonts w:ascii="Georgia" w:cs="Georgia" w:eastAsia="Georgia" w:hAnsi="Georgia"/>
          <w:b/>
          <w:bCs/>
          <w:color w:val="002060"/>
          <w:sz w:val="28"/>
          <w:szCs w:val="28"/>
        </w:rPr>
        <w:t xml:space="preserve">Three options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800"/>
        <w:gridCol w:w="1800"/>
        <w:gridCol w:w="1800"/>
        <w:gridCol w:w="1800"/>
      </w:tblGrid>
      <w:tr>
        <w:trPr>
          <w:tblHeader/>
        </w:trPr>
        <w:tc>
          <w:tcPr>
            <w:tcW w:type="dxa" w:w="216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left"/>
            </w:pPr>
            <w:r>
              <w:rPr>
                <w:b/>
                <w:bCs/>
                <w:color w:val="FFFFFF"/>
                <w:sz w:val="18"/>
                <w:szCs w:val="18"/>
              </w:rPr>
              <w:t xml:space="preserve">Term</w:t>
            </w:r>
          </w:p>
        </w:tc>
        <w:tc>
          <w:tcPr>
            <w:tcW w:type="dxa" w:w="180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center"/>
            </w:pPr>
            <w:r>
              <w:rPr>
                <w:b/>
                <w:bCs/>
                <w:color w:val="FFFFFF"/>
                <w:sz w:val="18"/>
                <w:szCs w:val="18"/>
              </w:rPr>
              <w:t xml:space="preserve">Current</w:t>
            </w:r>
          </w:p>
        </w:tc>
        <w:tc>
          <w:tcPr>
            <w:tcW w:type="dxa" w:w="180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center"/>
            </w:pPr>
            <w:r>
              <w:rPr>
                <w:b/>
                <w:bCs/>
                <w:color w:val="FFFFFF"/>
                <w:sz w:val="18"/>
                <w:szCs w:val="18"/>
              </w:rPr>
              <w:t xml:space="preserve">A: Gentle</w:t>
            </w:r>
          </w:p>
        </w:tc>
        <w:tc>
          <w:tcPr>
            <w:tcW w:type="dxa" w:w="180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center"/>
            </w:pPr>
            <w:r>
              <w:rPr>
                <w:b/>
                <w:bCs/>
                <w:color w:val="FFFFFF"/>
                <w:sz w:val="18"/>
                <w:szCs w:val="18"/>
              </w:rPr>
              <w:t xml:space="preserve">B: Balanced (rec.)</w:t>
            </w:r>
          </w:p>
        </w:tc>
        <w:tc>
          <w:tcPr>
            <w:tcW w:type="dxa" w:w="1800"/>
            <w:tcBorders>
              <w:top w:val="single" w:color="E2E8F0" w:sz="4"/>
              <w:left w:val="single" w:color="E2E8F0" w:sz="4"/>
              <w:bottom w:val="single" w:color="E2E8F0" w:sz="4"/>
              <w:right w:val="single" w:color="E2E8F0" w:sz="4"/>
            </w:tcBorders>
            <w:shd w:fill="002060" w:color="auto" w:val="clear"/>
            <w:tcMar>
              <w:top w:type="dxa" w:w="90"/>
              <w:left w:type="dxa" w:w="120"/>
              <w:bottom w:type="dxa" w:w="90"/>
              <w:right w:type="dxa" w:w="120"/>
            </w:tcMar>
          </w:tcPr>
          <w:p>
            <w:pPr>
              <w:jc w:val="center"/>
            </w:pPr>
            <w:r>
              <w:rPr>
                <w:b/>
                <w:bCs/>
                <w:color w:val="FFFFFF"/>
                <w:sz w:val="18"/>
                <w:szCs w:val="18"/>
              </w:rPr>
              <w:t xml:space="preserve">C: Strong duration</w:t>
            </w:r>
          </w:p>
        </w:tc>
      </w:tr>
      <w:tr>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3 months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6.00%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6.00%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bCs/>
                <w:i w:val="false"/>
                <w:iCs w:val="false"/>
                <w:color w:val="002060"/>
                <w:sz w:val="19"/>
                <w:szCs w:val="19"/>
              </w:rPr>
              <w:t xml:space="preserve">6.00%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6.00%</w:t>
            </w:r>
          </w:p>
        </w:tc>
      </w:tr>
      <w:tr>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6 months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7.00%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6.75%</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bCs/>
                <w:i w:val="false"/>
                <w:iCs w:val="false"/>
                <w:color w:val="002060"/>
                <w:sz w:val="19"/>
                <w:szCs w:val="19"/>
              </w:rPr>
              <w:t xml:space="preserve">6.50%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6.30%</w:t>
            </w:r>
          </w:p>
        </w:tc>
      </w:tr>
      <w:tr>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9 months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7.80%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7.30%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bCs/>
                <w:i w:val="false"/>
                <w:iCs w:val="false"/>
                <w:color w:val="002060"/>
                <w:sz w:val="19"/>
                <w:szCs w:val="19"/>
              </w:rPr>
              <w:t xml:space="preserve">6.95%</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6.60%</w:t>
            </w:r>
          </w:p>
        </w:tc>
      </w:tr>
      <w:tr>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12 months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8.30%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7.75%</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bCs/>
                <w:i w:val="false"/>
                <w:iCs w:val="false"/>
                <w:color w:val="002060"/>
                <w:sz w:val="19"/>
                <w:szCs w:val="19"/>
              </w:rPr>
              <w:t xml:space="preserve">7.40%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6.95%</w:t>
            </w:r>
          </w:p>
        </w:tc>
      </w:tr>
      <w:tr>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18 months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8.75%</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8.25%</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bCs/>
                <w:i w:val="false"/>
                <w:iCs w:val="false"/>
                <w:color w:val="002060"/>
                <w:sz w:val="19"/>
                <w:szCs w:val="19"/>
              </w:rPr>
              <w:t xml:space="preserve">8.00%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7.55%</w:t>
            </w:r>
          </w:p>
        </w:tc>
      </w:tr>
      <w:tr>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24 months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9.25%</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8.70%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bCs/>
                <w:i w:val="false"/>
                <w:iCs w:val="false"/>
                <w:color w:val="002060"/>
                <w:sz w:val="19"/>
                <w:szCs w:val="19"/>
              </w:rPr>
              <w:t xml:space="preserve">8.50%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8.15%</w:t>
            </w:r>
          </w:p>
        </w:tc>
      </w:tr>
      <w:tr>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36 months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9.50%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9.25%</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bCs/>
                <w:i w:val="false"/>
                <w:iCs w:val="false"/>
                <w:color w:val="002060"/>
                <w:sz w:val="19"/>
                <w:szCs w:val="19"/>
              </w:rPr>
              <w:t xml:space="preserve">9.20%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9.00%</w:t>
            </w:r>
          </w:p>
        </w:tc>
      </w:tr>
      <w:tr>
        <w:tc>
          <w:tcPr>
            <w:tcW w:type="dxa" w:w="216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left"/>
            </w:pPr>
            <w:r>
              <w:rPr>
                <w:b w:val="false"/>
                <w:bCs w:val="false"/>
                <w:i w:val="false"/>
                <w:iCs w:val="false"/>
                <w:color w:val="334155"/>
                <w:sz w:val="19"/>
                <w:szCs w:val="19"/>
              </w:rPr>
              <w:t xml:space="preserve">60 months</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10.00%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10.00%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bCs/>
                <w:i w:val="false"/>
                <w:iCs w:val="false"/>
                <w:color w:val="002060"/>
                <w:sz w:val="19"/>
                <w:szCs w:val="19"/>
              </w:rPr>
              <w:t xml:space="preserve">10.00%</w:t>
            </w:r>
          </w:p>
        </w:tc>
        <w:tc>
          <w:tcPr>
            <w:tcW w:type="dxa" w:w="1800"/>
            <w:tcBorders>
              <w:top w:val="single" w:color="E2E8F0" w:sz="4"/>
              <w:left w:val="single" w:color="E2E8F0" w:sz="4"/>
              <w:bottom w:val="single" w:color="E2E8F0" w:sz="4"/>
              <w:right w:val="single" w:color="E2E8F0" w:sz="4"/>
            </w:tcBorders>
            <w:tcMar>
              <w:top w:type="dxa" w:w="80"/>
              <w:left w:type="dxa" w:w="120"/>
              <w:bottom w:type="dxa" w:w="80"/>
              <w:right w:type="dxa" w:w="120"/>
            </w:tcMar>
          </w:tcPr>
          <w:p>
            <w:pPr>
              <w:jc w:val="center"/>
            </w:pPr>
            <w:r>
              <w:rPr>
                <w:b w:val="false"/>
                <w:bCs w:val="false"/>
                <w:i w:val="false"/>
                <w:iCs w:val="false"/>
                <w:color w:val="334155"/>
                <w:sz w:val="19"/>
                <w:szCs w:val="19"/>
              </w:rPr>
              <w:t xml:space="preserve">10.00%</w:t>
            </w:r>
          </w:p>
        </w:tc>
      </w:tr>
      <w:tr>
        <w:tc>
          <w:tcPr>
            <w:tcW w:type="dxa" w:w="21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left"/>
            </w:pPr>
            <w:r>
              <w:rPr>
                <w:b w:val="false"/>
                <w:bCs w:val="false"/>
                <w:i/>
                <w:iCs/>
                <w:color w:val="334155"/>
                <w:sz w:val="19"/>
                <w:szCs w:val="19"/>
              </w:rPr>
              <w:t xml:space="preserve">Front to back ratio</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16x</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8x</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002060"/>
                <w:sz w:val="19"/>
                <w:szCs w:val="19"/>
              </w:rPr>
              <w:t xml:space="preserve">5x</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2.4x</w:t>
            </w:r>
          </w:p>
        </w:tc>
      </w:tr>
      <w:tr>
        <w:tc>
          <w:tcPr>
            <w:tcW w:type="dxa" w:w="21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left"/>
            </w:pPr>
            <w:r>
              <w:rPr>
                <w:b w:val="false"/>
                <w:bCs w:val="false"/>
                <w:i/>
                <w:iCs/>
                <w:color w:val="334155"/>
                <w:sz w:val="19"/>
                <w:szCs w:val="19"/>
              </w:rPr>
              <w:t xml:space="preserve">12 month repricing</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n/a</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-55 bps</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002060"/>
                <w:sz w:val="19"/>
                <w:szCs w:val="19"/>
              </w:rPr>
              <w:t xml:space="preserve">-90 bps</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-135 bps</w:t>
            </w:r>
          </w:p>
        </w:tc>
      </w:tr>
      <w:tr>
        <w:tc>
          <w:tcPr>
            <w:tcW w:type="dxa" w:w="216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left"/>
            </w:pPr>
            <w:r>
              <w:rPr>
                <w:b w:val="false"/>
                <w:bCs w:val="false"/>
                <w:i/>
                <w:iCs/>
                <w:color w:val="334155"/>
                <w:sz w:val="19"/>
                <w:szCs w:val="19"/>
              </w:rPr>
              <w:t xml:space="preserve">12 vs 60 pickup</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42 bps/yr</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56 bps/yr</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002060"/>
                <w:sz w:val="19"/>
                <w:szCs w:val="19"/>
              </w:rPr>
              <w:t xml:space="preserve">65 bps/yr</w:t>
            </w:r>
          </w:p>
        </w:tc>
        <w:tc>
          <w:tcPr>
            <w:tcW w:type="dxa" w:w="1800"/>
            <w:tcBorders>
              <w:top w:val="single" w:color="E2E8F0" w:sz="4"/>
              <w:left w:val="single" w:color="E2E8F0" w:sz="4"/>
              <w:bottom w:val="single" w:color="E2E8F0" w:sz="4"/>
              <w:right w:val="single" w:color="E2E8F0" w:sz="4"/>
            </w:tcBorders>
            <w:shd w:fill="F8FAFC" w:color="auto" w:val="clear"/>
            <w:tcMar>
              <w:top w:type="dxa" w:w="80"/>
              <w:left w:type="dxa" w:w="120"/>
              <w:bottom w:type="dxa" w:w="80"/>
              <w:right w:type="dxa" w:w="120"/>
            </w:tcMar>
          </w:tcPr>
          <w:p>
            <w:pPr>
              <w:jc w:val="center"/>
            </w:pPr>
            <w:r>
              <w:rPr>
                <w:b w:val="false"/>
                <w:bCs w:val="false"/>
                <w:i/>
                <w:iCs/>
                <w:color w:val="334155"/>
                <w:sz w:val="19"/>
                <w:szCs w:val="19"/>
              </w:rPr>
              <w:t xml:space="preserve">76 bps/yr</w:t>
            </w:r>
          </w:p>
        </w:tc>
      </w:tr>
    </w:tbl>
    <w:p>
      <w:pPr>
        <w:spacing w:after="150"/>
      </w:pPr>
    </w:p>
    <w:p>
      <w:pPr>
        <w:spacing w:after="140" w:line="264"/>
      </w:pPr>
      <w:r>
        <w:rPr>
          <w:color w:val="334155"/>
          <w:sz w:val="21"/>
          <w:szCs w:val="21"/>
        </w:rPr>
        <w:t xml:space="preserve">Option B is the recommendation. It roughly triples the marginal reward at the long end, from 2.1 to 5.8 basis points per month on the 24 to 36 month leg, removes the 18 month kink, and brings the 12 versus 60 month decision to 65 basis points per year of additional lockup, which is defensible against comparable private credit paper. Option C is the cleanest incentive design in pure theory, with a nearly flat marginal profile, but a 135 basis point cut at the 12 month point is a large competitive move to make in a single step.</w:t>
      </w:r>
    </w:p>
    <w:p>
      <w:pPr>
        <w:pStyle w:val="Heading1"/>
        <w:keepNext/>
        <w:spacing w:after="120" w:before="260"/>
      </w:pPr>
      <w:r>
        <w:rPr>
          <w:rFonts w:ascii="Georgia" w:cs="Georgia" w:eastAsia="Georgia" w:hAnsi="Georgia"/>
          <w:b/>
          <w:bCs/>
          <w:color w:val="002060"/>
          <w:sz w:val="28"/>
          <w:szCs w:val="28"/>
        </w:rPr>
        <w:t xml:space="preserve">Worth challenging the premise</w:t>
      </w:r>
    </w:p>
    <w:p>
      <w:pPr>
        <w:spacing w:after="140" w:line="264"/>
      </w:pPr>
      <w:r>
        <w:rPr>
          <w:color w:val="334155"/>
          <w:sz w:val="21"/>
          <w:szCs w:val="21"/>
        </w:rPr>
        <w:t xml:space="preserve">As a product matter, maximising duration deserves scrutiny. The fund's assets are 12 month fix and flip loans. Funding short, repricing assets with five year fixed 10 percent money is a duration mismatch in the opposite direction from the usual one. The 2025 year end investor letter notes borrowing costs trending down with SOFR. If loan yields compress from the current level of roughly 16.5 percent while a growing book of 60 month liabilities is locked at 10 percent, that spread narrows and cannot be repriced out of.</w:t>
      </w:r>
    </w:p>
    <w:p>
      <w:pPr>
        <w:spacing w:after="140" w:line="264"/>
      </w:pPr>
      <w:r>
        <w:rPr>
          <w:color w:val="334155"/>
          <w:sz w:val="21"/>
          <w:szCs w:val="21"/>
        </w:rPr>
        <w:t xml:space="preserve">Longer lockups genuinely reduce rollover and liquidity risk, which is real value after the REO episode disrupted cash flow. The optimum is probably a barbell targeting the 24 to 36 month range as the sweet spot for stable but repriceable capital, rather than pushing every investor to 60 months. Option B achieves this. It makes the 24 and 36 month tiers materially more attractive relative to 12 months without making 60 months a stampede.</w:t>
      </w:r>
    </w:p>
    <w:p>
      <w:pPr>
        <w:pStyle w:val="Heading1"/>
        <w:keepNext/>
        <w:spacing w:after="120" w:before="260"/>
      </w:pPr>
      <w:r>
        <w:rPr>
          <w:rFonts w:ascii="Georgia" w:cs="Georgia" w:eastAsia="Georgia" w:hAnsi="Georgia"/>
          <w:b/>
          <w:bCs/>
          <w:color w:val="002060"/>
          <w:sz w:val="28"/>
          <w:szCs w:val="28"/>
        </w:rPr>
        <w:t xml:space="preserve">Before anything ships</w:t>
      </w:r>
    </w:p>
    <w:p>
      <w:pPr>
        <w:pStyle w:val="ListParagraph"/>
        <w:numPr>
          <w:ilvl w:val="0"/>
          <w:numId w:val="2"/>
        </w:numPr>
        <w:spacing w:after="140" w:line="276"/>
      </w:pPr>
      <w:r>
        <w:rPr>
          <w:color w:val="334155"/>
          <w:sz w:val="21"/>
          <w:szCs w:val="21"/>
        </w:rPr>
        <w:t xml:space="preserve">These are new issuance rates. Existing noteholders keep their contracted rate, but renewal behaviour needs watching. An investor rolling off 8.30 percent who is offered 7.40 percent may simply leave, so the runoff should be modelled.</w:t>
      </w:r>
    </w:p>
    <w:p>
      <w:pPr>
        <w:pStyle w:val="ListParagraph"/>
        <w:numPr>
          <w:ilvl w:val="0"/>
          <w:numId w:val="2"/>
        </w:numPr>
        <w:spacing w:after="140" w:line="276"/>
      </w:pPr>
      <w:r>
        <w:rPr>
          <w:color w:val="334155"/>
          <w:sz w:val="21"/>
          <w:szCs w:val="21"/>
        </w:rPr>
        <w:t xml:space="preserve">Published rates live in the offering memorandum and the note documents. A change requires Moss and Moss LLP review and updated offering documents, not just a website edit.</w:t>
      </w:r>
    </w:p>
    <w:p>
      <w:pPr>
        <w:pStyle w:val="ListParagraph"/>
        <w:numPr>
          <w:ilvl w:val="0"/>
          <w:numId w:val="2"/>
        </w:numPr>
        <w:spacing w:after="140" w:line="276"/>
      </w:pPr>
      <w:r>
        <w:rPr>
          <w:color w:val="334155"/>
          <w:sz w:val="21"/>
          <w:szCs w:val="21"/>
        </w:rPr>
        <w:t xml:space="preserve">The weighted average cost of funds should be modelled under each option against the expected subscription mix before committing. Cutting the middle lowers the funding cost only if investors do not all migrate to the 10 percent tier.</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33415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2026-07-20T19:17:05.299Z</dcterms:created>
  <dcterms:modified xsi:type="dcterms:W3CDTF">2026-07-20T19:17:05.300Z</dcterms:modified>
</cp:coreProperties>
</file>

<file path=docProps/custom.xml><?xml version="1.0" encoding="utf-8"?>
<Properties xmlns="http://schemas.openxmlformats.org/officeDocument/2006/custom-properties" xmlns:vt="http://schemas.openxmlformats.org/officeDocument/2006/docPropsVTypes"/>
</file>