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Component 2: Adaptive AI-Driven Digital Twin for HDD Health</w:t>
      </w:r>
    </w:p>
    <w:p>
      <w:pPr>
        <w:jc w:val="center"/>
      </w:pPr>
      <w:r>
        <w:rPr>
          <w:b/>
        </w:rPr>
        <w:t>Validation Evidence and Audit Report</w:t>
      </w:r>
      <w:r>
        <w:br/>
        <w:t>Held-out adaptive degradation lead-time evaluation</w:t>
      </w:r>
    </w:p>
    <w:p>
      <w:r>
        <w:t>Purpose. This report records the implementation and evaluation evidence for the adaptive degradation lead-time experiment in Component 2 of the Hard Disk Failure Prediction System. It distinguishes the measured results from broader claims that the experiment does not establish.</w:t>
      </w:r>
    </w:p>
    <w:p>
      <w:pPr>
        <w:pStyle w:val="Heading1"/>
      </w:pPr>
      <w:r>
        <w:t>1. Experiment overview</w:t>
      </w:r>
    </w:p>
    <w:p>
      <w:r>
        <w:t>The experiment evaluates whether the adaptive degradation rule identifies a persistent SMART-based degradation signal before the recorded failure date for HDDs in the original held-out test set. The validation script reads the compact Digital Twin state CSV in chunks and filters observations to the 117 held-out HDD identifiers.</w:t>
      </w:r>
    </w:p>
    <w:p>
      <w:r>
        <w:t>The degradation evidence uses the 7-observation change features for SMART 1 and SMART 187. The two feature severities are combined using the maximum severity. A detection is confirmed when Moderate-or-higher severity persists for seven consecutive observations. The first confirmation is used for lead-time evaluation. The failure-day observation and observations after it are excluded.</w:t>
      </w:r>
    </w:p>
    <w:p>
      <w:pPr>
        <w:pStyle w:val="Heading1"/>
      </w:pPr>
      <w:r>
        <w:t>2. Held-out results</w:t>
      </w:r>
    </w:p>
    <w:tbl>
      <w:tblPr>
        <w:tblStyle w:val="LightShading-Accent1"/>
        <w:tblW w:type="auto" w:w="0"/>
        <w:jc w:val="center"/>
        <w:tblLook w:firstColumn="1" w:firstRow="1" w:lastColumn="0" w:lastRow="0" w:noHBand="0" w:noVBand="1" w:val="04A0"/>
      </w:tblPr>
      <w:tblGrid>
        <w:gridCol w:w="4968"/>
        <w:gridCol w:w="4968"/>
      </w:tblGrid>
      <w:tr>
        <w:tc>
          <w:tcPr>
            <w:tcW w:type="dxa" w:w="4968"/>
            <w:vAlign w:val="center"/>
          </w:tcPr>
          <w:p>
            <w:r>
              <w:t>Metric</w:t>
            </w:r>
          </w:p>
        </w:tc>
        <w:tc>
          <w:tcPr>
            <w:tcW w:type="dxa" w:w="4968"/>
            <w:vAlign w:val="center"/>
          </w:tcPr>
          <w:p>
            <w:r>
              <w:t>Result</w:t>
            </w:r>
          </w:p>
        </w:tc>
      </w:tr>
      <w:tr>
        <w:tc>
          <w:tcPr>
            <w:tcW w:type="dxa" w:w="4968"/>
            <w:vAlign w:val="center"/>
          </w:tcPr>
          <w:p>
            <w:r>
              <w:t>Held-out HDDs evaluated</w:t>
            </w:r>
          </w:p>
        </w:tc>
        <w:tc>
          <w:tcPr>
            <w:tcW w:type="dxa" w:w="4968"/>
            <w:vAlign w:val="center"/>
          </w:tcPr>
          <w:p>
            <w:r>
              <w:t>117</w:t>
            </w:r>
          </w:p>
        </w:tc>
      </w:tr>
      <w:tr>
        <w:tc>
          <w:tcPr>
            <w:tcW w:type="dxa" w:w="4968"/>
            <w:vAlign w:val="center"/>
          </w:tcPr>
          <w:p>
            <w:r>
              <w:t>HDDs with recorded failure</w:t>
            </w:r>
          </w:p>
        </w:tc>
        <w:tc>
          <w:tcPr>
            <w:tcW w:type="dxa" w:w="4968"/>
            <w:vAlign w:val="center"/>
          </w:tcPr>
          <w:p>
            <w:r>
              <w:t>117</w:t>
            </w:r>
          </w:p>
        </w:tc>
      </w:tr>
      <w:tr>
        <w:tc>
          <w:tcPr>
            <w:tcW w:type="dxa" w:w="4968"/>
            <w:vAlign w:val="center"/>
          </w:tcPr>
          <w:p>
            <w:r>
              <w:t>First detections within 60 calendar days</w:t>
            </w:r>
          </w:p>
        </w:tc>
        <w:tc>
          <w:tcPr>
            <w:tcW w:type="dxa" w:w="4968"/>
            <w:vAlign w:val="center"/>
          </w:tcPr>
          <w:p>
            <w:r>
              <w:t>24</w:t>
            </w:r>
          </w:p>
        </w:tc>
      </w:tr>
      <w:tr>
        <w:tc>
          <w:tcPr>
            <w:tcW w:type="dxa" w:w="4968"/>
            <w:vAlign w:val="center"/>
          </w:tcPr>
          <w:p>
            <w:r>
              <w:t>Detection rate</w:t>
            </w:r>
          </w:p>
        </w:tc>
        <w:tc>
          <w:tcPr>
            <w:tcW w:type="dxa" w:w="4968"/>
            <w:vAlign w:val="center"/>
          </w:tcPr>
          <w:p>
            <w:r>
              <w:t>20.51%</w:t>
            </w:r>
          </w:p>
        </w:tc>
      </w:tr>
      <w:tr>
        <w:tc>
          <w:tcPr>
            <w:tcW w:type="dxa" w:w="4968"/>
            <w:vAlign w:val="center"/>
          </w:tcPr>
          <w:p>
            <w:r>
              <w:t>Not detected within the 60-day window</w:t>
            </w:r>
          </w:p>
        </w:tc>
        <w:tc>
          <w:tcPr>
            <w:tcW w:type="dxa" w:w="4968"/>
            <w:vAlign w:val="center"/>
          </w:tcPr>
          <w:p>
            <w:r>
              <w:t>93</w:t>
            </w:r>
          </w:p>
        </w:tc>
      </w:tr>
      <w:tr>
        <w:tc>
          <w:tcPr>
            <w:tcW w:type="dxa" w:w="4968"/>
            <w:vAlign w:val="center"/>
          </w:tcPr>
          <w:p>
            <w:r>
              <w:t>Mean lead time among the 24 detections</w:t>
            </w:r>
          </w:p>
        </w:tc>
        <w:tc>
          <w:tcPr>
            <w:tcW w:type="dxa" w:w="4968"/>
            <w:vAlign w:val="center"/>
          </w:tcPr>
          <w:p>
            <w:r>
              <w:t>14.17 days</w:t>
            </w:r>
          </w:p>
        </w:tc>
      </w:tr>
      <w:tr>
        <w:tc>
          <w:tcPr>
            <w:tcW w:type="dxa" w:w="4968"/>
            <w:vAlign w:val="center"/>
          </w:tcPr>
          <w:p>
            <w:r>
              <w:t>Median lead time among the 24 detections</w:t>
            </w:r>
          </w:p>
        </w:tc>
        <w:tc>
          <w:tcPr>
            <w:tcW w:type="dxa" w:w="4968"/>
            <w:vAlign w:val="center"/>
          </w:tcPr>
          <w:p>
            <w:r>
              <w:t>7.5 days</w:t>
            </w:r>
          </w:p>
        </w:tc>
      </w:tr>
      <w:tr>
        <w:tc>
          <w:tcPr>
            <w:tcW w:type="dxa" w:w="4968"/>
            <w:vAlign w:val="center"/>
          </w:tcPr>
          <w:p>
            <w:r>
              <w:t>Minimum–maximum lead time among detections</w:t>
            </w:r>
          </w:p>
        </w:tc>
        <w:tc>
          <w:tcPr>
            <w:tcW w:type="dxa" w:w="4968"/>
            <w:vAlign w:val="center"/>
          </w:tcPr>
          <w:p>
            <w:r>
              <w:t>1–54 days</w:t>
            </w:r>
          </w:p>
        </w:tc>
      </w:tr>
      <w:tr>
        <w:tc>
          <w:tcPr>
            <w:tcW w:type="dxa" w:w="4968"/>
            <w:vAlign w:val="center"/>
          </w:tcPr>
          <w:p>
            <w:r>
              <w:t>Persistence requirement</w:t>
            </w:r>
          </w:p>
        </w:tc>
        <w:tc>
          <w:tcPr>
            <w:tcW w:type="dxa" w:w="4968"/>
            <w:vAlign w:val="center"/>
          </w:tcPr>
          <w:p>
            <w:r>
              <w:t>7 consecutive observations</w:t>
            </w:r>
          </w:p>
        </w:tc>
      </w:tr>
      <w:tr>
        <w:tc>
          <w:tcPr>
            <w:tcW w:type="dxa" w:w="4968"/>
            <w:vAlign w:val="center"/>
          </w:tcPr>
          <w:p>
            <w:r>
              <w:t>Evaluation window</w:t>
            </w:r>
          </w:p>
        </w:tc>
        <w:tc>
          <w:tcPr>
            <w:tcW w:type="dxa" w:w="4968"/>
            <w:vAlign w:val="center"/>
          </w:tcPr>
          <w:p>
            <w:r>
              <w:t>0–60 calendar days before recorded failure</w:t>
            </w:r>
          </w:p>
        </w:tc>
      </w:tr>
    </w:tbl>
    <w:p>
      <w:pPr>
        <w:pStyle w:val="Heading1"/>
      </w:pPr>
      <w:r>
        <w:t>3. Lead-time distribution</w:t>
      </w:r>
    </w:p>
    <w:tbl>
      <w:tblPr>
        <w:tblStyle w:val="LightShading-Accent1"/>
        <w:tblW w:type="auto" w:w="0"/>
        <w:jc w:val="center"/>
        <w:tblLook w:firstColumn="1" w:firstRow="1" w:lastColumn="0" w:lastRow="0" w:noHBand="0" w:noVBand="1" w:val="04A0"/>
      </w:tblPr>
      <w:tblGrid>
        <w:gridCol w:w="3312"/>
        <w:gridCol w:w="3312"/>
        <w:gridCol w:w="3312"/>
      </w:tblGrid>
      <w:tr>
        <w:tc>
          <w:tcPr>
            <w:tcW w:type="dxa" w:w="3312"/>
          </w:tcPr>
          <w:p>
            <w:r>
              <w:t>Lead-time band</w:t>
            </w:r>
          </w:p>
        </w:tc>
        <w:tc>
          <w:tcPr>
            <w:tcW w:type="dxa" w:w="3312"/>
          </w:tcPr>
          <w:p>
            <w:r>
              <w:t>HDD count</w:t>
            </w:r>
          </w:p>
        </w:tc>
        <w:tc>
          <w:tcPr>
            <w:tcW w:type="dxa" w:w="3312"/>
          </w:tcPr>
          <w:p>
            <w:r>
              <w:t>Percentage of detections</w:t>
            </w:r>
          </w:p>
        </w:tc>
      </w:tr>
      <w:tr>
        <w:tc>
          <w:tcPr>
            <w:tcW w:type="dxa" w:w="3312"/>
          </w:tcPr>
          <w:p>
            <w:r>
              <w:t>0–3 days</w:t>
            </w:r>
          </w:p>
        </w:tc>
        <w:tc>
          <w:tcPr>
            <w:tcW w:type="dxa" w:w="3312"/>
          </w:tcPr>
          <w:p>
            <w:r>
              <w:t>7</w:t>
            </w:r>
          </w:p>
        </w:tc>
        <w:tc>
          <w:tcPr>
            <w:tcW w:type="dxa" w:w="3312"/>
          </w:tcPr>
          <w:p>
            <w:r>
              <w:t>29.17%</w:t>
            </w:r>
          </w:p>
        </w:tc>
      </w:tr>
      <w:tr>
        <w:tc>
          <w:tcPr>
            <w:tcW w:type="dxa" w:w="3312"/>
          </w:tcPr>
          <w:p>
            <w:r>
              <w:t>4–7 days</w:t>
            </w:r>
          </w:p>
        </w:tc>
        <w:tc>
          <w:tcPr>
            <w:tcW w:type="dxa" w:w="3312"/>
          </w:tcPr>
          <w:p>
            <w:r>
              <w:t>5</w:t>
            </w:r>
          </w:p>
        </w:tc>
        <w:tc>
          <w:tcPr>
            <w:tcW w:type="dxa" w:w="3312"/>
          </w:tcPr>
          <w:p>
            <w:r>
              <w:t>20.83%</w:t>
            </w:r>
          </w:p>
        </w:tc>
      </w:tr>
      <w:tr>
        <w:tc>
          <w:tcPr>
            <w:tcW w:type="dxa" w:w="3312"/>
          </w:tcPr>
          <w:p>
            <w:r>
              <w:t>8–14 days</w:t>
            </w:r>
          </w:p>
        </w:tc>
        <w:tc>
          <w:tcPr>
            <w:tcW w:type="dxa" w:w="3312"/>
          </w:tcPr>
          <w:p>
            <w:r>
              <w:t>4</w:t>
            </w:r>
          </w:p>
        </w:tc>
        <w:tc>
          <w:tcPr>
            <w:tcW w:type="dxa" w:w="3312"/>
          </w:tcPr>
          <w:p>
            <w:r>
              <w:t>16.67%</w:t>
            </w:r>
          </w:p>
        </w:tc>
      </w:tr>
      <w:tr>
        <w:tc>
          <w:tcPr>
            <w:tcW w:type="dxa" w:w="3312"/>
          </w:tcPr>
          <w:p>
            <w:r>
              <w:t>15–30 days</w:t>
            </w:r>
          </w:p>
        </w:tc>
        <w:tc>
          <w:tcPr>
            <w:tcW w:type="dxa" w:w="3312"/>
          </w:tcPr>
          <w:p>
            <w:r>
              <w:t>4</w:t>
            </w:r>
          </w:p>
        </w:tc>
        <w:tc>
          <w:tcPr>
            <w:tcW w:type="dxa" w:w="3312"/>
          </w:tcPr>
          <w:p>
            <w:r>
              <w:t>16.67%</w:t>
            </w:r>
          </w:p>
        </w:tc>
      </w:tr>
      <w:tr>
        <w:tc>
          <w:tcPr>
            <w:tcW w:type="dxa" w:w="3312"/>
          </w:tcPr>
          <w:p>
            <w:r>
              <w:t>31–60 days</w:t>
            </w:r>
          </w:p>
        </w:tc>
        <w:tc>
          <w:tcPr>
            <w:tcW w:type="dxa" w:w="3312"/>
          </w:tcPr>
          <w:p>
            <w:r>
              <w:t>4</w:t>
            </w:r>
          </w:p>
        </w:tc>
        <w:tc>
          <w:tcPr>
            <w:tcW w:type="dxa" w:w="3312"/>
          </w:tcPr>
          <w:p>
            <w:r>
              <w:t>16.67%</w:t>
            </w:r>
          </w:p>
        </w:tc>
      </w:tr>
    </w:tbl>
    <w:p>
      <w:pPr>
        <w:pStyle w:val="Heading1"/>
      </w:pPr>
      <w:r>
        <w:t>4. Implementation and consistency checks</w:t>
      </w:r>
    </w:p>
    <w:p>
      <w:pPr>
        <w:pStyle w:val="ListBullet"/>
      </w:pPr>
      <w:r>
        <w:rPr>
          <w:b/>
        </w:rPr>
        <w:t xml:space="preserve">Threshold consistency: </w:t>
      </w:r>
      <w:r>
        <w:t>The validation uses the same SMART 1 and SMART 187 severity thresholds as the current adaptive_digital_twin.py implementation. Combined severity is the maximum of the two feature severities.</w:t>
      </w:r>
    </w:p>
    <w:p>
      <w:pPr>
        <w:pStyle w:val="ListBullet"/>
      </w:pPr>
      <w:r>
        <w:rPr>
          <w:b/>
        </w:rPr>
        <w:t xml:space="preserve">Missing values: </w:t>
      </w:r>
      <w:r>
        <w:t>A missing SMART feature receives severity zero. If both change features are missing, the row does not qualify as Moderate-or-higher and breaks the persistence run. If one feature is available, that feature can still contribute to detection.</w:t>
      </w:r>
    </w:p>
    <w:p>
      <w:pPr>
        <w:pStyle w:val="ListBullet"/>
      </w:pPr>
      <w:r>
        <w:rPr>
          <w:b/>
        </w:rPr>
        <w:t xml:space="preserve">Failure-day exclusion: </w:t>
      </w:r>
      <w:r>
        <w:t>The evaluated pre-failure observations are dated strictly before the recorded failure date.</w:t>
      </w:r>
    </w:p>
    <w:p>
      <w:pPr>
        <w:pStyle w:val="ListBullet"/>
      </w:pPr>
      <w:r>
        <w:rPr>
          <w:b/>
        </w:rPr>
        <w:t xml:space="preserve">Persistence: </w:t>
      </w:r>
      <w:r>
        <w:t>The detection is confirmed on the observation that completes seven consecutive qualifying observations.</w:t>
      </w:r>
    </w:p>
    <w:p>
      <w:pPr>
        <w:pStyle w:val="ListBullet"/>
      </w:pPr>
      <w:r>
        <w:rPr>
          <w:b/>
        </w:rPr>
        <w:t xml:space="preserve">First-detection rule: </w:t>
      </w:r>
      <w:r>
        <w:t>The revised implementation selects the first confirmation overall, then classifies whether its lead time falls within 0–60 calendar days. It does not substitute a later confirmation if the first one is outside the window.</w:t>
      </w:r>
    </w:p>
    <w:p>
      <w:pPr>
        <w:pStyle w:val="ListBullet"/>
      </w:pPr>
      <w:r>
        <w:rPr>
          <w:b/>
        </w:rPr>
        <w:t xml:space="preserve">Repository status: </w:t>
      </w:r>
      <w:r>
        <w:t>The validation script was committed as 355b7c3 with message 'Add held-out adaptive degradation lead-time validation' and pushed to feature/kaveesha-digital-twin. The reported terminal output showed the local branch up to date with origin and a clean working tree.</w:t>
      </w:r>
    </w:p>
    <w:p>
      <w:pPr>
        <w:pStyle w:val="Heading1"/>
      </w:pPr>
      <w:r>
        <w:t>5. Interpretation</w:t>
      </w:r>
    </w:p>
    <w:p>
      <w:r>
        <w:t>Under this rule and evaluation window, 24 of 117 held-out HDDs (20.51%) had their first confirmed persistent degradation detection between 0 and 60 calendar days before recorded failure. For those 24 HDDs, the mean lead time was 14.17 days and the median was 7.5 days.</w:t>
      </w:r>
    </w:p>
    <w:p>
      <w:r>
        <w:t>The 20.51% value is a detection rate for this specific adaptive degradation rule, not overall system accuracy, failure-classification accuracy, recall, precision, or RUL prediction accuracy. The mean and median lead times apply only to the 24 detected HDDs, not to all 117 test HDDs.</w:t>
      </w:r>
    </w:p>
    <w:p>
      <w:pPr>
        <w:pStyle w:val="Heading1"/>
      </w:pPr>
      <w:r>
        <w:t>6. Limitations and cautions</w:t>
      </w:r>
    </w:p>
    <w:p>
      <w:pPr>
        <w:pStyle w:val="ListBullet"/>
      </w:pPr>
      <w:r>
        <w:t>Persistence is counted in observations, not calendar days. Gaps between observations mean seven consecutive observations do not necessarily span seven calendar days.</w:t>
      </w:r>
    </w:p>
    <w:p>
      <w:pPr>
        <w:pStyle w:val="ListBullet"/>
      </w:pPr>
      <w:r>
        <w:t>The result depends on the chosen SMART thresholds, seven-observation persistence rule, and 60-day window. These settings should not be tuned against the held-out test outcomes and then reported as an unbiased test.</w:t>
      </w:r>
    </w:p>
    <w:p>
      <w:pPr>
        <w:pStyle w:val="ListBullet"/>
      </w:pPr>
      <w:r>
        <w:t>Missing SMART values reduce available evidence. Assigning severity zero to a missing feature is a rule for this implementation; it is not evidence that the HDD is healthy.</w:t>
      </w:r>
    </w:p>
    <w:p>
      <w:pPr>
        <w:pStyle w:val="ListBullet"/>
      </w:pPr>
      <w:r>
        <w:t>The 93 HDDs not detected within the window may have other degradation patterns or insufficient detectable signals. They should not be described as having no degradation.</w:t>
      </w:r>
    </w:p>
    <w:p>
      <w:pPr>
        <w:pStyle w:val="ListBullet"/>
      </w:pPr>
      <w:r>
        <w:t>The experiment measures lead time for degradation detection. It does not establish that the adaptive state improves the BiLSTM RUL model, nor does it validate calibrated prediction intervals.</w:t>
      </w:r>
    </w:p>
    <w:p>
      <w:pPr>
        <w:pStyle w:val="ListBullet"/>
      </w:pPr>
      <w:r>
        <w:t>The evaluation uses recorded failure dates and observations available in the selected dataset period. Results should be interpreted within that dataset and split design.</w:t>
      </w:r>
    </w:p>
    <w:p>
      <w:pPr>
        <w:pStyle w:val="Heading1"/>
      </w:pPr>
      <w:r>
        <w:t>7. Generated result files</w:t>
      </w:r>
    </w:p>
    <w:p>
      <w:r>
        <w:t>The script writes the following files under results/digital_twin_rul/:</w:t>
      </w:r>
    </w:p>
    <w:p>
      <w:pPr>
        <w:pStyle w:val="ListBullet"/>
      </w:pPr>
      <w:r>
        <w:t>heldout_adaptive_lead_time_results.csv — per-HDD detection and lead-time outcomes.</w:t>
      </w:r>
    </w:p>
    <w:p>
      <w:pPr>
        <w:pStyle w:val="ListBullet"/>
      </w:pPr>
      <w:r>
        <w:t>heldout_adaptive_lead_time_summary.csv — aggregate metrics and evaluation settings.</w:t>
      </w:r>
    </w:p>
    <w:p>
      <w:pPr>
        <w:pStyle w:val="ListBullet"/>
      </w:pPr>
      <w:r>
        <w:t>heldout_adaptive_lead_time_distribution.csv — lead-time bands among detections.</w:t>
      </w:r>
    </w:p>
    <w:p>
      <w:r>
        <w:t>The script is committed to Git; that does not by itself mean the generated CSV outputs are tracked. Check repository status and ignore rules before deciding whether to commit result artifacts. Do not commit the large raw state dataset merely to preserve reproducibility.</w:t>
      </w:r>
    </w:p>
    <w:p>
      <w:pPr>
        <w:pStyle w:val="Heading1"/>
      </w:pPr>
      <w:r>
        <w:t>8. Reproducibility</w:t>
      </w:r>
    </w:p>
    <w:p>
      <w:r>
        <w:t>From the Component 2 directory, run:</w:t>
      </w:r>
    </w:p>
    <w:p>
      <w:r>
        <w:rPr>
          <w:rFonts w:ascii="Consolas" w:hAnsi="Consolas"/>
          <w:sz w:val="18"/>
        </w:rPr>
        <w:t>python -m py_compile .\scripts\validate_heldout_adaptive_lead_time.py</w:t>
      </w:r>
    </w:p>
    <w:p>
      <w:r>
        <w:rPr>
          <w:rFonts w:ascii="Consolas" w:hAnsi="Consolas"/>
          <w:sz w:val="18"/>
        </w:rPr>
        <w:t>python .\scripts\validate_heldout_adaptive_lead_time.py</w:t>
      </w:r>
    </w:p>
    <w:p>
      <w:r>
        <w:t>Inputs required by the script include results/rul_sequences/test_hdds.csv and results/digital_twin_state_v5.csv. The report records the observed run results supplied in the project terminal output; it does not independently re-execute the project code.</w:t>
      </w:r>
    </w:p>
    <w:p>
      <w:pPr>
        <w:pStyle w:val="Heading1"/>
      </w:pPr>
      <w:r>
        <w:t>9. Suggested concise research write-up</w:t>
      </w:r>
    </w:p>
    <w:p>
      <w:r>
        <w:t>A held-out evaluation was conducted on 117 HDDs using an adaptive degradation rule based on seven-observation SMART 1 and SMART 187 change features. A detection was defined as the first observation completing seven consecutive Moderate-or-higher degradation observations. The failure-day observation was excluded, and lead time was calculated in calendar days. The first detection fell within 60 days before recorded failure for 24 HDDs (20.51%). Among these detections, mean lead time was 14.17 days, median lead time was 7.5 days, and the observed range was 1–54 days. This result characterises the lead-time behaviour of the specified degradation rule; it should not be interpreted as overall failure-prediction accuracy or as evidence that the rule improves RUL prediction. Persistence is observation-based, and missing SMART values and the selected thresholds are important limitations.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