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Слайд: Введение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Коммуникация является ключевым элементом профессиональной деятельности, определяющим эффективность взаимодействия специалистов. Особенно важна она для студентов и молодых специалистов, которые на начальном этапе карьеры адаптируются к нормам делового общения и формируют свои коммуникативные стратегии.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В этот период они сталкиваются с рядом трудностей, связанных с неуверенностью, недостатком опыта и необходимостью выстраивать взаимодействие с коллегами и руководством. Дополнительное влияние оказывает цифровизация коммуникации и широкое использование мессенджеров и инструментов искусственного интеллекта.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Актуальность исследования обусловлена необходимостью изучения особенностей профессиональной коммуникации молодых специалистов в условиях сочетания традиционных и цифровых форм общения.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Цель исследования</w:t>
      </w:r>
      <w:r>
        <w:rPr/>
        <w:t xml:space="preserve"> — выявить особенности профессиональной коммуникации студентов и молодых специалистов.</w:t>
        <w:br/>
      </w:r>
      <w:r>
        <w:rPr>
          <w:rStyle w:val="Strong"/>
        </w:rPr>
        <w:t>Метод</w:t>
      </w:r>
      <w:r>
        <w:rPr/>
        <w:t xml:space="preserve"> — анкетный опрос.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b/>
          <w:bCs/>
        </w:rPr>
        <w:t>Слайд: Методология исследования (текст для речи)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В качестве основного метода исследования был выбран анкетный опрос, проведённый с использованием платформы Google Forms. Данный метод позволяет охватить широкую аудиторию респондентов, обеспечить их анонимность и получить данные, пригодные для последующего количественного анализа.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Анонимный характер анкетирования способствует большей откровенности ответов, особенно при обсуждении коммуникативных трудностей и стратегий поведения. Использование стандартизированных вопросов с преимущественно закрытыми вариантами ответов обеспечивает сопоставимость данных и выявление общих тенденций.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Сбор и обработка данных не требуют непосредственного участия исследователя, что снижает влияние субъективного фактора и упрощает анализ результатов.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Слайд: Цель, задачи и гипотезы (текст для речи)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Целью данного исследования является выявление особенностей профессиональной коммуникации студентов и молодых специалистов.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Для достижения данной цели были поставлены следующие задачи: проанализировать теоретические подходы к изучению профессиональной коммуникации, провести эмпирическое исследование коммуникативных особенностей респондентов, выявить основные трудности в коммуникации, а также оценить влияние цифровых инструментов и уровень профессиональной уверенности на поведение в коммуникации.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В рамках исследования были выдвинуты гипотезы, предполагающие, что мессенджеры являются основным каналом профессиональной коммуникации, при этом традиционные формы общения сохраняют значимость. Предполагалось также, что молодые специалисты склонны к кооперативным стратегиям взаимодействия, испытывают внутренние коммуникативные барьеры, не всегда проявляют инициативу в получении обратной связи, активно используют инструменты искусственного интеллекта и демонстрируют установки, связанные со снижением значимости работы.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Слайд: Структура анкеты (текст для речи)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Анкета исследования состоит из 22 вопросов и включает семь тематических блоков, каждый из которых направлен на изучение отдельных аспектов профессиональной коммуникации.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Первый блок посвящён формату работы и общей коммуникации и позволяет оценить условия труда и интенсивность взаимодействия. Второй блок направлен на выявление коммуникативных стилей и стратегий самопрезентации. Третий блок исследует взаимодействие с руководством, включая инициативность в получении обратной связи и уровень уверенности.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Четвёртый блок посвящён трудностям и барьерам в коммуникации. Пятый блок рассматривает использование цифровых инструментов и искусственного интеллекта. Шестой блок направлен на изучение отношения к работе и профессиональных установок. Седьмой блок включает социально-демографические характеристики респондентов, необходимые для анализа выборки.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Структура анкеты позволяет комплексно рассмотреть профессиональную коммуникацию молодых специалистов с разных сторон и сопоставить поведенческие, когнитивные и установочные аспекты.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Слайд: статистика</w:t>
      </w:r>
    </w:p>
    <w:p>
      <w:pPr>
        <w:pStyle w:val="Normal"/>
        <w:bidi w:val="0"/>
        <w:rPr/>
      </w:pPr>
      <w:r>
        <w:rPr/>
        <w:t>Изначально в опросе приняли участие 34 человека. В ходе обработки данных были исключены ответы респондентов, не соответствующих критериям целевой группы:</w:t>
      </w:r>
    </w:p>
    <w:p>
      <w:pPr>
        <w:pStyle w:val="Normal"/>
        <w:bidi w:val="0"/>
        <w:rPr/>
      </w:pPr>
      <w:r>
        <w:rPr/>
        <w:t xml:space="preserve">— </w:t>
      </w:r>
      <w:r>
        <w:rPr/>
        <w:t>2 респондента с опытом работы более 3 лет;</w:t>
      </w:r>
    </w:p>
    <w:p>
      <w:pPr>
        <w:pStyle w:val="Normal"/>
        <w:bidi w:val="0"/>
        <w:rPr/>
      </w:pPr>
      <w:r>
        <w:rPr/>
        <w:t xml:space="preserve">— </w:t>
      </w:r>
      <w:r>
        <w:rPr/>
        <w:t>2 респондента, не имеющих опыта работы.</w:t>
      </w:r>
    </w:p>
    <w:p>
      <w:pPr>
        <w:pStyle w:val="Normal"/>
        <w:bidi w:val="0"/>
        <w:rPr/>
      </w:pPr>
      <w:r>
        <w:rPr/>
        <w:t>Таким образом, для дальнейшего анализа были использованы ответы 30 респондентов, полностью соответствующих целевой группе.</w:t>
      </w:r>
    </w:p>
    <w:p>
      <w:pPr>
        <w:pStyle w:val="Normal"/>
        <w:bidi w:val="0"/>
        <w:rPr/>
      </w:pPr>
      <w:r>
        <w:rPr/>
        <w:t>В выборке преобладают мужчины (70%), доля женщин составляет 30% (диаграмма 1).</w:t>
      </w:r>
    </w:p>
    <w:p>
      <w:pPr>
        <w:pStyle w:val="Normal"/>
        <w:bidi w:val="0"/>
        <w:rPr/>
      </w:pPr>
      <w:r>
        <w:rPr/>
        <w:t>По возрастному распределению большинство респондентов находятся в диапазоне 22–25 лет (80%), респонденты в возрасте 18–21 года составляют 10%, и 26–30 лет — также 10% (диаграмма 2).</w:t>
      </w:r>
    </w:p>
    <w:p>
      <w:pPr>
        <w:pStyle w:val="Normal"/>
        <w:bidi w:val="0"/>
        <w:rPr/>
      </w:pPr>
      <w:r>
        <w:rPr/>
        <w:t>По статусу занятости респонденты распределились следующим образом (диаграмма 3):</w:t>
      </w:r>
    </w:p>
    <w:p>
      <w:pPr>
        <w:pStyle w:val="Normal"/>
        <w:bidi w:val="0"/>
        <w:rPr/>
      </w:pPr>
      <w:r>
        <w:rPr/>
        <w:t xml:space="preserve">— </w:t>
      </w:r>
      <w:r>
        <w:rPr/>
        <w:t>студенты, работающие по специальности — 29,6%;</w:t>
      </w:r>
    </w:p>
    <w:p>
      <w:pPr>
        <w:pStyle w:val="Normal"/>
        <w:bidi w:val="0"/>
        <w:rPr/>
      </w:pPr>
      <w:r>
        <w:rPr/>
        <w:t xml:space="preserve">— </w:t>
      </w:r>
      <w:r>
        <w:rPr/>
        <w:t>студенты, работающие не по специальности — 11,1%;</w:t>
      </w:r>
    </w:p>
    <w:p>
      <w:pPr>
        <w:pStyle w:val="Normal"/>
        <w:bidi w:val="0"/>
        <w:rPr/>
      </w:pPr>
      <w:r>
        <w:rPr/>
        <w:t xml:space="preserve">— </w:t>
      </w:r>
      <w:r>
        <w:rPr/>
        <w:t>молодые специалисты с опытом работы от 1 до 3 лет — 59,3%.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Блок 1. Формат работы и каналы коммуникации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Формат работы</w:t>
      </w:r>
    </w:p>
    <w:p>
      <w:pPr>
        <w:pStyle w:val="Normal"/>
        <w:bidi w:val="0"/>
        <w:jc w:val="left"/>
        <w:rPr/>
      </w:pPr>
      <w:r>
        <w:rPr/>
        <w:t>По данным выборки можно отметить, что большинство респондентов работают в офисном или гибридном формате, что означает сочетание очной и дистанционной коммуникации. Это важно, поскольку в таких условиях одновременно используются как цифровые, так и личные каналы взаимодействия.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Использование мессенджеров</w:t>
      </w:r>
    </w:p>
    <w:p>
      <w:pPr>
        <w:pStyle w:val="Normal"/>
        <w:bidi w:val="0"/>
        <w:jc w:val="left"/>
        <w:rPr/>
      </w:pPr>
      <w:r>
        <w:rPr/>
        <w:t>По графику видно, что практически 100% респондентов используют мессенджеры в рабочей коммуникации, при этом значительная часть делает это постоянно. Это говорит о том, что мессенджеры являются базовым и наиболее универсальным инструментом взаимодействия в профессиональной среде молодых специалистов.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Личное общение</w:t>
      </w:r>
    </w:p>
    <w:p>
      <w:pPr>
        <w:pStyle w:val="Normal"/>
        <w:bidi w:val="0"/>
        <w:jc w:val="left"/>
        <w:rPr/>
      </w:pPr>
      <w:r>
        <w:rPr/>
        <w:t>Также можно отметить, что существенная доля респондентов регулярно использует личное общение. Это показывает, что несмотря на цифровизацию, офлайн-коммуникация сохраняет свою значимость и используется для более сложных или чувствительных задач.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Связь с гипотезами</w:t>
      </w:r>
    </w:p>
    <w:p>
      <w:pPr>
        <w:pStyle w:val="Normal"/>
        <w:bidi w:val="0"/>
        <w:jc w:val="left"/>
        <w:rPr/>
      </w:pPr>
      <w:r>
        <w:rPr/>
        <w:t>Таким образом, можно говорить о том, что гипотеза о доминировании цифровых каналов коммуникации подтверждается, при этом традиционные формы общения также остаются востребованными.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Блок 2. Коммуникативные стили и самопрезентация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Реакция на критику</w:t>
      </w:r>
    </w:p>
    <w:p>
      <w:pPr>
        <w:pStyle w:val="Normal"/>
        <w:bidi w:val="0"/>
        <w:jc w:val="left"/>
        <w:rPr/>
      </w:pPr>
      <w:r>
        <w:rPr/>
        <w:t>По графику видно, что большинство респондентов выбирают конструктивную стратегию реакции на критику — они стремятся аргументировать свою позицию и находить компромисс. Это свидетельствует о преобладании кооперативного стиля общения.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Самопрезентация при знакомстве</w:t>
      </w:r>
    </w:p>
    <w:p>
      <w:pPr>
        <w:pStyle w:val="Normal"/>
        <w:bidi w:val="0"/>
        <w:jc w:val="left"/>
        <w:rPr/>
      </w:pPr>
      <w:r>
        <w:rPr/>
        <w:t>При знакомстве с новыми коллегами большинство респондентов ориентируются на установление контакта и создание положительного впечатления, а не на демонстрацию исключительно профессиональных качеств.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Поведение в конфликтных ситуациях</w:t>
      </w:r>
    </w:p>
    <w:p>
      <w:pPr>
        <w:pStyle w:val="Normal"/>
        <w:bidi w:val="0"/>
        <w:jc w:val="left"/>
        <w:rPr/>
      </w:pPr>
      <w:r>
        <w:rPr/>
        <w:t>В цифровой переписке значительная часть респондентов склонна избегать прямого ответа на конфликтные сообщения или реагировать сдержанно. Это указывает на стремление минимизировать конфликты, особенно в онлайн-среде.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Связь с гипотезами</w:t>
      </w:r>
    </w:p>
    <w:p>
      <w:pPr>
        <w:pStyle w:val="Normal"/>
        <w:bidi w:val="0"/>
        <w:jc w:val="left"/>
        <w:rPr/>
      </w:pPr>
      <w:r>
        <w:rPr/>
        <w:t>Таким образом, подтверждается гипотеза о преобладании кооперативных и избегающих стратегий коммуникации, а также гипотеза о важности социальной адаптации на начальном этапе профессиональной деятельности.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Самооценка коммуникабельности (контрольный вопрос)</w:t>
      </w:r>
    </w:p>
    <w:p>
      <w:pPr>
        <w:pStyle w:val="Normal"/>
        <w:bidi w:val="0"/>
        <w:jc w:val="left"/>
        <w:rPr/>
      </w:pPr>
      <w:r>
        <w:rPr/>
        <w:t>Также по контрольному вопросу видно, что большинство респондентов оценивают себя как коммуникабельных. Это важно, поскольку данный вопрос позволяет сопоставить субъективную самооценку с реальным коммуникативным поведением.</w:t>
      </w:r>
    </w:p>
    <w:p>
      <w:pPr>
        <w:pStyle w:val="Normal"/>
        <w:bidi w:val="0"/>
        <w:jc w:val="left"/>
        <w:rPr/>
      </w:pPr>
      <w:r>
        <w:rPr/>
        <w:t>При этом наблюдается интересное несоответствие: несмотря на высокую самооценку коммуникабельности, в конфликтных ситуациях часть респондентов выбирает избегающее поведение.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Это говорит о том, что коммуникабельность воспринимается скорее как общая социальная открытость, а не как готовность к сложным или конфликтным коммуникациям.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Блок 3. Взаимодействие с руководством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Обратная связь</w:t>
      </w:r>
    </w:p>
    <w:p>
      <w:pPr>
        <w:pStyle w:val="Normal"/>
        <w:bidi w:val="0"/>
        <w:jc w:val="left"/>
        <w:rPr/>
      </w:pPr>
      <w:r>
        <w:rPr/>
        <w:t>По графику видно, что значительная часть респондентов не проявляет регулярной инициативы в получении обратной связи от руководства. Как правило, это происходит ситуативно или по инициативе самого руководителя, что говорит о достаточно пассивной позиции в данном вопросе.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Уточнение рабочих задач</w:t>
      </w:r>
    </w:p>
    <w:p>
      <w:pPr>
        <w:pStyle w:val="Normal"/>
        <w:bidi w:val="0"/>
        <w:jc w:val="left"/>
        <w:rPr/>
      </w:pPr>
      <w:r>
        <w:rPr/>
        <w:t>При этом более половины респондентов предпочитают сразу уточнять задачи при возникновении непонимания. Это свидетельствует о стремлении избежать ошибок и повысить качество выполнения работы.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Реакция на критику</w:t>
      </w:r>
    </w:p>
    <w:p>
      <w:pPr>
        <w:pStyle w:val="Normal"/>
        <w:bidi w:val="0"/>
        <w:jc w:val="left"/>
        <w:rPr/>
      </w:pPr>
      <w:r>
        <w:rPr/>
        <w:t>Большинство респондентов отмечают, что воспринимают критику спокойно и стараются учитывать её в работе, однако часть испытывает внутренний дискомфорт, что указывает на чувствительность к оценке со стороны руководства.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Страх некомпетентности</w:t>
      </w:r>
    </w:p>
    <w:p>
      <w:pPr>
        <w:pStyle w:val="Normal"/>
        <w:bidi w:val="0"/>
        <w:jc w:val="left"/>
        <w:rPr/>
      </w:pPr>
      <w:r>
        <w:rPr/>
        <w:t>Также заметная доля респондентов отмечает страх показаться некомпетентными, однако это не останавливает их от уточнения информации и взаимодействия с руководителем.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Самооценка профессиональной уверенности (контрольный вопрос)</w:t>
      </w:r>
    </w:p>
    <w:p>
      <w:pPr>
        <w:pStyle w:val="Normal"/>
        <w:bidi w:val="0"/>
        <w:jc w:val="left"/>
        <w:rPr/>
      </w:pPr>
      <w:r>
        <w:rPr/>
        <w:t>Отдельно по контрольному вопросу, связанному с оценкой собственной профессиональной уверенности, большинство респондентов считают себя достаточно уверенными в своей профессиональной компетентности.</w:t>
      </w:r>
    </w:p>
    <w:p>
      <w:pPr>
        <w:pStyle w:val="Normal"/>
        <w:bidi w:val="0"/>
        <w:jc w:val="left"/>
        <w:rPr/>
      </w:pPr>
      <w:r>
        <w:rPr/>
        <w:t>Однако при сопоставлении с предыдущими ответами наблюдается интересный момент:</w:t>
      </w:r>
    </w:p>
    <w:p>
      <w:pPr>
        <w:pStyle w:val="Normal"/>
        <w:bidi w:val="0"/>
        <w:jc w:val="left"/>
        <w:rPr/>
      </w:pPr>
      <w:r>
        <w:rPr/>
        <w:t>несмотря на высокую самооценку профессиональной уверенности, часть респондентов всё равно испытывает страх показаться некомпетентными и проявляет осторожность во взаимодействии с руководством.</w:t>
      </w:r>
    </w:p>
    <w:p>
      <w:pPr>
        <w:pStyle w:val="Normal"/>
        <w:bidi w:val="0"/>
        <w:jc w:val="left"/>
        <w:rPr/>
      </w:pPr>
      <w:r>
        <w:rPr/>
        <w:t>Это говорит о том, что уверенность носит скорее субъективный характер и не всегда полностью отражается в поведенческих стратегиях, особенно в ситуациях оценки со стороны руководства.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Связь с гипотезами</w:t>
      </w:r>
    </w:p>
    <w:p>
      <w:pPr>
        <w:pStyle w:val="Normal"/>
        <w:bidi w:val="0"/>
        <w:jc w:val="left"/>
        <w:rPr/>
      </w:pPr>
      <w:r>
        <w:rPr/>
        <w:t>Таким образом, гипотеза о наличии внутренних барьеров в коммуникации с руководством подтверждается, а гипотеза о конструктивном характере взаимодействия подтверждается частично.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Блок 4. Трудности и барьеры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Основные трудности</w:t>
      </w:r>
    </w:p>
    <w:p>
      <w:pPr>
        <w:pStyle w:val="Normal"/>
        <w:bidi w:val="0"/>
        <w:jc w:val="left"/>
        <w:rPr/>
      </w:pPr>
      <w:r>
        <w:rPr/>
        <w:t>По результатам графиков видно, что ключевые трудности в коммуникации связаны с внутренними факторами, такими как неуверенность, страх высказаться и сложности в формулировке мыслей. Внешние причины, такие как конфликты или организационные барьеры, встречаются значительно реже.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Оценка изменений в коммуникации</w:t>
      </w:r>
    </w:p>
    <w:p>
      <w:pPr>
        <w:pStyle w:val="Normal"/>
        <w:bidi w:val="0"/>
        <w:jc w:val="left"/>
        <w:rPr/>
      </w:pPr>
      <w:r>
        <w:rPr/>
        <w:t>о ответам на открытый вопрос видно, что значительная часть респондентов либо не предлагает изменений, либо полностью удовлетворена существующими правилами коммуникации.</w:t>
      </w:r>
    </w:p>
    <w:p>
      <w:pPr>
        <w:pStyle w:val="Normal"/>
        <w:bidi w:val="0"/>
        <w:jc w:val="left"/>
        <w:rPr/>
      </w:pPr>
      <w:r>
        <w:rPr/>
        <w:t>В то же время среди предложений чаще всего встречаются идеи, связанные с оптимизацией каналов коммуникации — переход к мессенджерам, сокращение количества созвонов и встреч, а также усиление прямого общения.</w:t>
      </w:r>
    </w:p>
    <w:p>
      <w:pPr>
        <w:pStyle w:val="Normal"/>
        <w:bidi w:val="0"/>
        <w:jc w:val="left"/>
        <w:rPr/>
      </w:pPr>
      <w:r>
        <w:rPr/>
        <w:t>Также выделяются предложения по формализации процессов, например, письменное закрепление задач, а также запрос на упрощение коммуникации и снижение избыточной формальности.</w:t>
      </w:r>
    </w:p>
    <w:p>
      <w:pPr>
        <w:pStyle w:val="Normal"/>
        <w:bidi w:val="0"/>
        <w:jc w:val="left"/>
        <w:rPr/>
      </w:pPr>
      <w:r>
        <w:rPr/>
        <w:t>Отдельно можно отметить предложения, связанные с границами рабочего времени и культурой общения, включая уважение и баланс формальности и неформальности.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Связь с гипотезами</w:t>
      </w:r>
    </w:p>
    <w:p>
      <w:pPr>
        <w:pStyle w:val="Normal"/>
        <w:bidi w:val="0"/>
        <w:jc w:val="left"/>
        <w:rPr/>
      </w:pPr>
      <w:r>
        <w:rPr/>
        <w:t>Таким образом, подтверждается гипотеза о том, что основные барьеры коммуникации носят внутренний, психологический характер, а не связаны преимущественно с внешними условиями.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Блок 5. Цифровая среда и ИИ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Использование ИИ</w:t>
      </w:r>
    </w:p>
    <w:p>
      <w:pPr>
        <w:pStyle w:val="Normal"/>
        <w:bidi w:val="0"/>
        <w:jc w:val="left"/>
        <w:rPr/>
      </w:pPr>
      <w:r>
        <w:rPr/>
        <w:t>По графику видно, что 86,6% респондентов используют нейросети в работе, из них 43,3% делают это постоянно, 23,3% — для сложных задач, 20% — для подготовки черновиков. Только 13,3% не используют ИИ. Это говорит о высокой степени распространенности технологий искусственного интеллекта в профессиональной коммуникации.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Отношение к ИИ</w:t>
      </w:r>
    </w:p>
    <w:p>
      <w:pPr>
        <w:pStyle w:val="Normal"/>
        <w:bidi w:val="0"/>
        <w:jc w:val="left"/>
        <w:rPr/>
      </w:pPr>
      <w:r>
        <w:rPr/>
        <w:t>При этом мнения разделились: 30% считают допустимой шаблонность текста, 26,7% считают, что ИИ мешает развитию навыков, 23,3% отмечают его полезность, и 20% затруднились с ответом. Это показывает отсутствие единого отношения к влиянию 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Нормальность использования</w:t>
      </w:r>
    </w:p>
    <w:p>
      <w:pPr>
        <w:pStyle w:val="Normal"/>
        <w:bidi w:val="0"/>
        <w:jc w:val="left"/>
        <w:rPr/>
      </w:pPr>
      <w:r>
        <w:rPr/>
        <w:t>63,3% респондентов считают использование ИИ нормальной практикой в профессиональной среде, что свидетельствует о постепенной институционализации этих инструментов.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Каналы срочной коммуникации</w:t>
      </w:r>
    </w:p>
    <w:p>
      <w:pPr>
        <w:pStyle w:val="Normal"/>
        <w:bidi w:val="0"/>
        <w:jc w:val="left"/>
        <w:rPr/>
      </w:pPr>
      <w:r>
        <w:rPr/>
        <w:t>По графику видно, что 43,3% предпочитают мессенджеры для срочной коммуникации, 26,7% — телефон, 20% — личное общение, и значительно меньшая доля выбирает email и системы задач. Это подтверждает доминирование цифровых каналов в оперативном взаимодействии.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Связь с гипотезами</w:t>
      </w:r>
    </w:p>
    <w:p>
      <w:pPr>
        <w:pStyle w:val="Normal"/>
        <w:bidi w:val="0"/>
        <w:jc w:val="left"/>
        <w:rPr/>
      </w:pPr>
      <w:r>
        <w:rPr/>
        <w:t>Таким образом, гипотеза о широком использовании цифровых инструментов и ИИ полностью подтверждается, как и гипотеза о доминировании мессенджеров при сохранении роли традиционных каналов.</w:t>
        <w:br/>
        <w:br/>
      </w:r>
      <w:r>
        <w:rPr>
          <w:b/>
          <w:bCs/>
        </w:rPr>
        <w:t>Блок 6. Отношение к работе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Quiet quitting</w:t>
      </w:r>
    </w:p>
    <w:p>
      <w:pPr>
        <w:pStyle w:val="Normal"/>
        <w:bidi w:val="0"/>
        <w:jc w:val="left"/>
        <w:rPr/>
      </w:pPr>
      <w:r>
        <w:rPr/>
        <w:t>По графику видно, что 56,7% респондентов согласны с утверждениями, отражающими установки quiet quitting, включая дистанцированное отношение к работе и готовность уйти без объяснений. При этом 23,3% занимают нейтральную позицию и около 20% не согласны.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Ощущение бессмысленности работы</w:t>
      </w:r>
    </w:p>
    <w:p>
      <w:pPr>
        <w:pStyle w:val="Normal"/>
        <w:bidi w:val="0"/>
        <w:jc w:val="left"/>
        <w:rPr/>
      </w:pPr>
      <w:r>
        <w:rPr/>
        <w:t>Также 46,7% респондентов испытывают ощущение, что работают впустую, хотя бы иногда или часто. У 36,7% это происходит редко, и лишь 16,7% никогда не сталкиваются с таким ощущением. Это указывает на наличие у значительной части респондентов признаков демотивации.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Связь с гипотезами</w:t>
      </w:r>
    </w:p>
    <w:p>
      <w:pPr>
        <w:pStyle w:val="Normal"/>
        <w:bidi w:val="0"/>
        <w:jc w:val="left"/>
        <w:rPr/>
      </w:pPr>
      <w:r>
        <w:rPr/>
        <w:t>Таким образом, гипотеза о распространенности установок quiet quitting среди молодых специалистов подтверждается, как и гипотеза о наличии элементов демотивации в их профессиональной деятельности.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Общий итог по защите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В целом, анализ графиков показывает, что коммуникативное поведение студентов и молодых специалистов характеризуется высокой степенью цифровизации, преобладанием мессенджеров и активным использованием 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При этом сохраняется значимость личного общения и традиционных форм коммуникации. Коммуникативные стратегии в основном кооперативные, с тенденцией к избеганию конфликтов.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Основные трудности имеют внутренний психологический характер, а взаимодействие с руководством носит в целом конструктивный, но не всегда инициативный характер.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Большинство гипотез исследования получили подтверждение на основе эмпирических данных.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1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LibreOffice/25.8.6.2$Linux_X86_64 LibreOffice_project/a46b460d1686bb49c718d2ef5f88b83ff2dc4981</Application>
  <AppVersion>15.0000</AppVersion>
  <Pages>6</Pages>
  <Words>1598</Words>
  <Characters>11743</Characters>
  <CharactersWithSpaces>13257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2026-03-29T18:04:50Z</dcterms:created>
  <dc:creator/>
  <dc:description/>
  <dc:language>en-US</dc:language>
  <cp:lastModifiedBy/>
  <dcterms:modified xsi:type="dcterms:W3CDTF">2026-03-29T19:05:38Z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