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>
          <w:b/>
          <w:szCs w:val="28"/>
          <w:lang w:eastAsia="ru-RU" w:bidi="ar-SA"/>
        </w:rPr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</w:t>
      </w:r>
      <w:r>
        <w:rPr>
          <w:b/>
          <w:color w:val="auto"/>
          <w:szCs w:val="28"/>
          <w:lang w:eastAsia="ru-RU" w:bidi="ar-SA"/>
        </w:rPr>
        <w:t>индивидуальному домашнему заданию</w:t>
      </w:r>
    </w:p>
    <w:p>
      <w:pPr>
        <w:pStyle w:val="Standard"/>
        <w:jc w:val="center"/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</w:t>
      </w:r>
      <w:r>
        <w:rPr>
          <w:b/>
          <w:color w:val="auto"/>
          <w:szCs w:val="28"/>
          <w:lang w:eastAsia="ru-RU" w:bidi="ar-SA"/>
        </w:rPr>
        <w:t>не «Нейронные сети»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  <w:t>Тема: Предсказание качества вина на основе химических характеристик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2609"/>
        <w:gridCol w:w="2901"/>
      </w:tblGrid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1306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Шаврин А.П.</w:t>
            </w:r>
          </w:p>
        </w:tc>
      </w:tr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auto"/>
        </w:rPr>
      </w:pPr>
      <w:r>
        <w:rPr/>
        <w:t>Цель работы.</w:t>
      </w:r>
    </w:p>
    <w:p>
      <w:pPr>
        <w:pStyle w:val="Textbody"/>
        <w:rPr>
          <w:color w:val="auto"/>
        </w:rPr>
      </w:pPr>
      <w:r>
        <w:rPr>
          <w:color w:val="auto"/>
        </w:rPr>
        <w:t>Разработать и реализовать нейронную сеть для предсказания качества вина (оценка по шкале от 0 до 10) на основе химических характеристик вина.</w:t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lang w:eastAsia="ru-RU" w:bidi="ar-SA"/>
        </w:rPr>
      </w:pPr>
      <w:r>
        <w:rPr/>
        <w:t>Задание.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Провести анализ датасета Wine Quality, включая статистический анализ и визуализацию распределений.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Выполнить предобработку данных: масштабирование признаков, кодирование категориальных переменных.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Разработать архитектуру нейронной сети с использованием Keras API.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Провести эксперименты с различными гиперпараметрами (архитектура, оптимизатор, размер батча, наличие dropout и batch normalization).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Обучить и оценить модель на тестовой выборке.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Проанализировать стабильность обучения и качество предсказаний.</w:t>
      </w:r>
    </w:p>
    <w:p>
      <w:pPr>
        <w:pStyle w:val="Standard"/>
        <w:numPr>
          <w:ilvl w:val="0"/>
          <w:numId w:val="0"/>
        </w:numPr>
        <w:ind w:hanging="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szCs w:val="28"/>
          <w:lang w:eastAsia="ru-RU" w:bidi="ar-SA"/>
        </w:rPr>
      </w:pPr>
      <w:r>
        <w:rPr>
          <w:color w:val="auto"/>
        </w:rPr>
        <w:t>Выполнение работы.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Датасет Wine Quality взят из репозитория UCI Machine Learning Repository (ID 186). Он содержит информацию о химических характеристиках красных и белых вин португальского происхождения. Данные основаны на физико-химических тестах и сенсорной оценке качества.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Выполнен первичный анализ данных с использованием df.info() и df.describe(), по результатам которого определено, что датасет содержит </w:t>
      </w:r>
      <w:r>
        <w:rPr>
          <w:rStyle w:val="Strong"/>
          <w:b w:val="false"/>
          <w:bCs w:val="false"/>
          <w:color w:val="auto"/>
          <w:szCs w:val="28"/>
          <w:lang w:eastAsia="ru-RU" w:bidi="ar-SA"/>
        </w:rPr>
        <w:t>6497 наблюдений</w:t>
      </w:r>
      <w:r>
        <w:rPr>
          <w:color w:val="auto"/>
          <w:szCs w:val="28"/>
          <w:lang w:eastAsia="ru-RU" w:bidi="ar-SA"/>
        </w:rPr>
        <w:t xml:space="preserve"> (4898 белых вин и 1599 красных вин) и </w:t>
      </w:r>
      <w:r>
        <w:rPr>
          <w:rStyle w:val="Strong"/>
          <w:b w:val="false"/>
          <w:bCs w:val="false"/>
          <w:color w:val="auto"/>
          <w:szCs w:val="28"/>
          <w:lang w:eastAsia="ru-RU" w:bidi="ar-SA"/>
        </w:rPr>
        <w:t xml:space="preserve">13 колонок описанных в таблице </w:t>
      </w:r>
      <w:r>
        <w:rPr>
          <w:rStyle w:val="Strong"/>
          <w:b w:val="false"/>
          <w:bCs w:val="false"/>
          <w:color w:val="auto"/>
          <w:szCs w:val="28"/>
          <w:lang w:eastAsia="ru-RU" w:bidi="ar-SA"/>
        </w:rPr>
        <w:t>1.</w:t>
        <w:softHyphen/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Таблица </w:t>
      </w:r>
      <w:r>
        <w:rPr>
          <w:color w:val="auto"/>
          <w:szCs w:val="28"/>
          <w:lang w:eastAsia="ru-RU" w:bidi="ar-SA"/>
        </w:rPr>
        <w:t>1. Состав датасета.</w:t>
      </w:r>
    </w:p>
    <w:tbl>
      <w:tblPr>
        <w:tblW w:w="872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00"/>
        <w:gridCol w:w="5629"/>
      </w:tblGrid>
      <w:tr>
        <w:trPr>
          <w:tblHeader w:val="true"/>
        </w:trPr>
        <w:tc>
          <w:tcPr>
            <w:tcW w:w="3100" w:type="dxa"/>
            <w:tcBorders/>
            <w:vAlign w:val="center"/>
          </w:tcPr>
          <w:p>
            <w:pPr>
              <w:pStyle w:val="Standard"/>
              <w:rPr>
                <w:b/>
                <w:bCs/>
                <w:szCs w:val="28"/>
                <w:lang w:eastAsia="ru-RU" w:bidi="ar-SA"/>
              </w:rPr>
            </w:pPr>
            <w:r>
              <w:rPr>
                <w:b/>
                <w:bCs/>
                <w:szCs w:val="28"/>
                <w:lang w:eastAsia="ru-RU" w:bidi="ar-SA"/>
              </w:rPr>
              <w:t>Признак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b/>
                <w:bCs/>
                <w:szCs w:val="28"/>
                <w:lang w:eastAsia="ru-RU" w:bidi="ar-SA"/>
              </w:rPr>
            </w:pPr>
            <w:r>
              <w:rPr>
                <w:b/>
                <w:bCs/>
                <w:szCs w:val="28"/>
                <w:lang w:eastAsia="ru-RU" w:bidi="ar-SA"/>
              </w:rPr>
              <w:t>Описание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fixed_acidity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Фиксированная кислотность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volatile_acidity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Летучая кислотность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citric_acid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Лимонная кислота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residual_sugar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Остаточный сахар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chlorides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Хлориды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free_sulfur_dioxide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Свободный диоксид серы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total_sulfur_dioxide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Общий диоксид серы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density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Плотность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pH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Кислотность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sulphates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Сульфаты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alcohol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Содержание алкоголя (% об.)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quality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Оценка качества (целое число от 3 до 9)</w:t>
            </w:r>
          </w:p>
        </w:tc>
      </w:tr>
      <w:tr>
        <w:trPr/>
        <w:tc>
          <w:tcPr>
            <w:tcW w:w="3100" w:type="dxa"/>
            <w:tcBorders/>
            <w:vAlign w:val="center"/>
          </w:tcPr>
          <w:p>
            <w:pPr>
              <w:pStyle w:val="Standard"/>
              <w:rPr/>
            </w:pPr>
            <w:r>
              <w:rPr>
                <w:rStyle w:val="Strong"/>
                <w:b w:val="false"/>
                <w:bCs w:val="false"/>
                <w:szCs w:val="28"/>
                <w:lang w:eastAsia="ru-RU" w:bidi="ar-SA"/>
              </w:rPr>
              <w:t>color</w:t>
            </w:r>
          </w:p>
        </w:tc>
        <w:tc>
          <w:tcPr>
            <w:tcW w:w="5629" w:type="dxa"/>
            <w:tcBorders/>
            <w:vAlign w:val="center"/>
          </w:tcPr>
          <w:p>
            <w:pPr>
              <w:pStyle w:val="Standard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Цвет вина (red/white)</w:t>
            </w:r>
          </w:p>
        </w:tc>
      </w:tr>
    </w:tbl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Пропуски в данных отсутствуют (все столбцы имеют 6497 ненулевых значений).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Диапазоны значений признаков сильно различаются: например, free_sulfur_dioxide варьируется от 1 до 289, а alcohol от 8 до 14.9. Это указывает на необходимость масштабирования перед подачей в нейронную сеть.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Целевая переменная quality имеет целочисленные значения от 3 до 9. Среднее значение - 5.82, медиана - 6. Распределение качества имеет асимметрию в сторону более низких оценок.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Для визуальной оценки распределения признаков построены гистограммы (рис. 1)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drawing>
          <wp:inline distT="0" distB="0" distL="0" distR="0">
            <wp:extent cx="6120130" cy="489013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Рисунок 1. Гистограммы распределения признаков.</w:t>
      </w:r>
    </w:p>
    <w:p>
      <w:pPr>
        <w:pStyle w:val="Standard"/>
        <w:ind w:hanging="0" w:lef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Анализ гистограмм показал, что:</w:t>
      </w:r>
    </w:p>
    <w:p>
      <w:pPr>
        <w:pStyle w:val="Standard"/>
        <w:numPr>
          <w:ilvl w:val="0"/>
          <w:numId w:val="5"/>
        </w:numPr>
        <w:jc w:val="left"/>
        <w:rPr/>
      </w:pPr>
      <w:r>
        <w:rPr>
          <w:color w:val="auto"/>
          <w:szCs w:val="28"/>
          <w:lang w:eastAsia="ru-RU" w:bidi="ar-SA"/>
        </w:rPr>
        <w:t xml:space="preserve">fixed_acidity - </w:t>
      </w:r>
      <w:r>
        <w:rPr>
          <w:color w:val="auto"/>
          <w:szCs w:val="28"/>
          <w:lang w:eastAsia="ru-RU" w:bidi="ar-SA"/>
        </w:rPr>
        <w:t>Распределение близко к нормальному, с пиком около 7. Диапазон значений: от 3,8 до 15,9.  Небольшая правосторонняя асимметрия. Вывод: признак хорошо центрирован и может быть использован без дополнительных преобразований, но для нейросети желательна стандартизация.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volatile_acidity - Ярко выраженная правосторонняя асимметрия. Основная масса значений сосредоточена в интервале 0,2–0,4. Есть выбросы до 1,58. Вывод: высокая асимметрия может влиять на обучение, но стандартизация поможет.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citric_acid - Распределение с пиком вблизи 0,3–0,4. Есть значительное количество нулевых значений (небольшой пик у 0). Вывод: признак умеренно скошен влево, стандартизация приведет его к нормальному виду.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residual_sugar -Выраженный пик в области 1–3. Наличие выбросов (например, значения &gt;20) может быть связано с особыми сортами вин (десертные, сладкие). Вывод: сильная асимметрия, стандартизация важна.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Chlorides - Распределение сильно скошено вправо, пик вблизи 0,04–0,07. Есть выбросы до 0,611. Вывод: как и в случае с residual_sugar, требуется масштабирование.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free_sulfur_dioxide - Выраженный пик в области </w:t>
      </w:r>
      <w:r>
        <w:rPr>
          <w:color w:val="auto"/>
          <w:szCs w:val="28"/>
          <w:lang w:eastAsia="ru-RU" w:bidi="ar-SA"/>
        </w:rPr>
        <w:t>20</w:t>
      </w:r>
      <w:r>
        <w:rPr>
          <w:color w:val="auto"/>
          <w:szCs w:val="28"/>
          <w:lang w:eastAsia="ru-RU" w:bidi="ar-SA"/>
        </w:rPr>
        <w:t>–</w:t>
      </w:r>
      <w:r>
        <w:rPr>
          <w:color w:val="auto"/>
          <w:szCs w:val="28"/>
          <w:lang w:eastAsia="ru-RU" w:bidi="ar-SA"/>
        </w:rPr>
        <w:t>30</w:t>
      </w:r>
      <w:r>
        <w:rPr>
          <w:color w:val="auto"/>
          <w:szCs w:val="28"/>
          <w:lang w:eastAsia="ru-RU" w:bidi="ar-SA"/>
        </w:rPr>
        <w:t>. Длинный правый хвост до 289. Вывод: мультимодальность может отражать технологические различия (красные и белые вина). Стандартизация сохранит форму.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total_sulfur_dioxide - Двухвершинное распределение. Диапазон от 6 до 440. Вывод: аналогично free_sulfur_dioxide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density - Распределение близко к нормальному, с узким пиком около 0,994. Разброс очень мал (от 0,987 до 1,039). Вывод: признак хорошо центрирован, но масштабирование необходимо для согласования с другими признаками.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pH - Распределение близко к нормальному, с пиком около 3,2–3,3. Диапазон от 2,72 до 4,01. Вывод: хорошее распределение, стандартизация не изменит форму.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Sulphates - Правосторонняя асимметрия, пик в области 0,</w:t>
      </w:r>
      <w:r>
        <w:rPr>
          <w:color w:val="auto"/>
          <w:szCs w:val="28"/>
          <w:lang w:eastAsia="ru-RU" w:bidi="ar-SA"/>
        </w:rPr>
        <w:t>4</w:t>
      </w:r>
      <w:r>
        <w:rPr>
          <w:color w:val="auto"/>
          <w:szCs w:val="28"/>
          <w:lang w:eastAsia="ru-RU" w:bidi="ar-SA"/>
        </w:rPr>
        <w:t>–0,</w:t>
      </w:r>
      <w:r>
        <w:rPr>
          <w:color w:val="auto"/>
          <w:szCs w:val="28"/>
          <w:lang w:eastAsia="ru-RU" w:bidi="ar-SA"/>
        </w:rPr>
        <w:t>44</w:t>
      </w:r>
      <w:r>
        <w:rPr>
          <w:color w:val="auto"/>
          <w:szCs w:val="28"/>
          <w:lang w:eastAsia="ru-RU" w:bidi="ar-SA"/>
        </w:rPr>
        <w:t>. Есть выбросы до 2,0. Вывод: умеренная асимметрия, стандартизация поможет.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Alcohol - Распределение с несколькими пиками (9-</w:t>
      </w:r>
      <w:r>
        <w:rPr>
          <w:color w:val="auto"/>
          <w:szCs w:val="28"/>
          <w:lang w:eastAsia="ru-RU" w:bidi="ar-SA"/>
        </w:rPr>
        <w:t>10</w:t>
      </w:r>
      <w:r>
        <w:rPr>
          <w:color w:val="auto"/>
          <w:szCs w:val="28"/>
          <w:lang w:eastAsia="ru-RU" w:bidi="ar-SA"/>
        </w:rPr>
        <w:t xml:space="preserve">, 10–11, </w:t>
      </w:r>
      <w:r>
        <w:rPr>
          <w:color w:val="auto"/>
          <w:szCs w:val="28"/>
          <w:lang w:eastAsia="ru-RU" w:bidi="ar-SA"/>
        </w:rPr>
        <w:t xml:space="preserve">11, 12, 12 - </w:t>
      </w:r>
      <w:r>
        <w:rPr>
          <w:color w:val="auto"/>
          <w:szCs w:val="28"/>
          <w:lang w:eastAsia="ru-RU" w:bidi="ar-SA"/>
        </w:rPr>
        <w:t>13), что отражает различия между красными и белыми винами. Вывод: мультимодальность полезна для разделения классов, стандартизация сохранит структуру.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</w:t>
      </w:r>
      <w:r>
        <w:rPr>
          <w:color w:val="auto"/>
          <w:szCs w:val="28"/>
          <w:lang w:eastAsia="ru-RU" w:bidi="ar-SA"/>
        </w:rPr>
        <w:t>Quality - Дискретное распределение с максимумом в 6 баллов (более 2000 наблюдений). Минимальное значение - 3, максимальное — 9. Вывод: классы несбалансированы, что требует стратификации при разбиении выборки.</w:t>
      </w:r>
    </w:p>
    <w:p>
      <w:pPr>
        <w:pStyle w:val="Standard"/>
        <w:numPr>
          <w:ilvl w:val="0"/>
          <w:numId w:val="5"/>
        </w:numPr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</w:t>
      </w:r>
      <w:r>
        <w:rPr>
          <w:color w:val="auto"/>
          <w:szCs w:val="28"/>
          <w:lang w:eastAsia="ru-RU" w:bidi="ar-SA"/>
        </w:rPr>
        <w:t>Color - Категориальный признак: 4898 белых вин (≈75%) и 1599 красных (≈25%). Вывод: дисбаланс классов может влиять на обучение, но кодирование в числовой вид (color_code) позволяет модели использовать эту информацию.</w:t>
      </w:r>
    </w:p>
    <w:p>
      <w:pPr>
        <w:pStyle w:val="Standard"/>
        <w:numPr>
          <w:ilvl w:val="0"/>
          <w:numId w:val="0"/>
        </w:numPr>
        <w:ind w:hanging="0" w:lef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</w:t>
      </w:r>
      <w:r>
        <w:rPr>
          <w:color w:val="auto"/>
          <w:szCs w:val="28"/>
          <w:lang w:eastAsia="ru-RU" w:bidi="ar-SA"/>
        </w:rPr>
        <w:tab/>
        <w:t>Для выявления взаимосвязей между признаками построена корреляционная матрица (рис. 2)</w:t>
      </w:r>
    </w:p>
    <w:p>
      <w:pPr>
        <w:pStyle w:val="Standard"/>
        <w:numPr>
          <w:ilvl w:val="0"/>
          <w:numId w:val="0"/>
        </w:numPr>
        <w:ind w:hanging="0" w:lef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drawing>
          <wp:inline distT="0" distB="0" distL="0" distR="0">
            <wp:extent cx="6120130" cy="56476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4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b w:val="false"/>
          <w:bCs w:val="false"/>
          <w:szCs w:val="28"/>
          <w:lang w:eastAsia="ru-RU" w:bidi="ar-SA"/>
        </w:rPr>
      </w:pPr>
      <w:r>
        <w:rPr/>
        <w:t>Рисунок 2. Корреляционная матрица (включая кодированный цвет)</w:t>
      </w:r>
    </w:p>
    <w:p>
      <w:pPr>
        <w:pStyle w:val="Standard"/>
        <w:jc w:val="left"/>
        <w:rPr>
          <w:b w:val="false"/>
          <w:bCs w:val="false"/>
          <w:szCs w:val="28"/>
          <w:lang w:eastAsia="ru-RU" w:bidi="ar-SA"/>
        </w:rPr>
      </w:pPr>
      <w:r>
        <w:rPr/>
        <w:t>Ключевые наблюдения по корреляции заключаются в том что:</w:t>
      </w:r>
    </w:p>
    <w:p>
      <w:pPr>
        <w:pStyle w:val="Standard"/>
        <w:numPr>
          <w:ilvl w:val="0"/>
          <w:numId w:val="6"/>
        </w:numPr>
        <w:jc w:val="left"/>
        <w:rPr>
          <w:b w:val="false"/>
          <w:bCs w:val="false"/>
          <w:szCs w:val="28"/>
          <w:lang w:eastAsia="ru-RU" w:bidi="ar-SA"/>
        </w:rPr>
      </w:pPr>
      <w:r>
        <w:rPr/>
        <w:t>alcohol и quality имеют положительную корреляцию (0.44), что подтверждает, что вина с более высоким содержанием алкоголя в среднем оцениваются выше.</w:t>
      </w:r>
    </w:p>
    <w:p>
      <w:pPr>
        <w:pStyle w:val="Standard"/>
        <w:numPr>
          <w:ilvl w:val="0"/>
          <w:numId w:val="6"/>
        </w:numPr>
        <w:jc w:val="left"/>
        <w:rPr>
          <w:b w:val="false"/>
          <w:bCs w:val="false"/>
          <w:szCs w:val="28"/>
          <w:lang w:eastAsia="ru-RU" w:bidi="ar-SA"/>
        </w:rPr>
      </w:pPr>
      <w:r>
        <w:rPr/>
        <w:t>density и alcohol имеют сильную отрицательную корреляцию (-0.69) - логично, так как увеличение содержания алкоголя снижает плотность.</w:t>
      </w:r>
    </w:p>
    <w:p>
      <w:pPr>
        <w:pStyle w:val="Standard"/>
        <w:numPr>
          <w:ilvl w:val="0"/>
          <w:numId w:val="6"/>
        </w:numPr>
        <w:jc w:val="left"/>
        <w:rPr>
          <w:b w:val="false"/>
          <w:bCs w:val="false"/>
          <w:szCs w:val="28"/>
          <w:lang w:eastAsia="ru-RU" w:bidi="ar-SA"/>
        </w:rPr>
      </w:pPr>
      <w:r>
        <w:rPr/>
        <w:t>total_sulfur_dioxide и color (кодированный) имеют сильную положительную корреляцию (0.70) - белые вина содержат больше диоксида серы.</w:t>
      </w:r>
    </w:p>
    <w:p>
      <w:pPr>
        <w:pStyle w:val="Standard"/>
        <w:numPr>
          <w:ilvl w:val="0"/>
          <w:numId w:val="6"/>
        </w:numPr>
        <w:jc w:val="left"/>
        <w:rPr>
          <w:b w:val="false"/>
          <w:bCs w:val="false"/>
          <w:szCs w:val="28"/>
          <w:lang w:eastAsia="ru-RU" w:bidi="ar-SA"/>
        </w:rPr>
      </w:pPr>
      <w:r>
        <w:rPr/>
        <w:t>volatile_acidity и color имеют отрицательную корреляцию (-0.65) - красные вина имеют более высокую летучую кислотность.</w:t>
      </w:r>
    </w:p>
    <w:p>
      <w:pPr>
        <w:pStyle w:val="Standard"/>
        <w:numPr>
          <w:ilvl w:val="0"/>
          <w:numId w:val="6"/>
        </w:numPr>
        <w:jc w:val="left"/>
        <w:rPr>
          <w:b w:val="false"/>
          <w:bCs w:val="false"/>
          <w:szCs w:val="28"/>
          <w:lang w:eastAsia="ru-RU" w:bidi="ar-SA"/>
        </w:rPr>
      </w:pPr>
      <w:r>
        <w:rPr/>
        <w:t>Сильная корреляция между free_sulfur_dioxide и total_sulfur_dioxide (0.72) – это логично, так как общий диоксид серы включает свободный. Высокая связь указывает на то, что эти два признака во многом дублируют информацию.</w:t>
      </w:r>
    </w:p>
    <w:p>
      <w:pPr>
        <w:pStyle w:val="Standard"/>
        <w:numPr>
          <w:ilvl w:val="0"/>
          <w:numId w:val="0"/>
        </w:numPr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 xml:space="preserve"> </w:t>
      </w:r>
      <w:r>
        <w:rPr/>
        <w:tab/>
        <w:t>Таким образом, цвет вина является важным фактором, разделяющим данные на два кластера (белые и красные вина), что проявляется в сильных корреляциях с несколькими химическими параметрами. Качество вина (quality) имеет слабые линейные связи с большинством признаков, что обосновывает использование нелинейных моделей (нейронных сетей) для решения задачи.</w:t>
      </w:r>
    </w:p>
    <w:p>
      <w:pPr>
        <w:pStyle w:val="Standard"/>
        <w:numPr>
          <w:ilvl w:val="0"/>
          <w:numId w:val="0"/>
        </w:numPr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 xml:space="preserve"> </w:t>
      </w:r>
      <w:r>
        <w:rPr/>
        <w:tab/>
      </w:r>
      <w:r>
        <w:rPr>
          <w:b/>
          <w:bCs/>
        </w:rPr>
        <w:t>Предобработка данных</w:t>
      </w:r>
    </w:p>
    <w:p>
      <w:pPr>
        <w:pStyle w:val="Standard"/>
        <w:numPr>
          <w:ilvl w:val="0"/>
          <w:numId w:val="0"/>
        </w:numPr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 xml:space="preserve"> </w:t>
      </w:r>
      <w:r>
        <w:rPr/>
        <w:tab/>
        <w:t>Целевая переменная quality выделена отдельно. Признак color преобразован в числовой color_code (0 для красного, 1 для белого) для использования в модели.</w:t>
      </w:r>
    </w:p>
    <w:p>
      <w:pPr>
        <w:pStyle w:val="Standard"/>
        <w:numPr>
          <w:ilvl w:val="0"/>
          <w:numId w:val="0"/>
        </w:numPr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 xml:space="preserve"> </w:t>
      </w:r>
      <w:r>
        <w:rPr/>
        <w:tab/>
        <w:t>Поскольку признаки имеют разные масштабы (от единиц до сотен), выполнено стандартизация (StandardScaler) для каждого числового признака. Это преобразование центрирует данные (среднее = 0) и приводит к единичной дисперсии, что способствует стабильности обучения нейронной сети. Результат масштабирования представленны на рисунке 3. После масштабирования все признаки имеют распределение со средним около 0 и стандартным отклонением около 1. Это обеспечивает равномерный вклад каждого признака в процесс обучения.</w:t>
      </w:r>
    </w:p>
    <w:p>
      <w:pPr>
        <w:pStyle w:val="Standard"/>
        <w:numPr>
          <w:ilvl w:val="0"/>
          <w:numId w:val="0"/>
        </w:numPr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drawing>
          <wp:inline distT="0" distB="0" distL="0" distR="0">
            <wp:extent cx="6120130" cy="488696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8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numPr>
          <w:ilvl w:val="0"/>
          <w:numId w:val="0"/>
        </w:numPr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t>Рисунок 3. Гистограммы признаков после масштабирования</w:t>
      </w:r>
    </w:p>
    <w:p>
      <w:pPr>
        <w:pStyle w:val="Standard"/>
        <w:ind w:hanging="0" w:left="0"/>
        <w:jc w:val="left"/>
        <w:rPr/>
      </w:pPr>
      <w:r>
        <w:rPr/>
        <w:tab/>
        <w:t>Данные разделены на обучающую (80%) и тестовую (20%) выборки с использованием train_test_split. Стратификация по quality (параметр stratify) обеспечивает сохранение пропорций оценок качества в обеих выборках.</w:t>
      </w:r>
    </w:p>
    <w:p>
      <w:pPr>
        <w:pStyle w:val="Standard"/>
        <w:ind w:hanging="0" w:left="0"/>
        <w:jc w:val="left"/>
        <w:rPr/>
      </w:pPr>
      <w:r>
        <w:rPr/>
        <w:tab/>
      </w:r>
      <w:r>
        <w:rPr>
          <w:b/>
          <w:bCs/>
        </w:rPr>
        <w:t>Разработка модели</w:t>
      </w:r>
    </w:p>
    <w:p>
      <w:pPr>
        <w:pStyle w:val="Standard"/>
        <w:ind w:hanging="0" w:left="0"/>
        <w:jc w:val="left"/>
        <w:rPr/>
      </w:pPr>
      <w:r>
        <w:rPr/>
        <w:tab/>
        <w:t>Разработана функция build_model, позволяющая гибко настраивать:</w:t>
      </w:r>
    </w:p>
    <w:p>
      <w:pPr>
        <w:pStyle w:val="Standard"/>
        <w:numPr>
          <w:ilvl w:val="0"/>
          <w:numId w:val="7"/>
        </w:numPr>
        <w:jc w:val="left"/>
        <w:rPr/>
      </w:pPr>
      <w:r>
        <w:rPr/>
        <w:t>Количество и размеры скрытых слоев (layers_config)</w:t>
      </w:r>
    </w:p>
    <w:p>
      <w:pPr>
        <w:pStyle w:val="Standard"/>
        <w:numPr>
          <w:ilvl w:val="0"/>
          <w:numId w:val="7"/>
        </w:numPr>
        <w:jc w:val="left"/>
        <w:rPr/>
      </w:pPr>
      <w:r>
        <w:rPr/>
        <w:t>Dropout для регуляризации (dropout_rates)</w:t>
      </w:r>
    </w:p>
    <w:p>
      <w:pPr>
        <w:pStyle w:val="Standard"/>
        <w:numPr>
          <w:ilvl w:val="0"/>
          <w:numId w:val="7"/>
        </w:numPr>
        <w:jc w:val="left"/>
        <w:rPr/>
      </w:pPr>
      <w:r>
        <w:rPr/>
        <w:t>Batch Normalization для ускорения сходимости (use_batchnorm)</w:t>
      </w:r>
    </w:p>
    <w:p>
      <w:pPr>
        <w:pStyle w:val="Standard"/>
        <w:numPr>
          <w:ilvl w:val="0"/>
          <w:numId w:val="7"/>
        </w:numPr>
        <w:jc w:val="left"/>
        <w:rPr/>
      </w:pPr>
      <w:r>
        <w:rPr/>
        <w:t>Оптимизатор и его параметры (optimizer)</w:t>
      </w:r>
    </w:p>
    <w:p>
      <w:pPr>
        <w:pStyle w:val="Standard"/>
        <w:ind w:hanging="0" w:left="0"/>
        <w:jc w:val="left"/>
        <w:rPr/>
      </w:pPr>
      <w:r>
        <w:rPr/>
        <w:tab/>
        <w:t>Базовый принцип: модель представляет собой последовательную сеть с полносвязными слоями (Dense), активацией ReLU, возможной нормализацией и dropout на каждом скрытом слое, и одним выходным нейроном для предсказания качества (регрессия). Функция потерь - среднеквадратичная ошибка (MSE), метрика - средняя абсолютная ошибка (MAE).</w:t>
      </w:r>
    </w:p>
    <w:p>
      <w:pPr>
        <w:pStyle w:val="Standard"/>
        <w:ind w:hanging="0" w:left="0"/>
        <w:jc w:val="left"/>
        <w:rPr/>
      </w:pPr>
      <w:r>
        <w:rPr/>
        <w:tab/>
      </w:r>
      <w:r>
        <w:rPr>
          <w:b/>
          <w:bCs/>
          <w:szCs w:val="24"/>
        </w:rPr>
        <w:t>Исследование гиперпараметров</w:t>
      </w:r>
    </w:p>
    <w:p>
      <w:pPr>
        <w:pStyle w:val="Standard"/>
        <w:ind w:hanging="0" w:left="0"/>
        <w:jc w:val="left"/>
        <w:rPr/>
      </w:pPr>
      <w:r>
        <w:rPr/>
        <w:tab/>
        <w:t>Проведен полный перебор гиперпараметров с использованием itertools.product. Тестировались:</w:t>
      </w:r>
    </w:p>
    <w:p>
      <w:pPr>
        <w:pStyle w:val="Standard"/>
        <w:numPr>
          <w:ilvl w:val="0"/>
          <w:numId w:val="8"/>
        </w:numPr>
        <w:jc w:val="left"/>
        <w:rPr/>
      </w:pPr>
      <w:r>
        <w:rPr/>
        <w:t>Архитектуры: [32, 16], [64, 32], [128, 64, 32]</w:t>
      </w:r>
    </w:p>
    <w:p>
      <w:pPr>
        <w:pStyle w:val="Standard"/>
        <w:numPr>
          <w:ilvl w:val="0"/>
          <w:numId w:val="8"/>
        </w:numPr>
        <w:jc w:val="left"/>
        <w:rPr/>
      </w:pPr>
      <w:r>
        <w:rPr/>
        <w:t>Dropout: None, [0.2, 0.2], [0.3, 0.2, 0.1] (соответственно количеству слоев)</w:t>
      </w:r>
    </w:p>
    <w:p>
      <w:pPr>
        <w:pStyle w:val="Standard"/>
        <w:numPr>
          <w:ilvl w:val="0"/>
          <w:numId w:val="8"/>
        </w:numPr>
        <w:jc w:val="left"/>
        <w:rPr/>
      </w:pPr>
      <w:r>
        <w:rPr/>
        <w:t>Batch Normalization: True, False</w:t>
      </w:r>
    </w:p>
    <w:p>
      <w:pPr>
        <w:pStyle w:val="Standard"/>
        <w:numPr>
          <w:ilvl w:val="0"/>
          <w:numId w:val="8"/>
        </w:numPr>
        <w:jc w:val="left"/>
        <w:rPr/>
      </w:pPr>
      <w:r>
        <w:rPr/>
        <w:t>Оптимизаторы: Adam (lr=0.001), RMSprop (lr=0.001), SGD (lr=0.01, momentum=0.9)</w:t>
      </w:r>
    </w:p>
    <w:p>
      <w:pPr>
        <w:pStyle w:val="Standard"/>
        <w:numPr>
          <w:ilvl w:val="0"/>
          <w:numId w:val="8"/>
        </w:numPr>
        <w:jc w:val="left"/>
        <w:rPr/>
      </w:pPr>
      <w:r>
        <w:rPr/>
        <w:t>Размер батча: 16, 32, 64</w:t>
      </w:r>
    </w:p>
    <w:p>
      <w:pPr>
        <w:pStyle w:val="Standard"/>
        <w:ind w:hanging="0" w:left="0"/>
        <w:jc w:val="left"/>
        <w:rPr/>
      </w:pPr>
      <w:r>
        <w:rPr/>
        <w:tab/>
        <w:t xml:space="preserve">Всего протестировано 108 комбинаций. Общая статистика по поиску параметров представленна на рисунке </w:t>
      </w:r>
      <w:r>
        <w:rPr/>
        <w:t>4.</w:t>
      </w:r>
    </w:p>
    <w:p>
      <w:pPr>
        <w:pStyle w:val="Standard"/>
        <w:ind w:hanging="0" w:left="0"/>
        <w:jc w:val="center"/>
        <w:rPr/>
      </w:pPr>
      <w:r>
        <w:rPr/>
        <w:drawing>
          <wp:inline distT="0" distB="0" distL="0" distR="0">
            <wp:extent cx="1729740" cy="222504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t xml:space="preserve">Рисунок </w:t>
      </w:r>
      <w:r>
        <w:rPr/>
        <w:t>4. Статистика по Grid Search</w:t>
      </w:r>
    </w:p>
    <w:p>
      <w:pPr>
        <w:pStyle w:val="Standard"/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>Для анализа влияния гиппер параметров построены следуюущие графики:</w:t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drawing>
          <wp:inline distT="0" distB="0" distL="0" distR="0">
            <wp:extent cx="6120130" cy="4062095"/>
            <wp:effectExtent l="0" t="0" r="0" b="0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t>Рисунок 5. Распределение MAE в зависимости от параметра</w:t>
      </w:r>
    </w:p>
    <w:p>
      <w:pPr>
        <w:pStyle w:val="Standard"/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ab/>
        <w:t xml:space="preserve">Как можно видеть из графиков оптимизаторы Adam и RMSprop показывают сопоставимые результаты с медианным MAE около 0.54, однако лучший из них SGD. </w:t>
      </w:r>
      <w:r>
        <w:rPr/>
        <w:t xml:space="preserve">Размер батча </w:t>
      </w:r>
      <w:r>
        <w:rPr/>
        <w:t>16</w:t>
      </w:r>
      <w:r>
        <w:rPr/>
        <w:t xml:space="preserve"> показывает </w:t>
      </w:r>
      <w:r>
        <w:rPr/>
        <w:t>хорошие</w:t>
      </w:r>
      <w:r>
        <w:rPr/>
        <w:t xml:space="preserve"> результаты (наименьш</w:t>
      </w:r>
      <w:r>
        <w:rPr/>
        <w:t>ий разброс</w:t>
      </w:r>
      <w:r>
        <w:rPr/>
        <w:t xml:space="preserve">) </w:t>
      </w:r>
      <w:r>
        <w:rPr/>
        <w:t>однако МАЕ выше чем у батча ращмером 32</w:t>
      </w:r>
      <w:r>
        <w:rPr/>
        <w:t xml:space="preserve">. Размер батча </w:t>
      </w:r>
      <w:r>
        <w:rPr/>
        <w:t>32</w:t>
      </w:r>
      <w:r>
        <w:rPr/>
        <w:t xml:space="preserve"> дает больший разброс, что может быть связано с более шумными градиентами, </w:t>
      </w:r>
      <w:r>
        <w:rPr/>
        <w:t>однако наименьшее медианное МАЕ.</w:t>
      </w:r>
      <w:r>
        <w:rPr/>
        <w:t xml:space="preserve"> Размер батча </w:t>
      </w:r>
      <w:r>
        <w:rPr/>
        <w:t>64</w:t>
      </w:r>
      <w:r>
        <w:rPr/>
        <w:t xml:space="preserve"> занимает промежуточное положение. Использование Batch Normalisation в целом </w:t>
      </w:r>
      <w:r>
        <w:rPr/>
        <w:t>не сильно влияет на MAE. Модели без dropout показывают лучшие результаты (медианное MAE ниже). Это может быть связано с тем, что задача не требует сильной регуляризации (данные достаточно однородны, переобучение не является критической проблемой).</w:t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drawing>
          <wp:inline distT="0" distB="0" distL="0" distR="0">
            <wp:extent cx="4343400" cy="3313430"/>
            <wp:effectExtent l="0" t="0" r="0" b="0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1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t>Рисунок 6. Зависимость качества от архитектуры модели.</w:t>
      </w:r>
    </w:p>
    <w:p>
      <w:pPr>
        <w:pStyle w:val="Standard"/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ab/>
        <w:t xml:space="preserve">По графику 6 видно, что архитектура [128, 64, 32] дает наилучшее MAE (0.5163). Менее сложные модели [64, 32] и [32, 16] показывают худшие результаты. Это свидетельствует о том, что задача требует определенной сложности сети для адекватного улавливания нелинейных зависимостей между признаками. </w:t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drawing>
          <wp:inline distT="0" distB="0" distL="0" distR="0">
            <wp:extent cx="5437505" cy="3241675"/>
            <wp:effectExtent l="0" t="0" r="0" b="0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t>Рисунок 7. Распределение МАЕ по архитектурам.</w:t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drawing>
          <wp:inline distT="0" distB="0" distL="0" distR="0">
            <wp:extent cx="4411980" cy="3619500"/>
            <wp:effectExtent l="0" t="0" r="0" b="0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t xml:space="preserve">Рисунок </w:t>
      </w:r>
      <w:r>
        <w:rPr/>
        <w:t>8</w:t>
      </w:r>
      <w:r>
        <w:rPr/>
        <w:t>. Топ 10 моделей в каждой архитектуре.</w:t>
      </w:r>
    </w:p>
    <w:p>
      <w:pPr>
        <w:pStyle w:val="Standard"/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ab/>
        <w:t>Архитектура [128, 64, 32] демонстрирует наилучшие показатели. Медианное значение MAEзаметно ниже, чем у двух других архитектур. Минимальное достигнутое значение MAE (0.5163) также принадлежит этой архитектуре. Разброс значений (межквартильный размах) относительно узкий, что свидетельствует о стабильности обучения для глубокой сети при правильном подборе гиперпараметров.</w:t>
      </w:r>
    </w:p>
    <w:p>
      <w:pPr>
        <w:pStyle w:val="Standard"/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ab/>
        <w:t xml:space="preserve">Архитектура [64, 32] показывает промежуточные результаты. Медианное MAE ≈ 0.534, что выше, чем у более глубокой сети. Разброс значений </w:t>
      </w:r>
      <w:r>
        <w:rPr/>
        <w:t xml:space="preserve">уже и </w:t>
      </w:r>
      <w:r>
        <w:rPr/>
        <w:t>лучшие представители этой архитектуры достигают MAE около 0.532, что лишь незначительно уступает лучшим результатам [128, 64, 32].</w:t>
      </w:r>
    </w:p>
    <w:p>
      <w:pPr>
        <w:pStyle w:val="Standard"/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ab/>
        <w:t xml:space="preserve">Архитектура [32, 16] является наименее сложной и показывает худшие результаты </w:t>
      </w:r>
      <w:r>
        <w:rPr/>
        <w:t>МАЕ</w:t>
      </w:r>
      <w:r>
        <w:rPr/>
        <w:t xml:space="preserve"> </w:t>
      </w:r>
      <w:r>
        <w:rPr/>
        <w:t xml:space="preserve">и </w:t>
      </w:r>
      <w:r>
        <w:rPr/>
        <w:t>наибольший разброс значений. Лучшие экземпляры этой архитектуры дают MAE около 0.536, что значительно выше, чем у более глубоких сетей.</w:t>
      </w:r>
    </w:p>
    <w:p>
      <w:pPr>
        <w:pStyle w:val="Standard"/>
        <w:ind w:hanging="0" w:left="0"/>
        <w:jc w:val="left"/>
        <w:rPr>
          <w:b w:val="false"/>
          <w:bCs w:val="false"/>
          <w:szCs w:val="28"/>
          <w:lang w:eastAsia="ru-RU" w:bidi="ar-SA"/>
        </w:rPr>
      </w:pPr>
      <w:r>
        <w:rPr/>
        <w:tab/>
      </w:r>
      <w:r>
        <w:rPr>
          <w:b/>
          <w:bCs/>
        </w:rPr>
        <w:t>Выбор архитектуры и гиппер параметров</w:t>
      </w:r>
    </w:p>
    <w:p>
      <w:pPr>
        <w:pStyle w:val="Standard"/>
        <w:bidi w:val="0"/>
        <w:ind w:hanging="0" w:left="0"/>
        <w:jc w:val="left"/>
        <w:rPr/>
      </w:pPr>
      <w:r>
        <w:rPr/>
        <w:tab/>
        <w:t>Несмотря на то, что архитектура [128, 64, 32] достигает наименьшего MAE (0.5163), она имеет в 20 раз больше параметров, чем [64, 32], при этом улучшение MAE составляет всего 0.0156 (около 3% относительного улучшения). Такое незначительное улучшение не оправдывает существенного увеличения вычислительной сложности и риска переобучения.</w:t>
      </w:r>
    </w:p>
    <w:p>
      <w:pPr>
        <w:pStyle w:val="Standard"/>
        <w:bidi w:val="0"/>
        <w:ind w:hanging="0" w:left="0"/>
        <w:jc w:val="left"/>
        <w:rPr/>
      </w:pPr>
      <w:r>
        <w:rPr/>
        <w:tab/>
        <w:t>Кроме того, на boxplot видно, что архитектура [64, 32] при правильном подборе гиперпараметров (например, с оптимизатором SGD и размером батча 32) способна достигать MAE около 0.532, что лишь на 0.016 хуже лучшего результата. При этом [64, 32] показывает бóльшую стабильность при многократных запусках (разброс значений умеренный).</w:t>
      </w:r>
    </w:p>
    <w:p>
      <w:pPr>
        <w:pStyle w:val="Standard"/>
        <w:bidi w:val="0"/>
        <w:ind w:hanging="0" w:left="0"/>
        <w:jc w:val="left"/>
        <w:rPr/>
      </w:pPr>
      <w:r>
        <w:rPr/>
        <w:tab/>
        <w:t>Таким образом, в качестве финальной модели выбрана архитектура [64, 32] без dropout, без batch normalization, с оптимизатором SGD (lr=0.01, momentum=0.9) и размером батча 32. Это решение позволяет достичь баланса между качеством предсказаний, вычислительной эффективностью и устойчивостью обучения.</w:t>
      </w:r>
    </w:p>
    <w:p>
      <w:pPr>
        <w:pStyle w:val="Standard"/>
        <w:bidi w:val="0"/>
        <w:ind w:hanging="0" w:left="0"/>
        <w:jc w:val="left"/>
        <w:rPr/>
      </w:pPr>
      <w:r>
        <w:rPr/>
        <w:tab/>
      </w:r>
      <w:r>
        <w:rPr>
          <w:b/>
          <w:bCs/>
        </w:rPr>
        <w:t>Обучение и оценка лучшей модели</w:t>
      </w:r>
    </w:p>
    <w:p>
      <w:pPr>
        <w:pStyle w:val="Standard"/>
        <w:bidi w:val="0"/>
        <w:ind w:hanging="0" w:left="0"/>
        <w:jc w:val="left"/>
        <w:rPr/>
      </w:pPr>
      <w:r>
        <w:rPr/>
        <w:tab/>
        <w:t>Для оценки стабильности модели проведено 10 запусков обучения с одинаковыми параметрами, но разными инициализациями весов (разные random seed).</w:t>
      </w:r>
    </w:p>
    <w:p>
      <w:pPr>
        <w:pStyle w:val="Standard"/>
        <w:bidi w:val="0"/>
        <w:ind w:hanging="0" w:left="0"/>
        <w:jc w:val="left"/>
        <w:rPr/>
      </w:pPr>
      <w:r>
        <w:rPr/>
        <w:drawing>
          <wp:inline distT="0" distB="0" distL="0" distR="0">
            <wp:extent cx="6120130" cy="252158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left="0"/>
        <w:jc w:val="center"/>
        <w:rPr>
          <w:b w:val="false"/>
          <w:bCs w:val="false"/>
          <w:szCs w:val="28"/>
          <w:lang w:eastAsia="ru-RU" w:bidi="ar-SA"/>
        </w:rPr>
      </w:pPr>
      <w:r>
        <w:rPr/>
        <w:t xml:space="preserve">Рисунок </w:t>
      </w:r>
      <w:r>
        <w:rPr/>
        <w:t>9. Оценка стабильности выбранной модели.</w:t>
      </w:r>
    </w:p>
    <w:p>
      <w:pPr>
        <w:pStyle w:val="Standard"/>
        <w:ind w:hanging="0" w:left="0"/>
        <w:jc w:val="left"/>
        <w:rPr/>
      </w:pPr>
      <w:r>
        <w:rPr/>
        <w:tab/>
        <w:t>Модель демонстрирует высокую стабильность - стандартное отклонение MAE составляет всего 0.0072, что составляет ~1.4% от среднего значения. Это подтверждает, что выбранная архитектура является устойчивой и не страдает от высокой чувствительности к инициализации.</w:t>
      </w:r>
    </w:p>
    <w:p>
      <w:pPr>
        <w:pStyle w:val="Standard"/>
        <w:ind w:hanging="0" w:left="0"/>
        <w:jc w:val="left"/>
        <w:rPr>
          <w:b/>
          <w:bCs/>
        </w:rPr>
      </w:pPr>
      <w:r>
        <w:rPr>
          <w:b/>
          <w:bCs/>
        </w:rPr>
        <w:tab/>
        <w:t>Возникшие проблемы и их решение</w:t>
      </w:r>
    </w:p>
    <w:p>
      <w:pPr>
        <w:pStyle w:val="Standard"/>
        <w:numPr>
          <w:ilvl w:val="0"/>
          <w:numId w:val="9"/>
        </w:numPr>
        <w:jc w:val="left"/>
        <w:rPr/>
      </w:pPr>
      <w:r>
        <w:rPr/>
        <w:t>Широкий диапазон значений признаков. Решение: Применена стандартизация (StandardScaler), которая привела все признаки к одинаковому масштабу, что ускорило сходимость градиентного спуска</w:t>
      </w:r>
    </w:p>
    <w:p>
      <w:pPr>
        <w:pStyle w:val="Standard"/>
        <w:numPr>
          <w:ilvl w:val="0"/>
          <w:numId w:val="9"/>
        </w:numPr>
        <w:jc w:val="left"/>
        <w:rPr/>
      </w:pPr>
      <w:r>
        <w:rPr/>
        <w:t>Переобучение при глубоких архитектурах. Решение: Использованы методы регуляризации: Dropout и Batch Normalization. Однако эксперименты показали, что на данном датасете dropout не дает преимуществ, а BN улучшает стабильность.</w:t>
      </w:r>
    </w:p>
    <w:p>
      <w:pPr>
        <w:pStyle w:val="Standard"/>
        <w:numPr>
          <w:ilvl w:val="0"/>
          <w:numId w:val="9"/>
        </w:numPr>
        <w:jc w:val="left"/>
        <w:rPr/>
      </w:pPr>
      <w:r>
        <w:rPr/>
        <w:t>Длительное обучение при grid search. Решение: Установлена ранняя остановка (early stopping) с patience=10 эпох, что позволило сократить время перебора гиперпараметров без потери качества.</w:t>
      </w:r>
    </w:p>
    <w:p>
      <w:pPr>
        <w:pStyle w:val="Standard"/>
        <w:numPr>
          <w:ilvl w:val="0"/>
          <w:numId w:val="9"/>
        </w:numPr>
        <w:jc w:val="left"/>
        <w:rPr/>
      </w:pPr>
      <w:r>
        <w:rPr/>
        <w:t>Несбалансированность классов качества. Решение: Использована стратификация при разбиении на обучающую и валидационную выборки, что обеспечило сохранение распределения оценок качества.</w:t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szCs w:val="28"/>
          <w:lang w:eastAsia="ru-RU" w:bidi="ar-SA"/>
        </w:rPr>
      </w:pPr>
      <w:r>
        <w:rPr/>
        <w:t>Выводы.</w:t>
      </w:r>
      <w:r>
        <w:rPr>
          <w:color w:val="auto"/>
          <w:szCs w:val="28"/>
          <w:lang w:eastAsia="ru-RU" w:bidi="ar-SA"/>
        </w:rPr>
        <w:tab/>
      </w:r>
    </w:p>
    <w:p>
      <w:pPr>
        <w:pStyle w:val="Standard"/>
        <w:numPr>
          <w:ilvl w:val="0"/>
          <w:numId w:val="0"/>
        </w:numPr>
        <w:ind w:hanging="0" w:left="0" w:right="0"/>
        <w:rPr/>
      </w:pPr>
      <w:r>
        <w:rPr/>
        <w:t xml:space="preserve"> </w:t>
      </w:r>
      <w:r>
        <w:rPr/>
        <w:tab/>
        <w:t>В ходе выполнения индивидуального задания была разработана и обучена нейронная сеть для предсказания качества вина на основе 11 химических характеристик и типа вина.</w:t>
      </w:r>
    </w:p>
    <w:p>
      <w:pPr>
        <w:pStyle w:val="Standard"/>
        <w:numPr>
          <w:ilvl w:val="0"/>
          <w:numId w:val="0"/>
        </w:numPr>
        <w:ind w:hanging="0" w:left="0" w:right="0"/>
        <w:rPr/>
      </w:pPr>
      <w:r>
        <w:rPr/>
        <w:t xml:space="preserve"> </w:t>
      </w:r>
      <w:r>
        <w:rPr/>
        <w:tab/>
        <w:t>Проведен детальный анализ данных, выявлены корреляции между признаками и целевой переменной.</w:t>
      </w:r>
    </w:p>
    <w:p>
      <w:pPr>
        <w:pStyle w:val="Standard"/>
        <w:numPr>
          <w:ilvl w:val="0"/>
          <w:numId w:val="0"/>
        </w:numPr>
        <w:ind w:hanging="0" w:left="0" w:right="0"/>
        <w:rPr/>
      </w:pPr>
      <w:r>
        <w:rPr/>
        <w:t xml:space="preserve"> </w:t>
      </w:r>
      <w:r>
        <w:rPr/>
        <w:tab/>
        <w:t>Выполнен поиск гиперпараметров, в ходе которого установлено, что оптимальной является архитектура [128, 64, 32] с использованием RMSprop, batch normalization и размера батча 64.</w:t>
      </w:r>
    </w:p>
    <w:p>
      <w:pPr>
        <w:pStyle w:val="Standard"/>
        <w:numPr>
          <w:ilvl w:val="0"/>
          <w:numId w:val="0"/>
        </w:numPr>
        <w:ind w:hanging="0" w:left="0" w:right="0"/>
        <w:rPr/>
      </w:pPr>
      <w:r>
        <w:rPr/>
        <w:t xml:space="preserve"> </w:t>
      </w:r>
      <w:r>
        <w:rPr/>
        <w:tab/>
        <w:t>Итоговая модель достигла MAE = 0.5221 и R² = 0.3832 на тестовой выборке. Обучение модели стабильно - стандартное отклонение MAE по 10 запускам составляет всего 0.0072.</w:t>
      </w:r>
    </w:p>
    <w:p>
      <w:pPr>
        <w:pStyle w:val="Standard"/>
        <w:numPr>
          <w:ilvl w:val="0"/>
          <w:numId w:val="0"/>
        </w:numPr>
        <w:ind w:hanging="0" w:left="0" w:right="0"/>
        <w:rPr/>
      </w:pPr>
      <w:r>
        <w:rPr/>
        <w:t xml:space="preserve"> </w:t>
      </w:r>
      <w:r>
        <w:rPr/>
        <w:tab/>
        <w:t>Разработанная модель может быть использована в винодельческой промышленности для предварительной оценки качества вина по его химическому составу, что позволяет оптимизировать производственные процессы и сократить время на дегустационные тесты.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/>
      </w:pPr>
      <w:r>
        <w:rPr/>
        <w:t xml:space="preserve">Название файла: </w:t>
      </w:r>
      <w:r>
        <w:rPr/>
        <w:t>ihw</w:t>
      </w:r>
      <w:r>
        <w:rPr>
          <w:lang w:val="en-US"/>
        </w:rPr>
        <w:t>.ipynb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Установка зависимостей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!pip install tensorflow pandas numpy matplotlib seaborn scikit-learn ucimlrepo --quiet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Импорт"""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itertools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seaborn as sns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tensorflow as tf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 import keras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 import layers, callbacks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sklearn.model_selection import train_test_split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sklearn.compose import ColumnTransformer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keras.models import Sequential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keras.layers import Dense, Dropout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keras.callbacks import ModelCheckpoint, Callback, TensorBoard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sklearn.metrics import mean_squared_error, mean_absolute_error, r2_score, confusion_matrix, classification_report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sklearn.ensemble import RandomForestRegressor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ucimlrepo import fetch_ucirepo, list_available_datasets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Загрузка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list_available_datasets()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wine_quality = fetch_ucirepo(name="Wine Quality")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 = pd.DataFrame(wine_quality.data.original)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Иссделование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print(df.info())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print(df.describe())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print(df['color'].value_counts())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df.hist(figsize=(15,12), bins=30)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df['color_code'] = (df['color'] == 'white').astype(int)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corr_with_color = df[['fixed_acidity', 'volatile_acidity', 'citric_acid', 'residual_sugar',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>
        <w:rPr>
          <w:sz w:val="24"/>
          <w:szCs w:val="24"/>
        </w:rPr>
        <w:t>'chlorides', 'free_sulfur_dioxide', 'total_sulfur_dioxide',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>
        <w:rPr>
          <w:sz w:val="24"/>
          <w:szCs w:val="24"/>
        </w:rPr>
        <w:t>'density', 'pH', 'sulphates', 'alcohol', 'quality', 'color_code']].corr()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print(corr_with_color)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plt.figure(figsize=(12,10))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sns.heatmap(corr_with_color, annot=True, fmt='.2f', cmap='coolwarm')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plt.title('Корреляция с учётом цвета (кодированного)')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Предобработка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 = df.drop(['quality', 'color'], axis=1)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y = df['quality']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X_train, X_test, y_train, y_test = train_test_split(X, y, test_size=0.2, random_state=42, stratify=y)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numeric_features = X.select_dtypes(include=['float64']).columns.tolist()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preprocessor = ColumnTransformer(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transformers=[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('num', StandardScaler(), numeric_features),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('cat', 'passthrough', ['color_code'])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X_train_scaled = preprocessor.fit_transform(X_train)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X_test_scaled = preprocessor.transform(X_test)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X_train_scaled_df = pd.DataFrame(X_train_scaled, columns=X.columns)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X_train_scaled_df.hist(figsize=(15,12), bins=30)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Генерация модели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build_model(input_dim, layers_config, dropout_rates=None, use_batchnorm=False, optimizer='adam'):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keras.Sequential()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i, units in enumerate(layers_config):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i == 0: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model.add(layers.Dense(units, activation='relu', input_shape=(input_dim,)))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else: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model.add(layers.Dense(units, activation='relu'))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use_batchnorm: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model.add(layers.BatchNormalization())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dropout_rates and i &lt; len(dropout_rates):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dropout_rates[i] &gt; 0: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model.add(layers.Dropout(dropout_rates[i]))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model.add(layers.Dense(1))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optimizer=optimizer,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loss='mse',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metrics=['mae']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Обучение и оценка модели"""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class BestModelTracker(keras.callbacks.Callback):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def __init__(self):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super().__init__()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self.best_val_mae = float('inf')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def on_epoch_end(self, epoch, logs=None):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val_mae = logs.get('val_mae')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val_mae &lt; self.best_val_mae: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self.best_val_mae = val_mae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print(f"Epoch {epoch} - New best MAE: {val_mae:.4f}")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run_experiment(X_train, y_train, layers_config,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>dropout_rates, use_batchnorm, optimizer,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>batch_size, epochs=250):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build_model(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input_dim=X_train.shape[1],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layers_config=layers_config,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dropout_rates=dropout_rates,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use_batchnorm=use_batchnorm,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optimizer=optimizer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early_stop = keras.callbacks.EarlyStopping(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patience=10,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restore_best_weights=True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bmt = BestModelTracker()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history = model.fit(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validation_split=0.2,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epochs=epochs,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batch_size=batch_size,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verbose=0,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callbacks=[early_stop, bmt]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best_val_mae = min(history.history['val_mae'])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best_val_mae, history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Исследование"""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grid_search(X_train, y_train):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architectures = [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[32, 16],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[64, 32],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[128, 64, 32]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batchnorm_options = [True, False]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dropouts = [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None,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[0.2, 0.2],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[0.3, 0.2, 0.1]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optimizers = [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("Adam", lambda: keras.optimizers.Adam(0.001)),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("RMSprop", lambda: keras.optimizers.RMSprop(0.001)),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("SGD", lambda: keras.optimizers.SGD(0.01, momentum=0.9))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batch_sizes = [16, 32, 64]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i=0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results = []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arch, drop, (opt_name, opt_fn), batch, bn in itertools.product(architectures, dropouts, optimizers, batch_sizes, batchnorm_options):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drop is not None and len(drop) != len(arch):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continue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 += 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print(f"Test {i}: {arch}, drop={drop}, BN={bn}, 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f"{opt_name}, batch={batch}")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try: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val_mae, history = run_experiment(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layers_config=arch,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dropout_rates=drop,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optimizer=opt_fn(),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batch_size=batch,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use_batchnorm=bn,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model_info = 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"architecture": arch,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"dropout": drop,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"batchnorm": bn,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"optimizer": opt_name,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"batch_size": batch,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"val_mae": val_mae,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"history": history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results.append(model_info)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print(f"Done: {arch}, drop={drop}, BN={bn}, 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f"{opt_name}, batch={batch} -&gt; MAE={val_mae:.4f}")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except Exception as e: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print("Error:", 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pd.DataFrame(results)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results_df = grid_search(X_train_scaled, y_train)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print("Общая статистика")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print(results_df['val_mae'].describe())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print(f"Лучшее MAE: {results_df['val_mae'].min():.4f}")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best_row = results_df.loc[results_df['val_mae'].idxmin()]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print("Лучшие параметры:")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print(best_row[['architecture', 'dropout', 'batchnorm', 'optimizer', 'batch_size', 'val_mae']])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df_copy = results_df.copy()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Преобразуем списки в строки для группировки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df_copy['arch_str'] = df_copy['architecture'].apply(str)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Группируем по архитектуре и выбираем top 10 по val_mae (наименьшие значения)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top10_per_arch = (df_copy.groupby('arch_str', group_keys=False)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>.apply(lambda x: x.nsmallest(10, 'val_mae'))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>.reset_index(drop=True))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print("Топ 10 моделей по архитектуре (лучшие MAE):")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print(top10_per_arch[['architecture', 'dropout', 'batchnorm', 'optimizer', 'batch_size', 'val_mae']].to_string())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plt.figure(figsize=(12, 6))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sns.boxplot(data=top10_per_arch, x='arch_str', y='val_mae', order=sorted(top10_per_arch['arch_str'].unique()))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plt.title('Распределение лучших MAE по архитектурам (top-10 в каждой)')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plt.xlabel('Архитектура')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plt.ylabel('MAE')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plt.xticks(rotation=45)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count_params(arch):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n_in = 11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total = 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prev = n_in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units in arch: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total += prev * units + units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prev = units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total += prev * 1 + 1  # выходной слой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total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список уникальных архитектур с их лучшими MAE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arch_mae = 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str([128,64,32]): 0.516349,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str([64,32]):     0.531867,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str([32,16]):     0.536137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arch_params = {str(arch): count_params(arch) for arch in [[128,64,32], [64,32], [32,16]]}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график сложность vs качество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fig, ax = plt.subplots(figsize=(8, 6))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arch_str in arch_mae: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ax.scatter(arch_params[arch_str], arch_mae[arch_str], s=100, label=arch_str)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ax.set_xlabel('Number of parameters')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ax.set_ylabel('Best validation 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ax.set_title('Model complexity vs quality')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ax.grid(True)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df_plot = results_df.copy()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df_plot['arch_str'] = df_plot['architecture'].apply(str)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df_plot['dropout_str'] = df_plot['dropout'].apply(lambda x: str(x) if x is not None else 'None')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plt.figure(figsize=(15, 10))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Влияние оптимизатора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plt.subplot(2, 2, 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sns.boxplot(data=df_plot, x='optimizer', y='val_mae')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plt.title('MAE по оптимизатору')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plt.xticks(rotation=45)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Влияние batch size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plt.subplot(2, 2, 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sns.boxplot(data=df_plot, x='batch_size', y='val_mae')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plt.title('MAE по batch size')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Влияние batch normalization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plt.subplot(2, 2, 3)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sns.boxplot(data=df_plot, x='batchnorm', y='val_mae')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plt.title('MAE с/без Batch Normalization')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Влияние dropout (есть/нет)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plt.subplot(2, 2, 4)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df_plot['has_dropout'] = df_plot['dropout'].apply(lambda x: 'Yes' if x is not None else 'No')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sns.boxplot(data=df_plot, x='has_dropout', y='val_mae')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plt.title('MAE с/без Dropout')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train_and_evaluate_model(X_train, y_train, X_test, y_test, layers_config,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>dropout_rates, use_batchnorm, optimizer,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>batch_size, epochs=250, verbose=0):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build_model(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input_dim=X_train.shape[1],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layers_config=layers_config,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dropout_rates=dropout_rates,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use_batchnorm=use_batchnorm,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optimizer=optimizer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early_stop = keras.callbacks.EarlyStopping(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patience=10,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restore_best_weights=True,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bmt = BestModelTracker()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history = model.fit(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X_train, y_train,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validation_split=0.2,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epochs=epochs,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batch_size=batch_size,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verbose=verbose,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callbacks=[early_stop, bmt]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# Предсказание на тесте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y_pred = model.predict(X_test, verbose=0).flatten()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test_mae = mean_absolute_error(y_test, y_pred)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test_mse = mean_squared_error(y_test, y_pred)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test_r2 = r2_score(y_test, y_pred)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history, test_mae, test_mse, test_r2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run_multiple_trials(X_train, y_train, X_test, y_test, layers_config,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>dropout_rates, use_batchnorm, optimizer,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>batch_size, n_trials=10, epochs=250):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results = []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i in range(n_trials):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print(f"Trial {i+1}/{n_trials}")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_, test_mae, test_mse, test_r2 = train_and_evaluate_model(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X_train, y_train, X_test, y_test,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layers_config, dropout_rates, use_batchnorm, optimizer(),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batch_size, epochs, verbose=0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results.append({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'trial': i+1,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'test_mae': test_mae,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'test_mse': test_mse,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'test_r2': test_r2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pd.DataFrame(results)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optimal_config = 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'layers_config': [64, 32],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'dropout_rates': None,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'use_batchnorm': False,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'optimizer': lambda: keras.optimizers.SGD(0.01, momentum=0.9),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'batch_size': 32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trials_df = run_multiple_trials(X_train_scaled, y_train, X_test_scaled, y_test,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>**optimal_config, n_trials=10, epochs=250)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print(trials_df[['test_mae', 'test_mse', 'test_r2']].describe())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График разброса тестовых MAE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plt.figure(figsize=(12, 5))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plt.subplot(1, 2, 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plt.plot(trials_df['trial'], trials_df['test_mae'], 'o-')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plt.xlabel('Trial')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plt.ylabel('Test 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plt.title('Stability of test MAE over 10 runs')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plt.axhline(y=trials_df['test_mae'].mean(), color='r', linestyle='--', label=f'Mean: {trials_df["test_mae"].mean():.4f}')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plt.subplot(1, 2, 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sns.boxplot(y=trials_df['test_mae'])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plt.ylabel('Test 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plt.title('Distribution of test 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history, test_mae, test_mse, test_r2 = train_and_evaluate_model(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X_train_scaled, y_train, X_test_scaled, y_test,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layers_config=[64, 32],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dropout_rates= None,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use_batchnorm=False,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optimizer=keras.optimizers.SGD(0.01, momentum=0.9),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batch_size=32,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epochs=250,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verbose=0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fig, (ax1, ax2) = plt.subplots(1, 2, figsize=(14, 5))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ax1.plot(history.history['loss'], label='Train loss (MSE)')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ax1.plot(history.history['val_loss'], label='Validation loss (MSE)')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ax1.set_xlabel('Epoch')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ax1.set_ylabel('MSE')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ax1.legend()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ax1.set_title('Loss curves (optimal model)')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ax2.plot(history.history['mae'], label='Train 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ax2.plot(history.history['val_mae'], label='Validation 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ax2.set_xlabel('Epoch')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ax2.set_ylabel('MAE')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ax2.legend()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ax2.set_title('MAE curves (optimal model)')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plt.show()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7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;Times New Roman" w:hAnsi="Liberation Serif;Times New Roman" w:eastAsia="Noto Serif CJK SC" w:cs="Noto Sans Devanagari"/>
      <w:b/>
      <w:bCs/>
      <w:sz w:val="20"/>
      <w:szCs w:val="20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OpenSymbol;Arial Unicode MS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OpenSymbol;Arial Unicode MS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;Arial Unicode MS" w:hAnsi="OpenSymbol;Arial Unicode MS" w:eastAsia="OpenSymbol;Arial Unicode MS" w:cs="OpenSymbol;Arial Unicode MS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;Courier New" w:hAnsi="Liberation Mono;Courier New" w:eastAsia="Noto Sans Mono CJK SC" w:cs="Liberation Mono;Courier New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1">
    <w:name w:val="caption1111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DocumentMap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tabs>
        <w:tab w:val="clear" w:pos="708"/>
        <w:tab w:val="left" w:pos="709" w:leader="none"/>
      </w:tabs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1111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1111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Standard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156</TotalTime>
  <Application>LibreOffice/25.8.6.2$Linux_X86_64 LibreOffice_project/a46b460d1686bb49c718d2ef5f88b83ff2dc4981</Application>
  <AppVersion>15.0000</AppVersion>
  <Pages>24</Pages>
  <Words>2831</Words>
  <Characters>22261</Characters>
  <CharactersWithSpaces>26140</CharactersWithSpaces>
  <Paragraphs>479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2026-03-09T22:50:11Z</cp:lastPrinted>
  <dcterms:modified xsi:type="dcterms:W3CDTF">2026-03-27T15:22:19Z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