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 w:end="0"/>
        <w:jc w:val="center"/>
        <w:rPr>
          <w:b/>
          <w:szCs w:val="28"/>
          <w:lang w:eastAsia="ru-RU" w:bidi="ar-SA"/>
        </w:rPr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</w:t>
      </w:r>
      <w:r>
        <w:rPr>
          <w:b/>
          <w:color w:val="auto"/>
          <w:szCs w:val="28"/>
          <w:lang w:eastAsia="ru-RU" w:bidi="ar-SA"/>
        </w:rPr>
        <w:t>те №</w:t>
      </w:r>
      <w:r>
        <w:rPr>
          <w:b/>
          <w:color w:val="auto"/>
          <w:szCs w:val="28"/>
          <w:lang w:eastAsia="ru-RU" w:bidi="ar-SA"/>
        </w:rPr>
        <w:t>2</w:t>
      </w:r>
    </w:p>
    <w:p>
      <w:pPr>
        <w:pStyle w:val="Standard"/>
        <w:jc w:val="center"/>
        <w:rPr>
          <w:rStyle w:val="BookTitle"/>
          <w:bCs/>
          <w:caps w:val="false"/>
          <w:smallCaps w:val="false"/>
          <w:color w:val="auto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дисципли</w:t>
      </w:r>
      <w:r>
        <w:rPr>
          <w:b/>
          <w:color w:val="auto"/>
          <w:szCs w:val="28"/>
          <w:lang w:eastAsia="ru-RU" w:bidi="ar-SA"/>
        </w:rPr>
        <w:t>не «Нейронные сети»</w:t>
      </w:r>
    </w:p>
    <w:p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color w:val="auto"/>
          <w:szCs w:val="28"/>
          <w:lang w:eastAsia="ru-RU" w:bidi="ar-SA"/>
        </w:rPr>
        <w:t>Тема: Бинарная классификация отраженных сигналов радара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7"/>
        <w:gridCol w:w="2609"/>
        <w:gridCol w:w="2898"/>
      </w:tblGrid>
      <w:tr>
        <w:trPr>
          <w:trHeight w:val="614" w:hRule="atLeast"/>
        </w:trPr>
        <w:tc>
          <w:tcPr>
            <w:tcW w:w="4347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1306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end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898" w:type="dxa"/>
            <w:tcBorders/>
            <w:vAlign w:val="bottom"/>
          </w:tcPr>
          <w:p>
            <w:pPr>
              <w:pStyle w:val="Standard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Шаврин А.П.</w:t>
            </w:r>
          </w:p>
        </w:tc>
      </w:tr>
      <w:tr>
        <w:trPr>
          <w:trHeight w:val="614" w:hRule="atLeast"/>
        </w:trPr>
        <w:tc>
          <w:tcPr>
            <w:tcW w:w="4347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end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898" w:type="dxa"/>
            <w:tcBorders/>
            <w:vAlign w:val="bottom"/>
          </w:tcPr>
          <w:p>
            <w:pPr>
              <w:pStyle w:val="Standard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rPr>
          <w:color w:val="auto"/>
        </w:rPr>
      </w:pPr>
      <w:r>
        <w:rPr/>
        <w:t>Цель работы.</w:t>
      </w:r>
    </w:p>
    <w:p>
      <w:pPr>
        <w:pStyle w:val="Textbody"/>
        <w:rPr>
          <w:color w:val="auto"/>
        </w:rPr>
      </w:pPr>
      <w:r>
        <w:rPr>
          <w:color w:val="auto"/>
        </w:rPr>
        <w:t>Реализовать классификацию между камнями (R) и металлическими цилиндрами (M) на основе данных об отражении сигналов радара от поверхностей. 60 входных значений показывают силу отражаемого сигнала под определенным углом. Входные данные нормализованы и находятся в промежутке от 0 до 1</w:t>
      </w:r>
    </w:p>
    <w:p>
      <w:pPr>
        <w:pStyle w:val="Textbody"/>
        <w:rPr>
          <w:color w:val="FF0000"/>
        </w:rPr>
      </w:pPr>
      <w:r>
        <w:rPr>
          <w:color w:val="FF0000"/>
        </w:rPr>
      </w:r>
    </w:p>
    <w:p>
      <w:pPr>
        <w:pStyle w:val="Heading2"/>
        <w:rPr>
          <w:color w:val="auto"/>
          <w:lang w:eastAsia="ru-RU" w:bidi="ar-SA"/>
        </w:rPr>
      </w:pPr>
      <w:r>
        <w:rPr/>
        <w:t>Задание.</w:t>
      </w:r>
    </w:p>
    <w:p>
      <w:pPr>
        <w:pStyle w:val="Standard"/>
        <w:numPr>
          <w:ilvl w:val="0"/>
          <w:numId w:val="2"/>
        </w:numPr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Ознакомиться с задачей бинарной классификации</w:t>
      </w:r>
    </w:p>
    <w:p>
      <w:pPr>
        <w:pStyle w:val="Standard"/>
        <w:numPr>
          <w:ilvl w:val="0"/>
          <w:numId w:val="2"/>
        </w:numPr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Загрузить данные</w:t>
      </w:r>
    </w:p>
    <w:p>
      <w:pPr>
        <w:pStyle w:val="Standard"/>
        <w:numPr>
          <w:ilvl w:val="0"/>
          <w:numId w:val="2"/>
        </w:numPr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Создать модель ИНС в tf.Keras</w:t>
      </w:r>
    </w:p>
    <w:p>
      <w:pPr>
        <w:pStyle w:val="Standard"/>
        <w:numPr>
          <w:ilvl w:val="0"/>
          <w:numId w:val="2"/>
        </w:numPr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Настроить параметры обучения</w:t>
      </w:r>
    </w:p>
    <w:p>
      <w:pPr>
        <w:pStyle w:val="Standard"/>
        <w:numPr>
          <w:ilvl w:val="0"/>
          <w:numId w:val="2"/>
        </w:numPr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Обучить и оценить модель</w:t>
      </w:r>
    </w:p>
    <w:p>
      <w:pPr>
        <w:pStyle w:val="Standard"/>
        <w:numPr>
          <w:ilvl w:val="0"/>
          <w:numId w:val="2"/>
        </w:numPr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Изменить модель и провести сравнение. Объяснить результаты</w:t>
      </w:r>
    </w:p>
    <w:p>
      <w:pPr>
        <w:pStyle w:val="Standard"/>
        <w:numPr>
          <w:ilvl w:val="0"/>
          <w:numId w:val="0"/>
        </w:numPr>
        <w:ind w:hanging="0" w:start="72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</w:r>
    </w:p>
    <w:p>
      <w:pPr>
        <w:pStyle w:val="Heading2"/>
        <w:rPr>
          <w:color w:val="auto"/>
          <w:szCs w:val="28"/>
          <w:lang w:eastAsia="ru-RU" w:bidi="ar-SA"/>
        </w:rPr>
      </w:pPr>
      <w:r>
        <w:rPr>
          <w:color w:val="auto"/>
        </w:rPr>
        <w:t>Выполнение работы.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В качестве набора данных использовался классический датасет Sonar, содержащий 208 образцов отраженных сигналов сонара. Каждый образец представлен 60 признаками (амплитудами сигналов на разных частотах) и меткой класса: "R" (камень) или "M" (металлический цилиндр). Данные были успешно загружены из файла sonar.csv (рисунок 1).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Предобработка данных включала следующие шаги:</w:t>
      </w:r>
    </w:p>
    <w:p>
      <w:pPr>
        <w:pStyle w:val="Standard"/>
        <w:numPr>
          <w:ilvl w:val="0"/>
          <w:numId w:val="3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Разделение признаков и целевой переменной: матрица признаков X (первые 60 столбцов) и вектор меток y (последний столбец).</w:t>
      </w:r>
    </w:p>
    <w:p>
      <w:pPr>
        <w:pStyle w:val="Standard"/>
        <w:numPr>
          <w:ilvl w:val="0"/>
          <w:numId w:val="3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Кодирование меток: строковые метки ('R' и 'M') были преобразованы в числовой формат (0 и 1) с помощью LabelEncoder. Это необходимо для использования функции потерь binary_crossentropy.</w:t>
      </w:r>
    </w:p>
    <w:p>
      <w:pPr>
        <w:pStyle w:val="Standard"/>
        <w:numPr>
          <w:ilvl w:val="0"/>
          <w:numId w:val="3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Разделение на обучающую и тестовую выборки: данные были разделены в соотношении 80/20 с сохранением пропорций классов (стратификация). Для воспроизводимости результатов использован random_state=42. 20% от обучающей выборки использовалось как валидационная выборка внутри процесса обучения.</w:t>
      </w:r>
    </w:p>
    <w:p>
      <w:pPr>
        <w:pStyle w:val="Standard"/>
        <w:ind w:hanging="0" w:star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drawing>
          <wp:inline distT="0" distB="0" distL="0" distR="0">
            <wp:extent cx="6120130" cy="665988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5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Рисунок 1. Чтение и предобработка данных.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Для проведения экспериментов была написана функция create_model() (рисунок 2), позволяющая задавать архитектуру сети через список architecture, где каждый элемент соответствует количеству нейронов в скрытом слое. Модель имеет входной слой, соответствующее количество скрытых слоёв с активацией ReLU и выходной слой с одним нейроном и функцией активации sigmoid для бинарной классификации. Компиляция выполнялась с оптимизатором Adam и функцией потерь binary_crossentropy.</w:t>
      </w:r>
    </w:p>
    <w:p>
      <w:pPr>
        <w:pStyle w:val="Standard"/>
        <w:ind w:hanging="0" w:star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drawing>
          <wp:inline distT="0" distB="0" distL="0" distR="0">
            <wp:extent cx="6120130" cy="1945005"/>
            <wp:effectExtent l="0" t="0" r="0" b="0"/>
            <wp:docPr id="2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Рисунок 2. Функция создания модели.</w:t>
      </w:r>
    </w:p>
    <w:p>
      <w:pPr>
        <w:pStyle w:val="Standard"/>
        <w:jc w:val="both"/>
        <w:rPr>
          <w:b/>
          <w:bCs/>
          <w:szCs w:val="28"/>
          <w:lang w:eastAsia="ru-RU" w:bidi="ar-SA"/>
        </w:rPr>
      </w:pPr>
      <w:r>
        <w:rPr>
          <w:b/>
          <w:bCs/>
          <w:szCs w:val="28"/>
          <w:lang w:eastAsia="ru-RU" w:bidi="ar-SA"/>
        </w:rPr>
        <w:t>1. Сравнение архитектур нейронной сети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 этом эксперименте было обучено 8 моделей с различной архитектурой – от простой однослойной до двухслойных с разным числом нейронов. Список исследованных архитектур:</w:t>
      </w:r>
    </w:p>
    <w:p>
      <w:pPr>
        <w:pStyle w:val="Standard"/>
        <w:numPr>
          <w:ilvl w:val="0"/>
          <w:numId w:val="4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[15] – один скрытый слой с 15 нейронами.</w:t>
      </w:r>
    </w:p>
    <w:p>
      <w:pPr>
        <w:pStyle w:val="Standard"/>
        <w:numPr>
          <w:ilvl w:val="0"/>
          <w:numId w:val="4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[30] – один скрытый слой с 30 нейронами.</w:t>
      </w:r>
    </w:p>
    <w:p>
      <w:pPr>
        <w:pStyle w:val="Standard"/>
        <w:numPr>
          <w:ilvl w:val="0"/>
          <w:numId w:val="4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[60] – один скрытый слой с 60 нейронами.</w:t>
      </w:r>
    </w:p>
    <w:p>
      <w:pPr>
        <w:pStyle w:val="Standard"/>
        <w:numPr>
          <w:ilvl w:val="0"/>
          <w:numId w:val="4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[120] – один скрытый слой с 120 нейронами.</w:t>
      </w:r>
    </w:p>
    <w:p>
      <w:pPr>
        <w:pStyle w:val="Standard"/>
        <w:numPr>
          <w:ilvl w:val="0"/>
          <w:numId w:val="4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[60, 30] – два скрытых слоя (60 и 30 нейронов).</w:t>
      </w:r>
    </w:p>
    <w:p>
      <w:pPr>
        <w:pStyle w:val="Standard"/>
        <w:numPr>
          <w:ilvl w:val="0"/>
          <w:numId w:val="4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[60, 15] – два скрытых слоя (60 и 15 нейронов).</w:t>
      </w:r>
    </w:p>
    <w:p>
      <w:pPr>
        <w:pStyle w:val="Standard"/>
        <w:numPr>
          <w:ilvl w:val="0"/>
          <w:numId w:val="4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[30, 15] – два скрытых слоя (30 и 15 нейронов).</w:t>
      </w:r>
    </w:p>
    <w:p>
      <w:pPr>
        <w:pStyle w:val="Standard"/>
        <w:numPr>
          <w:ilvl w:val="0"/>
          <w:numId w:val="4"/>
        </w:numPr>
        <w:rPr>
          <w:szCs w:val="28"/>
          <w:lang w:eastAsia="ru-RU" w:bidi="ar-SA"/>
        </w:rPr>
      </w:pPr>
      <w:r>
        <w:rPr>
          <w:szCs w:val="28"/>
          <w:lang w:eastAsia="ru-RU" w:bidi="ar-SA"/>
        </w:rPr>
        <w:t>[16, 8] – два скрытых слоя (16 и 8 нейронов).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Обучение каждой модели проводилось в течение 100 эпох с размером батча, равным 10. На рисунках 3 и 4 представлены графики точности и потерь для каждой из архитектур, а в таблице </w:t>
      </w:r>
      <w:r>
        <w:rPr>
          <w:szCs w:val="28"/>
          <w:lang w:eastAsia="ru-RU" w:bidi="ar-SA"/>
        </w:rPr>
        <w:t>1 значения точности для каждой архитектуры на валидационных и тестовых данных.</w:t>
      </w:r>
    </w:p>
    <w:p>
      <w:pPr>
        <w:pStyle w:val="Standard"/>
        <w:ind w:hanging="0" w:start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  <w:drawing>
          <wp:inline distT="0" distB="0" distL="0" distR="0">
            <wp:extent cx="5629275" cy="8287385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828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Рисунок 3. Графики точности для всех архитектур.</w:t>
      </w:r>
    </w:p>
    <w:p>
      <w:pPr>
        <w:pStyle w:val="Standard"/>
        <w:ind w:hanging="0" w:end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  <w:drawing>
          <wp:inline distT="0" distB="0" distL="0" distR="0">
            <wp:extent cx="5629275" cy="8287385"/>
            <wp:effectExtent l="0" t="0" r="0" b="0"/>
            <wp:docPr id="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828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ind w:hanging="0" w:end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Рисунок 4. Графики потерь для всех архитектур.</w:t>
      </w:r>
    </w:p>
    <w:p>
      <w:pPr>
        <w:pStyle w:val="Standard"/>
        <w:ind w:hanging="0" w:end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 w:end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 w:end="0"/>
        <w:jc w:val="start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Таблица </w:t>
      </w:r>
      <w:r>
        <w:rPr>
          <w:szCs w:val="28"/>
          <w:lang w:eastAsia="ru-RU" w:bidi="ar-SA"/>
        </w:rPr>
        <w:t>1. Результаты обучения различных архитектур.</w:t>
      </w:r>
    </w:p>
    <w:tbl>
      <w:tblPr>
        <w:tblW w:w="941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81"/>
        <w:gridCol w:w="3809"/>
        <w:gridCol w:w="3128"/>
      </w:tblGrid>
      <w:tr>
        <w:trPr>
          <w:tblHeader w:val="true"/>
        </w:trPr>
        <w:tc>
          <w:tcPr>
            <w:tcW w:w="2481" w:type="dxa"/>
            <w:tcBorders/>
            <w:vAlign w:val="center"/>
          </w:tcPr>
          <w:p>
            <w:pPr>
              <w:pStyle w:val="TableHeading"/>
              <w:ind w:hanging="0" w:start="0"/>
              <w:rPr/>
            </w:pPr>
            <w:r>
              <w:rPr/>
              <w:t>Архитектура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Heading"/>
              <w:ind w:hanging="0" w:start="0"/>
              <w:rPr/>
            </w:pPr>
            <w:r>
              <w:rPr/>
              <w:t>Точность на валидации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TableHeading"/>
              <w:ind w:hanging="0" w:start="0"/>
              <w:rPr/>
            </w:pPr>
            <w:r>
              <w:rPr/>
              <w:t>Точность на тесте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[15]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0.8824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0.8095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[30]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0.8824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0.8333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[60]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0.8824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0.8333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[120]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0.9412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0.7857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[60, 30]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0.9412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>
                <w:rStyle w:val="Strong"/>
                <w:shd w:fill="auto" w:val="clear"/>
              </w:rPr>
              <w:t>0.8810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[60, 15]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0.9412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0.8571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[30, 15]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0.8235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0.8095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[16, 8]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0.9412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0.7619</w:t>
            </w:r>
          </w:p>
        </w:tc>
      </w:tr>
    </w:tbl>
    <w:p>
      <w:pPr>
        <w:pStyle w:val="Standard"/>
        <w:ind w:hanging="0" w:end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star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Анализируя полученные графики и таблицу, можно сделать следующие наблюдения:</w:t>
      </w:r>
    </w:p>
    <w:p>
      <w:pPr>
        <w:pStyle w:val="Standard"/>
        <w:numPr>
          <w:ilvl w:val="0"/>
          <w:numId w:val="5"/>
        </w:numPr>
        <w:jc w:val="star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Однослойные архитектуры [15], [30], [60] показывают близкие результаты на тесте (0.8095–0.8333). Увеличение числа нейронов с 15 до 60 дает небольшой прирост точности. Графики обучения демонстрируют плавное снижение потерь и отсутствие явного переобучения.</w:t>
      </w:r>
    </w:p>
    <w:p>
      <w:pPr>
        <w:pStyle w:val="Standard"/>
        <w:numPr>
          <w:ilvl w:val="0"/>
          <w:numId w:val="5"/>
        </w:numPr>
        <w:jc w:val="star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Однослойная [120] имеет самый высокий показатель точности на валидации (0.9412), но при этом тестовая точность упала до 0.7857. Это классический признак переобучения: модель с избыточной емкостью хорошо запомнила обучающие данные, но потеряла способность обобщать на новые примеры.</w:t>
      </w:r>
    </w:p>
    <w:p>
      <w:pPr>
        <w:pStyle w:val="Standard"/>
        <w:numPr>
          <w:ilvl w:val="0"/>
          <w:numId w:val="5"/>
        </w:numPr>
        <w:jc w:val="star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 xml:space="preserve">Тот факт, что архитектуры со значительно меньшим числом нейронов в первом слое, чем размерность входных данных (60 признаков), показали вполне конкурентные результаты, говорит об избыточности в исходных данных. Архитектура с </w:t>
      </w:r>
      <w:r>
        <w:rPr>
          <w:b w:val="false"/>
          <w:bCs w:val="false"/>
          <w:szCs w:val="28"/>
          <w:lang w:eastAsia="ru-RU" w:bidi="ar-SA"/>
        </w:rPr>
        <w:t>15ю нейронами</w:t>
      </w:r>
      <w:r>
        <w:rPr>
          <w:b w:val="false"/>
          <w:bCs w:val="false"/>
          <w:szCs w:val="28"/>
          <w:lang w:eastAsia="ru-RU" w:bidi="ar-SA"/>
        </w:rPr>
        <w:t xml:space="preserve"> достигла тестовой точности 0.8095, что лишь незначительно уступает архитектуре в </w:t>
      </w:r>
      <w:r>
        <w:rPr>
          <w:b w:val="false"/>
          <w:bCs w:val="false"/>
          <w:szCs w:val="28"/>
          <w:lang w:eastAsia="ru-RU" w:bidi="ar-SA"/>
        </w:rPr>
        <w:t>60 нейронов</w:t>
      </w:r>
      <w:r>
        <w:rPr>
          <w:b w:val="false"/>
          <w:bCs w:val="false"/>
          <w:szCs w:val="28"/>
          <w:lang w:eastAsia="ru-RU" w:bidi="ar-SA"/>
        </w:rPr>
        <w:t xml:space="preserve"> (0.8333), имеющей в 4 раза больше нейронов. А архитектура с </w:t>
      </w:r>
      <w:r>
        <w:rPr>
          <w:b w:val="false"/>
          <w:bCs w:val="false"/>
          <w:szCs w:val="28"/>
          <w:lang w:eastAsia="ru-RU" w:bidi="ar-SA"/>
        </w:rPr>
        <w:t>30ю нейронами вообще не уступает в точности базовой модели.</w:t>
      </w:r>
      <w:r>
        <w:rPr>
          <w:b w:val="false"/>
          <w:bCs w:val="false"/>
          <w:szCs w:val="28"/>
          <w:lang w:eastAsia="ru-RU" w:bidi="ar-SA"/>
        </w:rPr>
        <w:t xml:space="preserve"> Таким образом, сеть способна эффективно сжимать информацию с 60 входных измерений до гораздо меньшего числа нейронов (15–30) без критической потери качества. Данная избыточность может быть обнаружена путем исследования данных на корреляцию через тепловую карту </w:t>
      </w:r>
      <w:r>
        <w:rPr>
          <w:b w:val="false"/>
          <w:bCs w:val="false"/>
          <w:szCs w:val="28"/>
          <w:lang w:eastAsia="ru-RU" w:bidi="ar-SA"/>
        </w:rPr>
        <w:t>(рисунок 5).</w:t>
      </w:r>
    </w:p>
    <w:p>
      <w:pPr>
        <w:pStyle w:val="Standard"/>
        <w:numPr>
          <w:ilvl w:val="0"/>
          <w:numId w:val="0"/>
        </w:numPr>
        <w:ind w:hanging="0" w:start="0" w:end="0"/>
        <w:jc w:val="center"/>
        <w:rPr>
          <w:szCs w:val="28"/>
          <w:lang w:eastAsia="ru-RU" w:bidi="ar-SA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0354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0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  <w:lang w:eastAsia="ru-RU" w:bidi="ar-SA"/>
        </w:rPr>
        <w:t xml:space="preserve">Рисунок </w:t>
      </w:r>
      <w:r>
        <w:rPr>
          <w:szCs w:val="28"/>
          <w:lang w:eastAsia="ru-RU" w:bidi="ar-SA"/>
        </w:rPr>
        <w:t>5</w:t>
      </w:r>
      <w:r>
        <w:rPr>
          <w:szCs w:val="28"/>
          <w:lang w:eastAsia="ru-RU" w:bidi="ar-SA"/>
        </w:rPr>
        <w:t>. Корреляционная матрица признаков датасета.</w:t>
      </w:r>
    </w:p>
    <w:p>
      <w:pPr>
        <w:pStyle w:val="Standard"/>
        <w:numPr>
          <w:ilvl w:val="0"/>
          <w:numId w:val="5"/>
        </w:numPr>
        <w:jc w:val="star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Двухслойные архитектуры показали разнообразные результаты. Лучший тестовый результат достигнут архитектурой [60, 30] - 0.8810. При этом точность на валидации также высока (0.9412), а кривые обучения и валидации близки друг к другу, что говорит о хорошей обобщающей способности.</w:t>
      </w:r>
    </w:p>
    <w:p>
      <w:pPr>
        <w:pStyle w:val="Standard"/>
        <w:numPr>
          <w:ilvl w:val="0"/>
          <w:numId w:val="5"/>
        </w:numPr>
        <w:jc w:val="star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Архитектура [60, 15] также показала неплохой результат (0.8571), уступив только [60, 30]. Остальные двухслойные варианты ([30, 15] и [16, 8]) либо не достигли высокой точности на тесте, либо сильно переобучились ([16, 8]). Для [16, 8] точность на валидации достигала 0.9412, но на тесте лишь 0.7619 – еще один пример переобучения из-за недостаточной емкости (или неудачного соотношения слоев).</w:t>
      </w:r>
    </w:p>
    <w:p>
      <w:pPr>
        <w:pStyle w:val="Standard"/>
        <w:numPr>
          <w:ilvl w:val="0"/>
          <w:numId w:val="5"/>
        </w:numPr>
        <w:jc w:val="star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Графики потерь подтверждают эти выводы: для переобучающихся моделей ([120], [16, 8]) наблюдается расхождение кривых потерь на обучении и валидации после некоторого числа эпох. Для хорошо обобщающих моделей кривые идут близко и плавно снижаются.</w:t>
      </w:r>
    </w:p>
    <w:p>
      <w:pPr>
        <w:pStyle w:val="Standard"/>
        <w:jc w:val="star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Таким образом, оптимальной архитектурой для данной задачи оказалась двухслойная сеть [60, 30]. Она обеспечивает наилучший баланс между сложностью модели и обобщающей способностью. Дальнейшее усложнение (увеличение числа нейронов до 120 в однослойной сети) или неоптимальный подбор размеров слоев приводят к падению тестовой точности.</w:t>
      </w:r>
    </w:p>
    <w:p>
      <w:pPr>
        <w:pStyle w:val="Standard"/>
        <w:numPr>
          <w:ilvl w:val="0"/>
          <w:numId w:val="0"/>
        </w:numPr>
        <w:ind w:hanging="0" w:start="0" w:end="0"/>
        <w:jc w:val="start"/>
        <w:rPr>
          <w:szCs w:val="28"/>
          <w:lang w:eastAsia="ru-RU" w:bidi="ar-SA"/>
        </w:rPr>
      </w:pPr>
      <w:r>
        <w:rPr>
          <w:b/>
          <w:bCs/>
          <w:szCs w:val="28"/>
          <w:lang w:eastAsia="ru-RU" w:bidi="ar-SA"/>
        </w:rPr>
        <w:tab/>
      </w:r>
    </w:p>
    <w:p>
      <w:pPr>
        <w:pStyle w:val="Heading2"/>
        <w:rPr>
          <w:color w:val="auto"/>
          <w:szCs w:val="28"/>
          <w:lang w:eastAsia="ru-RU" w:bidi="ar-SA"/>
        </w:rPr>
      </w:pPr>
      <w:r>
        <w:rPr/>
        <w:t>Выводы.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В ходе лабораторной работы была реализована классификация сигналов сонара на два класса с помощью полносвязных нейронных сетей различной архитектуры. Проведенные эксперименты позволяют сделать следующие выводы:</w:t>
      </w:r>
    </w:p>
    <w:p>
      <w:pPr>
        <w:pStyle w:val="Standard"/>
        <w:numPr>
          <w:ilvl w:val="0"/>
          <w:numId w:val="6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Архитектура сети существенно влияет на качество классификации. Простые однослойные модели ([15], [30], [60]) обеспечивают приемлемую, но не максимальную точность (0.81–0.83). Слишком мощная однослойная сеть ([120]) склонна к переобучению.</w:t>
      </w:r>
    </w:p>
    <w:p>
      <w:pPr>
        <w:pStyle w:val="Standard"/>
        <w:numPr>
          <w:ilvl w:val="0"/>
          <w:numId w:val="6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Данные обладают высокой степенью избыточности. Высокие результаты, достигнутые архитектурами с существенно меньшим числом нейронов в первом слое (например, [15], [30]), чем размерность входных данных (60 признаков), указывают на сильную коррелированность исходных признаков.</w:t>
      </w:r>
    </w:p>
    <w:p>
      <w:pPr>
        <w:pStyle w:val="Standard"/>
        <w:numPr>
          <w:ilvl w:val="0"/>
          <w:numId w:val="6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Двухслойные архитектуры могут превосходить однослойные при правильном подборе размеров. Наилучший результат (0.8810) получен для сети [60, 30]. Это говорит о том, что добавление второго слоя позволяет модели извлекать более сложные закономерности, не теряя обобщающей способности.</w:t>
      </w:r>
    </w:p>
    <w:p>
      <w:pPr>
        <w:pStyle w:val="Standard"/>
        <w:numPr>
          <w:ilvl w:val="0"/>
          <w:numId w:val="6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Важно контролировать переобучение. Модели с большим числом параметров ([120], [16, 8]) демонстрируют высокую точность на валидации, но низкую на тесте. Это подчеркивает необходимость использования методов регуляризации или ранней остановки при обучении сложных архитектур.</w:t>
      </w:r>
    </w:p>
    <w:p>
      <w:pPr>
        <w:pStyle w:val="Standard"/>
        <w:numPr>
          <w:ilvl w:val="0"/>
          <w:numId w:val="6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Графики обучения являются полезным инструментом диагностики. Расхождение кривых точности/потерь на обучении и валидации служит индикатором переобучения. Стабильное снижение обеих кривых свидетельствует о хорошем обобщении.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Лучшая модель по итогам экспериментов: двухслойная сеть с архитектурой [60, 30], достигшая точности 0.8810 на тестовой выборке. Данная архитектура может быть рекомендована для дальнейшего использования на подобных данных.</w:t>
      </w:r>
      <w:r>
        <w:br w:type="page"/>
      </w:r>
    </w:p>
    <w:p>
      <w:pPr>
        <w:pStyle w:val="Heading1"/>
        <w:rPr/>
      </w:pPr>
      <w:r>
        <w:rPr/>
        <w:t>Приложение А</w:t>
        <w:br/>
        <w:t>Исходный код программы</w:t>
      </w:r>
    </w:p>
    <w:p>
      <w:pPr>
        <w:pStyle w:val="Standard"/>
        <w:rPr/>
      </w:pPr>
      <w:r>
        <w:rPr/>
        <w:t xml:space="preserve">Название файла: </w:t>
      </w:r>
      <w:r>
        <w:rPr>
          <w:lang w:val="en-US"/>
        </w:rPr>
        <w:t>lab</w:t>
      </w:r>
      <w:r>
        <w:rPr>
          <w:lang w:val="en-US"/>
        </w:rPr>
        <w:t>2</w:t>
      </w:r>
      <w:r>
        <w:rPr>
          <w:lang w:val="en-US"/>
        </w:rPr>
        <w:t>.ipynb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Установка зависимостей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!pip install pandas numpy matplotlib scikit-learn tensorflow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Импорт"""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pandas as pd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numpy as np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seaborn as sns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sklearn.preprocessing import LabelEncoder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sklearn.model_selection import train_test_split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sklearn.metrics import accuracy_score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tensorflow.keras.models import Sequential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tensorflow.keras.layers import Dense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tensorflow.keras.optimizers import Adam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Загрузка данных"""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dataframe = pd.read_csv("sonar.csv", header=None)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print(dataframe.head())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Предобработка данных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 = dataset[:, 0:60].astype(float)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Y = dataset[:, 60]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encoder = LabelEncoder()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encoder.fit(Y)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encoded_Y = encoder.transform(Y)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X_train, X_test, y_train, y_test = train_test_split(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X, encoded_Y, test_size=0.2, random_state=42, stratify=encoded_Y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Исследование данных"""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 = dataframe.iloc[:, :-1]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corr_matrix = X.corr()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plt.figure(figsize=(20, 16))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sns.heatmap(corr_matrix, cmap='coolwarm', center=0,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square=True, linewidths=0.5, cbar_kws={"shrink": 0.8})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plt.title('Корреляционная матрица признаков датасета Sonar', fontsize=16)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plt.tight_layout()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Генерация модели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create_model(architecture, input_dim=60):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Sequential()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model.add(Dense(architecture[0], input_dim=input_dim, activation='relu'))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units in architecture[1:]: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model.add(Dense(units, activation='relu'))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model.add(Dense(1, activation='sigmoid'))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model.compile(optimizer='adam', loss='binary_crossentropy', metrics=['accuracy'])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model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Сравнение архитектур"""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architectures = [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[15],        # очень маленькая однослойная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[30],       # средняя однослойная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[60],       # базовая однослойная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[120],      # большая однослойная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[60, 30],   # двухслойная: сжатие 60-30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[60, 15],   # двухслойная: сильное сжатие 60-15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[30, 15],   # двухслойная: уже сжато 30-15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[16, 8]     # двухслойная: маленькая 16-8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architecture_results = []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arch in architectures: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print(f"\nОбучение архитектуры: {arch}")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create_model(arch)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history = model.fit(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X_train, y_train,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epochs=100,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batch_size=10,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validation_split=0.1,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verbose=0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test_loss, test_acc = model.evaluate(X_test, y_test, verbose=0)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architecture_results.append({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'architecture': arch,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'final_train_acc': history.history['accuracy'][-1],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'final_val_acc': history.history['val_accuracy'][-1],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'test_acc': test_acc,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'history': history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print(f"\tТочность на валидации: {history.history['val_accuracy'][-1]:.4f}")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print(f"\tТочность на тесте: {test_acc:.4f}")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"""## Графики потерь и точности"""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plot_accuracy_grid(architecture_results, architectures):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n = len(architectures)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cols = 2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rows = (n + cols - 1) // cols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fig, axes = plt.subplots(rows, cols, figsize=(14, 5 * rows))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fig.suptitle('Графики точности для всех архитектур', fontsize=14, y=1.02)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axes_flat = axes.flatten() if n &gt; 1 else [axes]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idx, arch in enumerate(architectures):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result = next(r for r in architecture_results if r['architecture'] == arch)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history = result['history']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 = axes_flat[idx]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ax.plot(history.history['accuracy'], label='Обучение')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ax.plot(history.history['val_accuracy'], label='Валидация')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ax.set_xlabel('Эпоха', fontsize=10)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ax.set_ylabel('Точность', fontsize=10)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ax.set_title(f'Архитектура {arch}\nТест: {result["test_acc"]:.3f}',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>
        <w:rPr>
          <w:sz w:val="24"/>
          <w:szCs w:val="24"/>
        </w:rPr>
        <w:t>fontsize=11, fontweight='bold')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ax.legend(loc='lower right', fontsize=9)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ax.grid(True, alpha=0.3)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ax.text(0.02, 0.02, f'Val: {result["final_val_acc"]:.3f}',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transform=ax.transAxes, fontsize=9,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bbox=dict(boxstyle='round', facecolor='wheat', alpha=0.8))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# Скрыть неиспользуемые подграфики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j in range(len(architectures), len(axes_flat)):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axes_flat[j].axis('off')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plt.tight_layout()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plt.subplots_adjust(top=0.95, hspace=0.4, wspace=0.1)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plot_loss_grid(architecture_results, architectures):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n = len(architectures)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cols = 2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rows = (n + cols - 1) // cols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fig, axes = plt.subplots(rows, cols, figsize=(14, 5 * rows))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fig.suptitle('Графики потерь для всех архитектур', fontsize=14, y=1.02)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axes_flat = axes.flatten() if n &gt; 1 else [axes]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idx, arch in enumerate(architectures):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result = next(r for r in architecture_results if r['architecture'] == arch)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history = result['history']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 = axes_flat[idx]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ax.plot(history.history['loss'], 'b-', linewidth=2, label='Обучение')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ax.plot(history.history['val_loss'], 'r-', linewidth=2, label='Валидация')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ax.set_xlabel('Эпоха', fontsize=10)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ax.set_ylabel('Потери', fontsize=10)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ax.set_title(f'Архитектура {arch}', fontsize=11, fontweight='bold')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ax.legend(loc='upper right', fontsize=9)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ax.grid(True, alpha=0.3)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ax.text(0.02, 0.95, f'Loss: {history.history["loss"][-1]:.3f}',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transform=ax.transAxes, fontsize=9,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bbox=dict(boxstyle='round', facecolor='lightblue', alpha=0.8))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ax.text(0.02, 0.85, f'Val Loss: {history.history["val_loss"][-1]:.3f}',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transform=ax.transAxes, fontsize=9,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bbox=dict(boxstyle='round', facecolor='lightcoral', alpha=0.8))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j in range(len(architectures), len(axes_flat)):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axes_flat[j].axis('off')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plt.tight_layout()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plt.subplots_adjust(top=0.95, hspace=0.4, wspace=0.1)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plot_accuracy_grid(architecture_results, architectures)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plot_loss_grid(architecture_results, architectures)</w:t>
      </w:r>
    </w:p>
    <w:sectPr>
      <w:footerReference w:type="default" r:id="rId7"/>
      <w:footerReference w:type="first" r:id="rId8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0" w:characterSet="windows-125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74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start="0" w:end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start="0" w:end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start="0" w:end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;Times New Roman" w:hAnsi="Liberation Serif;Times New Roman" w:eastAsia="Noto Serif CJK SC" w:cs="Noto Sans Devanagari"/>
      <w:b/>
      <w:bCs/>
      <w:sz w:val="20"/>
      <w:szCs w:val="20"/>
    </w:rPr>
  </w:style>
  <w:style w:type="character" w:styleId="WW8Num2z0">
    <w:name w:val="WW8Num2z0"/>
    <w:qFormat/>
    <w:rPr>
      <w:rFonts w:ascii="Symbol" w:hAnsi="Symbol" w:cs="OpenSymbol;Arial Unicode MS"/>
    </w:rPr>
  </w:style>
  <w:style w:type="character" w:styleId="WW8Num2z1">
    <w:name w:val="WW8Num2z1"/>
    <w:qFormat/>
    <w:rPr>
      <w:rFonts w:ascii="OpenSymbol;Arial Unicode MS" w:hAnsi="OpenSymbol;Arial Unicode MS" w:cs="OpenSymbol;Arial Unicode MS"/>
    </w:rPr>
  </w:style>
  <w:style w:type="character" w:styleId="WW8Num3z0">
    <w:name w:val="WW8Num3z0"/>
    <w:qFormat/>
    <w:rPr>
      <w:rFonts w:ascii="Symbol" w:hAnsi="Symbol" w:cs="OpenSymbol;Arial Unicode MS"/>
    </w:rPr>
  </w:style>
  <w:style w:type="character" w:styleId="WW8Num3z1">
    <w:name w:val="WW8Num3z1"/>
    <w:qFormat/>
    <w:rPr>
      <w:rFonts w:ascii="OpenSymbol;Arial Unicode MS" w:hAnsi="OpenSymbol;Arial Unicode MS" w:cs="OpenSymbol;Arial Unicode MS"/>
    </w:rPr>
  </w:style>
  <w:style w:type="character" w:styleId="WW8Num4z0">
    <w:name w:val="WW8Num4z0"/>
    <w:qFormat/>
    <w:rPr>
      <w:rFonts w:ascii="Symbol" w:hAnsi="Symbol" w:cs="OpenSymbol;Arial Unicode MS"/>
    </w:rPr>
  </w:style>
  <w:style w:type="character" w:styleId="WW8Num4z1">
    <w:name w:val="WW8Num4z1"/>
    <w:qFormat/>
    <w:rPr>
      <w:rFonts w:ascii="OpenSymbol;Arial Unicode MS" w:hAnsi="OpenSymbol;Arial Unicode MS" w:cs="OpenSymbol;Arial Unicode MS"/>
    </w:rPr>
  </w:style>
  <w:style w:type="character" w:styleId="WW8Num5z0">
    <w:name w:val="WW8Num5z0"/>
    <w:qFormat/>
    <w:rPr>
      <w:rFonts w:ascii="Symbol" w:hAnsi="Symbol" w:cs="OpenSymbol;Arial Unicode MS"/>
    </w:rPr>
  </w:style>
  <w:style w:type="character" w:styleId="WW8Num5z1">
    <w:name w:val="WW8Num5z1"/>
    <w:qFormat/>
    <w:rPr>
      <w:rFonts w:ascii="OpenSymbol;Arial Unicode MS" w:hAnsi="OpenSymbol;Arial Unicode MS" w:cs="OpenSymbol;Arial Unicode MS"/>
    </w:rPr>
  </w:style>
  <w:style w:type="character" w:styleId="WW8Num6z0">
    <w:name w:val="WW8Num6z0"/>
    <w:qFormat/>
    <w:rPr>
      <w:rFonts w:ascii="Symbol" w:hAnsi="Symbol" w:cs="OpenSymbol;Arial Unicode MS"/>
    </w:rPr>
  </w:style>
  <w:style w:type="character" w:styleId="WW8Num6z1">
    <w:name w:val="WW8Num6z1"/>
    <w:qFormat/>
    <w:rPr>
      <w:rFonts w:ascii="OpenSymbol;Arial Unicode MS" w:hAnsi="OpenSymbol;Arial Unicode MS" w:cs="OpenSymbol;Arial Unicode MS"/>
    </w:rPr>
  </w:style>
  <w:style w:type="character" w:styleId="WW8Num7z0">
    <w:name w:val="WW8Num7z0"/>
    <w:qFormat/>
    <w:rPr>
      <w:rFonts w:ascii="Symbol" w:hAnsi="Symbol" w:cs="OpenSymbol;Arial Unicode MS"/>
    </w:rPr>
  </w:style>
  <w:style w:type="character" w:styleId="WW8Num7z1">
    <w:name w:val="WW8Num7z1"/>
    <w:qFormat/>
    <w:rPr>
      <w:rFonts w:ascii="OpenSymbol;Arial Unicode MS" w:hAnsi="OpenSymbol;Arial Unicode MS" w:cs="OpenSymbol;Arial Unicode MS"/>
    </w:rPr>
  </w:style>
  <w:style w:type="character" w:styleId="WW8Num8z0">
    <w:name w:val="WW8Num8z0"/>
    <w:qFormat/>
    <w:rPr>
      <w:rFonts w:ascii="Symbol" w:hAnsi="Symbol" w:cs="OpenSymbol;Arial Unicode MS"/>
    </w:rPr>
  </w:style>
  <w:style w:type="character" w:styleId="WW8Num8z1">
    <w:name w:val="WW8Num8z1"/>
    <w:qFormat/>
    <w:rPr>
      <w:rFonts w:ascii="OpenSymbol;Arial Unicode MS" w:hAnsi="OpenSymbol;Arial Unicode MS" w:cs="OpenSymbol;Arial Unicode MS"/>
    </w:rPr>
  </w:style>
  <w:style w:type="character" w:styleId="WW8Num9z0">
    <w:name w:val="WW8Num9z0"/>
    <w:qFormat/>
    <w:rPr>
      <w:rFonts w:ascii="Symbol" w:hAnsi="Symbol" w:cs="OpenSymbol;Arial Unicode MS"/>
    </w:rPr>
  </w:style>
  <w:style w:type="character" w:styleId="WW8Num9z1">
    <w:name w:val="WW8Num9z1"/>
    <w:qFormat/>
    <w:rPr>
      <w:rFonts w:ascii="OpenSymbol;Arial Unicode MS" w:hAnsi="OpenSymbol;Arial Unicode MS" w:cs="OpenSymbol;Arial Unicode MS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;Courier New" w:hAnsi="Liberation Mono;Courier New" w:eastAsia="Noto Sans Mono CJK SC" w:cs="Liberation Mono;Courier New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bidi w:val="0"/>
      <w:spacing w:lineRule="auto" w:line="360"/>
      <w:ind w:firstLine="709" w:start="0" w:end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1">
    <w:name w:val="caption1111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DocumentMap">
    <w:name w:val="DocumentMap"/>
    <w:qFormat/>
    <w:pPr>
      <w:widowControl/>
      <w:suppressAutoHyphens w:val="true"/>
      <w:bidi w:val="0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tabs>
        <w:tab w:val="clear" w:pos="708"/>
        <w:tab w:val="left" w:pos="709" w:leader="none"/>
      </w:tabs>
      <w:spacing w:lineRule="auto" w:line="312"/>
      <w:ind w:firstLine="709" w:start="0" w:end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star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1111"/>
    <w:qFormat/>
    <w:pPr>
      <w:spacing w:lineRule="auto" w:line="240" w:before="0" w:after="0"/>
      <w:ind w:hanging="0" w:start="0" w:end="0"/>
      <w:jc w:val="start"/>
    </w:pPr>
    <w:rPr>
      <w:i w:val="false"/>
      <w:sz w:val="28"/>
    </w:rPr>
  </w:style>
  <w:style w:type="paragraph" w:styleId="Drawing">
    <w:name w:val="Drawing"/>
    <w:basedOn w:val="caption1111"/>
    <w:qFormat/>
    <w:pPr>
      <w:spacing w:lineRule="auto" w:line="240" w:before="0" w:after="0"/>
      <w:ind w:hanging="0" w:start="0" w:end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Standard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LibreOffice/25.8.5.2$Linux_X86_64 LibreOffice_project/252c20f6956e3db0b52e6e2f9dda67263513c8fc</Application>
  <AppVersion>15.0000</AppVersion>
  <Pages>14</Pages>
  <Words>1681</Words>
  <Characters>12444</Characters>
  <CharactersWithSpaces>14506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2026-03-09T19:46:14Z</cp:lastPrinted>
  <dcterms:modified xsi:type="dcterms:W3CDTF">2026-03-09T19:45:42Z</dcterms:modified>
  <cp:revision>14</cp:revision>
  <dc:subject/>
  <dc:title/>
</cp:coreProperties>
</file>