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Times1421"/>
        <w:spacing w:lineRule="auto" w:line="360"/>
        <w:ind w:firstLine="737" w:right="0"/>
        <w:jc w:val="center"/>
        <w:rPr>
          <w:b/>
          <w:szCs w:val="28"/>
          <w:lang w:eastAsia="ru-RU"/>
        </w:rPr>
      </w:pPr>
      <w:r>
        <w:rPr>
          <w:rStyle w:val="BookTitle"/>
          <w:bCs/>
          <w:caps/>
          <w:szCs w:val="28"/>
        </w:rPr>
        <w:t>отчет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/>
        </w:rPr>
        <w:t>по лабораторной рабо</w:t>
      </w:r>
      <w:r>
        <w:rPr>
          <w:b/>
          <w:color w:val="auto"/>
          <w:szCs w:val="28"/>
          <w:lang w:eastAsia="ru-RU" w:bidi="ar-SA"/>
        </w:rPr>
        <w:t>те №1</w:t>
      </w:r>
    </w:p>
    <w:p>
      <w:pPr>
        <w:pStyle w:val="Standard"/>
        <w:jc w:val="center"/>
        <w:rPr>
          <w:rStyle w:val="BookTitle"/>
          <w:bCs/>
          <w:caps w:val="false"/>
          <w:smallCaps w:val="false"/>
          <w:color w:val="auto"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по дисципли</w:t>
      </w:r>
      <w:r>
        <w:rPr>
          <w:b/>
          <w:color w:val="auto"/>
          <w:szCs w:val="28"/>
          <w:lang w:eastAsia="ru-RU" w:bidi="ar-SA"/>
        </w:rPr>
        <w:t>не «Стандартизация систем на базе искусственного интеллекта»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rStyle w:val="BookTitle"/>
          <w:bCs/>
          <w:caps w:val="false"/>
          <w:smallCaps w:val="false"/>
          <w:color w:val="auto"/>
          <w:szCs w:val="28"/>
          <w:lang w:eastAsia="ru-RU" w:bidi="ar-SA"/>
        </w:rPr>
        <w:t>Тема: Применение стандартов для оценивания качества систем искусственного интеллекта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4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7"/>
        <w:gridCol w:w="2609"/>
        <w:gridCol w:w="2898"/>
      </w:tblGrid>
      <w:tr>
        <w:trPr>
          <w:trHeight w:val="614" w:hRule="atLeast"/>
        </w:trPr>
        <w:tc>
          <w:tcPr>
            <w:tcW w:w="4347" w:type="dxa"/>
            <w:tcBorders/>
            <w:vAlign w:val="bottom"/>
          </w:tcPr>
          <w:p>
            <w:pPr>
              <w:pStyle w:val="Standard"/>
              <w:rPr/>
            </w:pPr>
            <w:r>
              <w:rPr>
                <w:szCs w:val="28"/>
              </w:rPr>
              <w:t>Студент гр. 1306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ind w:hanging="0" w:right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898" w:type="dxa"/>
            <w:tcBorders/>
            <w:vAlign w:val="bottom"/>
          </w:tcPr>
          <w:p>
            <w:pPr>
              <w:pStyle w:val="Standard"/>
              <w:jc w:val="center"/>
              <w:rPr/>
            </w:pPr>
            <w:r>
              <w:rPr>
                <w:color w:val="auto"/>
                <w:szCs w:val="28"/>
              </w:rPr>
              <w:t>Шаврин А.П.</w:t>
            </w:r>
          </w:p>
        </w:tc>
      </w:tr>
      <w:tr>
        <w:trPr>
          <w:trHeight w:val="614" w:hRule="atLeast"/>
        </w:trPr>
        <w:tc>
          <w:tcPr>
            <w:tcW w:w="4347" w:type="dxa"/>
            <w:tcBorders/>
            <w:vAlign w:val="bottom"/>
          </w:tcPr>
          <w:p>
            <w:pPr>
              <w:pStyle w:val="Standard"/>
              <w:rPr/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ind w:hanging="0" w:right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898" w:type="dxa"/>
            <w:tcBorders/>
            <w:vAlign w:val="bottom"/>
          </w:tcPr>
          <w:p>
            <w:pPr>
              <w:pStyle w:val="Standard"/>
              <w:jc w:val="center"/>
              <w:rPr/>
            </w:pPr>
            <w:r>
              <w:rPr>
                <w:color w:val="auto"/>
                <w:szCs w:val="28"/>
              </w:rPr>
              <w:t>Фаткиева Р.Р.</w:t>
            </w:r>
          </w:p>
        </w:tc>
      </w:tr>
    </w:tbl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/>
      </w:pPr>
      <w:r>
        <w:rPr>
          <w:bCs/>
          <w:szCs w:val="28"/>
          <w:lang w:eastAsia="ru-RU" w:bidi="ar-SA"/>
        </w:rPr>
        <w:t>2026</w:t>
      </w:r>
      <w:r>
        <w:br w:type="page"/>
      </w:r>
    </w:p>
    <w:p>
      <w:pPr>
        <w:pStyle w:val="Heading2"/>
        <w:rPr>
          <w:color w:val="auto"/>
        </w:rPr>
      </w:pPr>
      <w:r>
        <w:rPr/>
        <w:t>Цель работы.</w:t>
      </w:r>
    </w:p>
    <w:p>
      <w:pPr>
        <w:pStyle w:val="Textbody"/>
        <w:rPr>
          <w:color w:val="FF0000"/>
        </w:rPr>
      </w:pPr>
      <w:r>
        <w:rPr>
          <w:color w:val="auto"/>
        </w:rPr>
        <w:t>Рассмотреть подходы к оцениванию качества систем искусственного интеллекта, представленные в действующих документах по стандартизации, и определить их применимость к направлению дипломного исследования.</w:t>
      </w:r>
    </w:p>
    <w:p>
      <w:pPr>
        <w:pStyle w:val="Textbody"/>
        <w:rPr>
          <w:color w:val="FF0000"/>
        </w:rPr>
      </w:pPr>
      <w:r>
        <w:rPr>
          <w:color w:val="FF0000"/>
        </w:rPr>
      </w:r>
    </w:p>
    <w:p>
      <w:pPr>
        <w:pStyle w:val="Heading2"/>
        <w:rPr>
          <w:color w:val="auto"/>
          <w:lang w:eastAsia="ru-RU" w:bidi="ar-SA"/>
        </w:rPr>
      </w:pPr>
      <w:r>
        <w:rPr/>
        <w:t>Задание.</w:t>
      </w:r>
    </w:p>
    <w:p>
      <w:pPr>
        <w:pStyle w:val="Standard"/>
        <w:numPr>
          <w:ilvl w:val="0"/>
          <w:numId w:val="0"/>
        </w:numPr>
        <w:ind w:hanging="0" w:left="720" w:right="0"/>
        <w:rPr>
          <w:color w:val="auto"/>
          <w:lang w:eastAsia="ru-RU" w:bidi="ar-SA"/>
        </w:rPr>
      </w:pPr>
      <w:r>
        <w:rPr>
          <w:color w:val="auto"/>
          <w:lang w:eastAsia="ru-RU" w:bidi="ar-SA"/>
        </w:rPr>
        <w:t xml:space="preserve"> </w:t>
      </w:r>
      <w:r>
        <w:rPr>
          <w:color w:val="auto"/>
          <w:lang w:eastAsia="ru-RU" w:bidi="ar-SA"/>
        </w:rPr>
        <w:tab/>
        <w:t>Ознакомиться с материалами технического комитета ТК 164 «Искусственный интеллект»; изучить выбранный стандарт; выделить основные характеристики качества систем ИИ; рассмотреть соответствующие показатели оценивания и их связь с тематикой дипломной работы.</w:t>
      </w:r>
    </w:p>
    <w:p>
      <w:pPr>
        <w:pStyle w:val="Standard"/>
        <w:ind w:hanging="0" w:right="0"/>
        <w:rPr>
          <w:color w:val="auto"/>
          <w:lang w:eastAsia="ru-RU" w:bidi="ar-SA"/>
        </w:rPr>
      </w:pPr>
      <w:r>
        <w:rPr>
          <w:color w:val="auto"/>
          <w:lang w:eastAsia="ru-RU" w:bidi="ar-SA"/>
        </w:rPr>
      </w:r>
    </w:p>
    <w:p>
      <w:pPr>
        <w:pStyle w:val="Heading2"/>
        <w:rPr>
          <w:b/>
          <w:bCs/>
          <w:color w:val="000000"/>
          <w:szCs w:val="28"/>
          <w:lang w:eastAsia="ru-RU" w:bidi="ar-SA"/>
        </w:rPr>
      </w:pPr>
      <w:r>
        <w:rPr>
          <w:color w:val="auto"/>
        </w:rPr>
        <w:t>Выполнение работы.</w:t>
      </w:r>
    </w:p>
    <w:p>
      <w:pPr>
        <w:pStyle w:val="Standard"/>
        <w:numPr>
          <w:ilvl w:val="0"/>
          <w:numId w:val="2"/>
        </w:numPr>
        <w:bidi w:val="0"/>
        <w:rPr>
          <w:color w:val="000000"/>
          <w:szCs w:val="28"/>
          <w:lang w:eastAsia="ru-RU" w:bidi="ar-SA"/>
        </w:rPr>
      </w:pPr>
      <w:r>
        <w:rPr>
          <w:b/>
          <w:bCs/>
          <w:color w:val="000000"/>
          <w:szCs w:val="28"/>
          <w:lang w:eastAsia="ru-RU" w:bidi="ar-SA"/>
        </w:rPr>
        <w:t>Выбор стандарта для анализа</w:t>
      </w:r>
    </w:p>
    <w:p>
      <w:pPr>
        <w:pStyle w:val="Standard"/>
        <w:numPr>
          <w:ilvl w:val="0"/>
          <w:numId w:val="0"/>
        </w:numPr>
        <w:bidi w:val="0"/>
        <w:ind w:hanging="0" w:left="430" w:right="0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  <w:t xml:space="preserve"> </w:t>
      </w:r>
      <w:r>
        <w:rPr>
          <w:color w:val="000000"/>
          <w:szCs w:val="28"/>
          <w:lang w:eastAsia="ru-RU" w:bidi="ar-SA"/>
        </w:rPr>
        <w:tab/>
        <w:t>В рамках лабораторной работы рассмотрены материалы технического комитета по стандартизации ТК 164 «Искусственный интеллект». Для дальнейшего анализа выбран ПНСТ 842-2023 (ИСО/МЭК 25059:2023) «Программная инженерия. Требования и оценка качества систем и программного обеспечения (SQuaRE). Модель качества для систем искусственного интеллекта» [1].</w:t>
      </w:r>
    </w:p>
    <w:p>
      <w:pPr>
        <w:pStyle w:val="Standard"/>
        <w:numPr>
          <w:ilvl w:val="0"/>
          <w:numId w:val="0"/>
        </w:numPr>
        <w:bidi w:val="0"/>
        <w:ind w:hanging="0" w:left="430" w:right="0"/>
        <w:rPr>
          <w:b/>
          <w:bCs/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  <w:t xml:space="preserve"> </w:t>
      </w:r>
      <w:r>
        <w:rPr>
          <w:color w:val="000000"/>
          <w:szCs w:val="28"/>
          <w:lang w:eastAsia="ru-RU" w:bidi="ar-SA"/>
        </w:rPr>
        <w:tab/>
        <w:t>Выбор обусловлен тем, что в дипломном проекте разрабатывается гибридная система поддержки принятия решений (СППР), где детерминированное ядро (метод HMCDA, расчет метрик на основе OSM, FabDEM и WorldClim, fuzzy логика для преобразования метрик) дополняется компонентами искусственного интеллекта — генеративным LLM-модулем для интерпретации результатов. Данный стандарт позволяет систематизировать требования к качеству именно ИИ-компонентов, оценить прозрачность генерируемых объяснений и корректность их текстового вывода.</w:t>
      </w:r>
    </w:p>
    <w:p>
      <w:pPr>
        <w:pStyle w:val="Standard"/>
        <w:numPr>
          <w:ilvl w:val="0"/>
          <w:numId w:val="2"/>
        </w:numPr>
        <w:bidi w:val="0"/>
        <w:ind w:hanging="0" w:left="0" w:right="0"/>
        <w:rPr>
          <w:color w:val="000000"/>
          <w:szCs w:val="28"/>
          <w:lang w:eastAsia="ru-RU" w:bidi="ar-SA"/>
        </w:rPr>
      </w:pPr>
      <w:r>
        <w:rPr>
          <w:b/>
          <w:bCs/>
          <w:color w:val="000000"/>
          <w:szCs w:val="28"/>
          <w:lang w:eastAsia="ru-RU" w:bidi="ar-SA"/>
        </w:rPr>
        <w:t>Связь с темой дипломной работы</w:t>
      </w:r>
    </w:p>
    <w:p>
      <w:pPr>
        <w:pStyle w:val="Standard"/>
        <w:numPr>
          <w:ilvl w:val="0"/>
          <w:numId w:val="0"/>
        </w:numPr>
        <w:bidi w:val="0"/>
        <w:ind w:hanging="0" w:left="430" w:right="0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  <w:t xml:space="preserve"> </w:t>
      </w:r>
      <w:r>
        <w:rPr>
          <w:color w:val="000000"/>
          <w:szCs w:val="28"/>
          <w:lang w:eastAsia="ru-RU" w:bidi="ar-SA"/>
        </w:rPr>
        <w:tab/>
        <w:t>Тема дипломной работы — «Разработка программного комплекса для автоматизированного анализа земельных участков на основе открытых данных». Архитектура комплекса включает в себя обработку пространственных данных (PostGIS, S3), расчет производных метрик, их приведение к диапазону [0,1] с помощью функций нечеткой логики, агрегацию в иерархической MCDA с учетом штрафов за зоны ограничений (ЗОУИТ), а также LLM-модуль, который генерирует человекочитаемое описание результатов.</w:t>
      </w:r>
    </w:p>
    <w:p>
      <w:pPr>
        <w:pStyle w:val="Standard"/>
        <w:numPr>
          <w:ilvl w:val="0"/>
          <w:numId w:val="0"/>
        </w:numPr>
        <w:bidi w:val="0"/>
        <w:ind w:hanging="0" w:left="790" w:right="0"/>
        <w:rPr>
          <w:b/>
          <w:bCs/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  <w:t xml:space="preserve"> </w:t>
      </w:r>
      <w:r>
        <w:rPr>
          <w:color w:val="000000"/>
          <w:szCs w:val="28"/>
          <w:lang w:eastAsia="ru-RU" w:bidi="ar-SA"/>
        </w:rPr>
        <w:tab/>
        <w:t>Выбранный стандарт позволяет определить характеристики качества, которые целесообразно учитывать при оценке LLM-модуля. Наиболее близкими к теме исследования являются функциональная корректность (отсутствие галлюцинаций при описании цифр и фактов) и прозрачность (объяснимость того, почему участок получил тот или иной балл). Понятие робастности позволяет учитывать устойчивость системы к некорректным или вредоносным промптам, а также к неполным пространственным данным.</w:t>
      </w:r>
    </w:p>
    <w:p>
      <w:pPr>
        <w:pStyle w:val="Standard"/>
        <w:numPr>
          <w:ilvl w:val="0"/>
          <w:numId w:val="0"/>
        </w:numPr>
        <w:bidi w:val="0"/>
        <w:ind w:hanging="0" w:left="790" w:right="0"/>
        <w:rPr>
          <w:b/>
          <w:bCs/>
          <w:color w:val="000000"/>
          <w:szCs w:val="28"/>
          <w:lang w:eastAsia="ru-RU" w:bidi="ar-SA"/>
        </w:rPr>
      </w:pPr>
      <w:r>
        <w:rPr>
          <w:b/>
          <w:bCs/>
          <w:color w:val="000000"/>
          <w:szCs w:val="28"/>
          <w:lang w:eastAsia="ru-RU" w:bidi="ar-SA"/>
        </w:rPr>
        <w:t>3. Характеристики качества систем искусственного интеллекта</w:t>
      </w:r>
    </w:p>
    <w:p>
      <w:pPr>
        <w:pStyle w:val="Standard"/>
        <w:numPr>
          <w:ilvl w:val="0"/>
          <w:numId w:val="0"/>
        </w:numPr>
        <w:bidi w:val="0"/>
        <w:ind w:hanging="0" w:left="790" w:right="0"/>
        <w:rPr>
          <w:color w:val="000000"/>
          <w:szCs w:val="28"/>
          <w:lang w:eastAsia="ru-RU" w:bidi="ar-SA"/>
        </w:rPr>
      </w:pPr>
      <w:r>
        <w:rPr>
          <w:b/>
          <w:bCs/>
          <w:color w:val="000000"/>
          <w:szCs w:val="28"/>
          <w:lang w:eastAsia="ru-RU" w:bidi="ar-SA"/>
        </w:rPr>
        <w:t xml:space="preserve"> </w:t>
      </w:r>
      <w:r>
        <w:rPr>
          <w:b/>
          <w:bCs/>
          <w:color w:val="000000"/>
          <w:szCs w:val="28"/>
          <w:lang w:eastAsia="ru-RU" w:bidi="ar-SA"/>
        </w:rPr>
        <w:tab/>
      </w:r>
      <w:r>
        <w:rPr>
          <w:color w:val="000000"/>
          <w:szCs w:val="28"/>
          <w:lang w:eastAsia="ru-RU" w:bidi="ar-SA"/>
        </w:rPr>
        <w:t>Функциональная корректность — отражает способность системы ИИ выдавать точные и корректные результаты. В контексте LLM-модуля это означает, что сгенерированный текст должен строго соответствовать переданным ему фактам (весам метрик, наложенным штрафам). Модель не должна «выдумывать» цифры или путать сильные и слабые метрики.</w:t>
      </w:r>
    </w:p>
    <w:p>
      <w:pPr>
        <w:pStyle w:val="Standard"/>
        <w:numPr>
          <w:ilvl w:val="0"/>
          <w:numId w:val="0"/>
        </w:numPr>
        <w:bidi w:val="0"/>
        <w:ind w:hanging="0" w:left="790" w:right="0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  <w:t xml:space="preserve"> </w:t>
      </w:r>
      <w:r>
        <w:rPr>
          <w:color w:val="000000"/>
          <w:szCs w:val="28"/>
          <w:lang w:eastAsia="ru-RU" w:bidi="ar-SA"/>
        </w:rPr>
        <w:tab/>
        <w:t>Прозрачность — характеристика, отражающая степень, с которой до пользователя доводится информация о внутренних процессах системы. Для нашего комплекса это означает, что логика отбора фактов для промпта и логика вычисления штрафов должны быть документированы, а итоговый текст должен позволять проследить, какой именно фактор повлиял на итоговый балл.</w:t>
      </w:r>
    </w:p>
    <w:p>
      <w:pPr>
        <w:pStyle w:val="Standard"/>
        <w:numPr>
          <w:ilvl w:val="0"/>
          <w:numId w:val="0"/>
        </w:numPr>
        <w:bidi w:val="0"/>
        <w:ind w:hanging="0" w:left="790" w:right="0"/>
        <w:rPr>
          <w:b/>
          <w:bCs/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  <w:t xml:space="preserve"> </w:t>
      </w:r>
      <w:r>
        <w:rPr>
          <w:color w:val="000000"/>
          <w:szCs w:val="28"/>
          <w:lang w:eastAsia="ru-RU" w:bidi="ar-SA"/>
        </w:rPr>
        <w:tab/>
        <w:t>Робастность — способность системы поддерживать качество работы при различных условиях. Для ИИ-компонента это выражается в устойчивости к состязательным атакам (например, попыткам через текст промпта заставить модель выдать ложное обоснование) и в отказоустойчивости при сбоях генерации (переход на детерминированные шаблоны текста).</w:t>
      </w:r>
    </w:p>
    <w:p>
      <w:pPr>
        <w:pStyle w:val="Standard"/>
        <w:numPr>
          <w:ilvl w:val="0"/>
          <w:numId w:val="0"/>
        </w:numPr>
        <w:bidi w:val="0"/>
        <w:ind w:hanging="0" w:left="790" w:right="0"/>
        <w:rPr>
          <w:color w:val="000000"/>
          <w:szCs w:val="28"/>
          <w:lang w:eastAsia="ru-RU" w:bidi="ar-SA"/>
        </w:rPr>
      </w:pPr>
      <w:r>
        <w:rPr>
          <w:b/>
          <w:bCs/>
          <w:color w:val="000000"/>
          <w:szCs w:val="28"/>
          <w:lang w:eastAsia="ru-RU" w:bidi="ar-SA"/>
        </w:rPr>
        <w:t xml:space="preserve">4. </w:t>
      </w:r>
      <w:r>
        <w:rPr>
          <w:rFonts w:eastAsia="Times New Roman" w:cs="Times New Roman"/>
          <w:b/>
          <w:bCs/>
          <w:color w:val="000000"/>
          <w:lang w:eastAsia="ru-RU" w:bidi="ar-SA"/>
        </w:rPr>
        <w:t>Выбор метрик качества</w:t>
      </w:r>
    </w:p>
    <w:p>
      <w:pPr>
        <w:pStyle w:val="Standard"/>
        <w:bidi w:val="0"/>
        <w:ind w:hanging="0" w:right="0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  <w:t xml:space="preserve"> </w:t>
      </w:r>
      <w:r>
        <w:rPr>
          <w:color w:val="000000"/>
          <w:szCs w:val="28"/>
          <w:lang w:eastAsia="ru-RU" w:bidi="ar-SA"/>
        </w:rPr>
        <w:tab/>
        <w:t>Выбор показателей качества определяется целью оценки LLM-модуля и надежности всей СППР. ПНСТ 842-2023 задает модель качества, но не ограничивает разработчика в выборе конкретных формул. Для валидации нашего ИИ-компонента предлагаются следующие пять взаимодополняющих метрик:</w:t>
      </w:r>
    </w:p>
    <w:p>
      <w:pPr>
        <w:pStyle w:val="Standard"/>
        <w:bidi w:val="0"/>
        <w:ind w:hanging="0" w:right="0"/>
        <w:rPr/>
      </w:pPr>
      <w:r>
        <w:rPr>
          <w:color w:val="000000"/>
          <w:szCs w:val="28"/>
          <w:lang w:eastAsia="ru-RU" w:bidi="ar-SA"/>
        </w:rPr>
        <w:t xml:space="preserve">    </w:t>
      </w:r>
      <w:r>
        <w:rPr>
          <w:b/>
          <w:bCs/>
          <w:color w:val="000000"/>
          <w:szCs w:val="28"/>
          <w:lang w:eastAsia="ru-RU" w:bidi="ar-SA"/>
        </w:rPr>
        <w:t>Точность фактов (Factual Accuracy, A)</w:t>
      </w:r>
      <w:r>
        <w:rPr>
          <w:color w:val="000000"/>
          <w:szCs w:val="28"/>
          <w:lang w:eastAsia="ru-RU" w:bidi="ar-SA"/>
        </w:rPr>
        <w:t xml:space="preserve"> — доля текстов, в которых все числовые значения и названия метрик соответствуют входным данным:</w:t>
      </w:r>
    </w:p>
    <w:p>
      <w:pPr>
        <w:pStyle w:val="Standard"/>
        <w:bidi w:val="0"/>
        <w:ind w:hanging="0" w:right="0"/>
        <w:rPr>
          <w:color w:val="000000"/>
          <w:szCs w:val="28"/>
          <w:lang w:eastAsia="ru-RU" w:bidi="ar-SA"/>
        </w:rPr>
      </w:pPr>
      <w:r>
        <w:rPr/>
      </w:r>
      <m:oMathPara xmlns:m="http://schemas.openxmlformats.org/officeDocument/2006/math">
        <m:oMathParaPr>
          <m:jc m:val="left"/>
        </m:oMathParaPr>
        <m:oMath>
          <m:f>
            <m:fPr>
              <m:type m:val="lin"/>
            </m:fPr>
            <m:num>
              <m:sSub>
                <m:e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A=N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кор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общ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∗</m:t>
          </m:r>
          <m:r>
            <m:rPr>
              <m:lit/>
              <m:nor/>
            </m:rPr>
            <w:rPr>
              <w:rFonts w:ascii="Cambria Math" w:hAnsi="Cambria Math"/>
            </w:rPr>
            <m:t xml:space="preserve">100%</m:t>
          </m:r>
        </m:oMath>
      </m:oMathPara>
    </w:p>
    <w:p>
      <w:pPr>
        <w:pStyle w:val="Standard"/>
        <w:bidi w:val="0"/>
        <w:ind w:hanging="0" w:right="0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  <w:t>где Nкор — количество сгенерированных текстов без фактических ошибок, Nобщ​ — общее количество сгенерированных описаний.</w:t>
      </w:r>
    </w:p>
    <w:p>
      <w:pPr>
        <w:pStyle w:val="Standard"/>
        <w:bidi w:val="0"/>
        <w:ind w:hanging="0" w:right="0"/>
        <w:rPr/>
      </w:pPr>
      <w:r>
        <w:rPr>
          <w:color w:val="000000"/>
          <w:szCs w:val="28"/>
          <w:lang w:eastAsia="ru-RU" w:bidi="ar-SA"/>
        </w:rPr>
        <w:t xml:space="preserve">    </w:t>
      </w:r>
      <w:r>
        <w:rPr>
          <w:b/>
          <w:bCs/>
          <w:color w:val="000000"/>
          <w:szCs w:val="28"/>
          <w:lang w:eastAsia="ru-RU" w:bidi="ar-SA"/>
        </w:rPr>
        <w:t>Уровень галлюцинаций (Hallucination Rate, HR)</w:t>
      </w:r>
      <w:r>
        <w:rPr>
          <w:color w:val="000000"/>
          <w:szCs w:val="28"/>
          <w:lang w:eastAsia="ru-RU" w:bidi="ar-SA"/>
        </w:rPr>
        <w:t xml:space="preserve"> — метрика, обратная корректности, показывающая долю текстов, заблокированных или отклоненных гардрейлами (грамматическими/фактологическими валидаторами) из-за выдуманных данных:</w:t>
      </w:r>
    </w:p>
    <w:p>
      <w:pPr>
        <w:pStyle w:val="Standard"/>
        <w:bidi w:val="0"/>
        <w:ind w:hanging="0" w:right="0"/>
        <w:rPr>
          <w:color w:val="000000"/>
          <w:szCs w:val="28"/>
          <w:lang w:eastAsia="ru-RU" w:bidi="ar-SA"/>
        </w:rPr>
      </w:pPr>
      <w:r>
        <w:rPr/>
      </w:r>
      <m:oMathPara xmlns:m="http://schemas.openxmlformats.org/officeDocument/2006/math">
        <m:oMathParaPr>
          <m:jc m:val="left"/>
        </m:oMathParaPr>
        <m:oMath>
          <m:f>
            <m:fPr>
              <m:type m:val="lin"/>
            </m:fPr>
            <m:num>
              <m:sSub>
                <m:e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HR=N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галл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общ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∗</m:t>
          </m:r>
          <m:r>
            <m:rPr>
              <m:lit/>
              <m:nor/>
            </m:rPr>
            <w:rPr>
              <w:rFonts w:ascii="Cambria Math" w:hAnsi="Cambria Math"/>
            </w:rPr>
            <m:t xml:space="preserve">100%</m:t>
          </m:r>
        </m:oMath>
      </m:oMathPara>
    </w:p>
    <w:p>
      <w:pPr>
        <w:pStyle w:val="Standard"/>
        <w:bidi w:val="0"/>
        <w:ind w:hanging="0" w:right="0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  <w:t>где Nгалл​ — количество текстов с выявленными галлюцинациями.</w:t>
      </w:r>
    </w:p>
    <w:p>
      <w:pPr>
        <w:pStyle w:val="Standard"/>
        <w:bidi w:val="0"/>
        <w:ind w:hanging="0" w:right="0"/>
        <w:rPr/>
      </w:pPr>
      <w:r>
        <w:rPr>
          <w:color w:val="000000"/>
          <w:szCs w:val="28"/>
          <w:lang w:eastAsia="ru-RU" w:bidi="ar-SA"/>
        </w:rPr>
        <w:t xml:space="preserve">    </w:t>
      </w:r>
      <w:r>
        <w:rPr>
          <w:b/>
          <w:bCs/>
          <w:color w:val="000000"/>
          <w:szCs w:val="28"/>
          <w:lang w:eastAsia="ru-RU" w:bidi="ar-SA"/>
        </w:rPr>
        <w:t>Полнота объяснения (Explainability Completeness, EC)</w:t>
      </w:r>
      <w:r>
        <w:rPr>
          <w:color w:val="000000"/>
          <w:szCs w:val="28"/>
          <w:lang w:eastAsia="ru-RU" w:bidi="ar-SA"/>
        </w:rPr>
        <w:t xml:space="preserve"> — доля раскрытых аспектов, которые требовалось описать в промпте (например, топ-5 сильных и слабых метрик для каждого из 4 аспектов):</w:t>
      </w:r>
    </w:p>
    <w:p>
      <w:pPr>
        <w:pStyle w:val="Standard"/>
        <w:bidi w:val="0"/>
        <w:ind w:hanging="0" w:right="0"/>
        <w:rPr>
          <w:color w:val="000000"/>
          <w:szCs w:val="28"/>
          <w:lang w:eastAsia="ru-RU" w:bidi="ar-SA"/>
        </w:rPr>
      </w:pPr>
      <w:r>
        <w:rPr/>
      </w:r>
      <m:oMathPara xmlns:m="http://schemas.openxmlformats.org/officeDocument/2006/math">
        <m:oMathParaPr>
          <m:jc m:val="left"/>
        </m:oMathParaPr>
        <m:oMath>
          <m:f>
            <m:fPr>
              <m:type m:val="lin"/>
            </m:fPr>
            <m:num>
              <m:sSub>
                <m:e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EC=N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раскр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треб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∗</m:t>
          </m:r>
          <m:r>
            <m:rPr>
              <m:lit/>
              <m:nor/>
            </m:rPr>
            <w:rPr>
              <w:rFonts w:ascii="Cambria Math" w:hAnsi="Cambria Math"/>
            </w:rPr>
            <m:t xml:space="preserve">100%</m:t>
          </m:r>
        </m:oMath>
      </m:oMathPara>
    </w:p>
    <w:p>
      <w:pPr>
        <w:pStyle w:val="Standard"/>
        <w:bidi w:val="0"/>
        <w:ind w:hanging="0" w:right="0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  <w:t>где Nраскр — количество раскрытых пунктов, Nтреб​ — количество обязательных пунктов.</w:t>
      </w:r>
    </w:p>
    <w:p>
      <w:pPr>
        <w:pStyle w:val="Standard"/>
        <w:bidi w:val="0"/>
        <w:ind w:hanging="0" w:right="0"/>
        <w:rPr/>
      </w:pPr>
      <w:r>
        <w:rPr>
          <w:color w:val="000000"/>
          <w:szCs w:val="28"/>
          <w:lang w:eastAsia="ru-RU" w:bidi="ar-SA"/>
        </w:rPr>
        <w:t xml:space="preserve">    </w:t>
      </w:r>
      <w:r>
        <w:rPr>
          <w:b/>
          <w:bCs/>
          <w:color w:val="000000"/>
          <w:szCs w:val="28"/>
          <w:lang w:eastAsia="ru-RU" w:bidi="ar-SA"/>
        </w:rPr>
        <w:t xml:space="preserve">Коэффициент прохождения гардрейлов (Guardrail Pass Rate, GPR) </w:t>
      </w:r>
      <w:r>
        <w:rPr>
          <w:color w:val="000000"/>
          <w:szCs w:val="28"/>
          <w:lang w:eastAsia="ru-RU" w:bidi="ar-SA"/>
        </w:rPr>
        <w:t>— метрика отказоустойчивости, показывающая, какому проценту сгенерированных текстов удалось пройти проверку с первого раза без повторной генерации:</w:t>
      </w:r>
    </w:p>
    <w:p>
      <w:pPr>
        <w:pStyle w:val="Standard"/>
        <w:bidi w:val="0"/>
        <w:ind w:hanging="0" w:right="0"/>
        <w:rPr>
          <w:color w:val="000000"/>
          <w:szCs w:val="28"/>
          <w:lang w:eastAsia="ru-RU" w:bidi="ar-SA"/>
        </w:rPr>
      </w:pPr>
      <w:r>
        <w:rPr/>
      </w:r>
      <m:oMathPara xmlns:m="http://schemas.openxmlformats.org/officeDocument/2006/math">
        <m:oMathParaPr>
          <m:jc m:val="left"/>
        </m:oMathParaPr>
        <m:oMath>
          <m:f>
            <m:fPr>
              <m:type m:val="lin"/>
            </m:fPr>
            <m:num>
              <m:sSub>
                <m:e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GPR=N</m:t>
                  </m:r>
                </m:e>
                <m:sub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с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первого</m:t>
                      </m:r>
                    </m:sub>
                  </m:sSub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общ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∗</m:t>
          </m:r>
          <m:r>
            <m:rPr>
              <m:lit/>
              <m:nor/>
            </m:rPr>
            <w:rPr>
              <w:rFonts w:ascii="Cambria Math" w:hAnsi="Cambria Math"/>
            </w:rPr>
            <m:t xml:space="preserve">100%</m:t>
          </m:r>
        </m:oMath>
      </m:oMathPara>
    </w:p>
    <w:p>
      <w:pPr>
        <w:pStyle w:val="Standard"/>
        <w:bidi w:val="0"/>
        <w:ind w:hanging="0" w:right="0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  <w:t xml:space="preserve"> </w:t>
      </w:r>
      <w:r>
        <w:rPr>
          <w:color w:val="000000"/>
          <w:szCs w:val="28"/>
          <w:lang w:eastAsia="ru-RU" w:bidi="ar-SA"/>
        </w:rPr>
        <w:tab/>
        <w:t>Для применения перечисленных метрик необходимо предварительно сформировать тестовый набор данных. Он должен включать различные типы участков: с наложенными штрафами (ЗОУИТ), без ограничений, а также с разными комбинациями сильных и слабых метрик. Все сгенерированные тексты должны проверяться экспертом или автоматическим скриптом-валидатором (гардрейлом) на предмет соответствия исходным фактам. Это позволит избежать искажения итоговой оценки качества LLM-модуля из-за сложности отдельных тестовых задач.</w:t>
      </w:r>
    </w:p>
    <w:p>
      <w:pPr>
        <w:pStyle w:val="Standard"/>
        <w:bidi w:val="0"/>
        <w:ind w:hanging="0" w:right="0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Heading2"/>
        <w:rPr>
          <w:color w:val="auto"/>
          <w:szCs w:val="28"/>
          <w:lang w:eastAsia="ru-RU" w:bidi="ar-SA"/>
        </w:rPr>
      </w:pPr>
      <w:r>
        <w:rPr/>
        <w:t>Выводы.</w:t>
      </w:r>
    </w:p>
    <w:p>
      <w:pPr>
        <w:pStyle w:val="Standard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В ходе работы рассмотрен ПНСТ 842-2023, содержащий модель качества систем искусственного интеллекта. Применительно к теме дипломной работы выбранный стандарт позволяет обосновать комплексный подход к оценке качества LLM-модуля, обеспечивающего объяснимость результатов работы детерминированного ядра. Предложенные метрики (фактическая точность, уровень галлюцинаций, полнота объяснения) позволяют измерить качество генерации и минимизировать риски, связанные с ошибками ИИ при оценке земельных участков.</w:t>
      </w:r>
    </w:p>
    <w:p>
      <w:pPr>
        <w:pStyle w:val="Standard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</w:r>
    </w:p>
    <w:p>
      <w:pPr>
        <w:pStyle w:val="Standard"/>
        <w:rPr>
          <w:color w:val="auto"/>
          <w:szCs w:val="28"/>
          <w:lang w:eastAsia="ru-RU" w:bidi="ar-SA"/>
        </w:rPr>
      </w:pPr>
      <w:r>
        <w:rPr>
          <w:b/>
          <w:bCs/>
          <w:color w:val="auto"/>
          <w:szCs w:val="28"/>
          <w:lang w:eastAsia="ru-RU" w:bidi="ar-SA"/>
        </w:rPr>
        <w:t>Список литературы</w:t>
      </w:r>
    </w:p>
    <w:p>
      <w:pPr>
        <w:pStyle w:val="Standard"/>
        <w:numPr>
          <w:ilvl w:val="0"/>
          <w:numId w:val="3"/>
        </w:numPr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ПНСТ 842-2023 (ИСО/МЭК 25059:2023). Программная инженерия. Требования и оценка качества систем и программного обеспечения (SQuaRE). Модель качества для систем искусственного интеллекта [Электронный ресурс]. URL: https://protect.gost.ru (дата обращения: 18.10.2026).</w:t>
      </w:r>
    </w:p>
    <w:p>
      <w:pPr>
        <w:pStyle w:val="Standard"/>
        <w:numPr>
          <w:ilvl w:val="0"/>
          <w:numId w:val="3"/>
        </w:numPr>
        <w:rPr>
          <w:sz w:val="24"/>
          <w:szCs w:val="24"/>
        </w:rPr>
      </w:pPr>
      <w:r>
        <w:rPr>
          <w:color w:val="auto"/>
          <w:szCs w:val="28"/>
          <w:lang w:eastAsia="ru-RU" w:bidi="ar-SA"/>
        </w:rPr>
        <w:t xml:space="preserve"> </w:t>
      </w:r>
      <w:r>
        <w:rPr>
          <w:color w:val="auto"/>
          <w:szCs w:val="28"/>
          <w:lang w:eastAsia="ru-RU" w:bidi="ar-SA"/>
        </w:rPr>
        <w:t>ТК 164 «Искусственный интеллект». Материалы и перечни стандартов [Электронный ресурс]. URL: https://tc164.ru (дата обращения: 18.10.2026).</w:t>
      </w:r>
    </w:p>
    <w:sectPr>
      <w:footerReference w:type="default" r:id="rId2"/>
      <w:footerReference w:type="first" r:id="rId3"/>
      <w:type w:val="nextPage"/>
      <w:pgSz w:w="11906" w:h="16838"/>
      <w:pgMar w:left="1134" w:right="1134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default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430"/>
        </w:tabs>
        <w:ind w:left="430" w:hanging="360"/>
      </w:pPr>
    </w:lvl>
    <w:lvl w:ilvl="1">
      <w:start w:val="1"/>
      <w:numFmt w:val="decimal"/>
      <w:lvlText w:val="%2."/>
      <w:lvlJc w:val="left"/>
      <w:pPr>
        <w:tabs>
          <w:tab w:val="num" w:pos="790"/>
        </w:tabs>
        <w:ind w:left="790" w:hanging="360"/>
      </w:pPr>
    </w:lvl>
    <w:lvl w:ilvl="2">
      <w:start w:val="1"/>
      <w:numFmt w:val="decimal"/>
      <w:lvlText w:val="%3."/>
      <w:lvlJc w:val="left"/>
      <w:pPr>
        <w:tabs>
          <w:tab w:val="num" w:pos="1150"/>
        </w:tabs>
        <w:ind w:left="1150" w:hanging="360"/>
      </w:pPr>
    </w:lvl>
    <w:lvl w:ilvl="3">
      <w:start w:val="1"/>
      <w:numFmt w:val="decimal"/>
      <w:lvlText w:val="%4."/>
      <w:lvlJc w:val="left"/>
      <w:pPr>
        <w:tabs>
          <w:tab w:val="num" w:pos="1510"/>
        </w:tabs>
        <w:ind w:left="1510" w:hanging="360"/>
      </w:pPr>
    </w:lvl>
    <w:lvl w:ilvl="4">
      <w:start w:val="1"/>
      <w:numFmt w:val="decimal"/>
      <w:lvlText w:val="%5."/>
      <w:lvlJc w:val="left"/>
      <w:pPr>
        <w:tabs>
          <w:tab w:val="num" w:pos="1870"/>
        </w:tabs>
        <w:ind w:left="1870" w:hanging="360"/>
      </w:pPr>
    </w:lvl>
    <w:lvl w:ilvl="5">
      <w:start w:val="1"/>
      <w:numFmt w:val="decimal"/>
      <w:lvlText w:val="%6."/>
      <w:lvlJc w:val="left"/>
      <w:pPr>
        <w:tabs>
          <w:tab w:val="num" w:pos="2230"/>
        </w:tabs>
        <w:ind w:left="2230" w:hanging="360"/>
      </w:pPr>
    </w:lvl>
    <w:lvl w:ilvl="6">
      <w:start w:val="1"/>
      <w:numFmt w:val="decimal"/>
      <w:lvlText w:val="%7."/>
      <w:lvlJc w:val="left"/>
      <w:pPr>
        <w:tabs>
          <w:tab w:val="num" w:pos="2590"/>
        </w:tabs>
        <w:ind w:left="2590" w:hanging="360"/>
      </w:pPr>
    </w:lvl>
    <w:lvl w:ilvl="7">
      <w:start w:val="1"/>
      <w:numFmt w:val="decimal"/>
      <w:lvlText w:val="%8."/>
      <w:lvlJc w:val="left"/>
      <w:pPr>
        <w:tabs>
          <w:tab w:val="num" w:pos="2950"/>
        </w:tabs>
        <w:ind w:left="2950" w:hanging="360"/>
      </w:pPr>
    </w:lvl>
    <w:lvl w:ilvl="8">
      <w:start w:val="1"/>
      <w:numFmt w:val="decimal"/>
      <w:lvlText w:val="%9."/>
      <w:lvlJc w:val="left"/>
      <w:pPr>
        <w:tabs>
          <w:tab w:val="num" w:pos="3310"/>
        </w:tabs>
        <w:ind w:left="331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textAlignment w:val="baseline"/>
    </w:pPr>
    <w:rPr>
      <w:rFonts w:ascii="Liberation Serif;Times New Roman" w:hAnsi="Liberation Serif;Times New Roman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0" w:after="0"/>
      <w:ind w:hanging="0" w:left="0" w:right="0"/>
      <w:jc w:val="center"/>
      <w:outlineLvl w:val="0"/>
    </w:pPr>
    <w:rPr>
      <w:rFonts w:ascii="Times New Roman" w:hAnsi="Times New Roman" w:eastAsia="Times New Roman" w:cs="Times New Roman"/>
      <w:b/>
      <w:bCs/>
      <w:i w:val="false"/>
      <w:caps/>
      <w:sz w:val="2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0" w:after="0"/>
      <w:ind w:firstLine="709" w:left="0" w:right="0"/>
      <w:jc w:val="both"/>
      <w:outlineLvl w:val="1"/>
    </w:pPr>
    <w:rPr>
      <w:rFonts w:ascii="Times New Roman" w:hAnsi="Times New Roman" w:eastAsia="Times New Roman" w:cs="Times New Roman"/>
      <w:b/>
      <w:bCs/>
      <w:sz w:val="28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0" w:after="0"/>
      <w:ind w:firstLine="709" w:left="0" w:right="0"/>
      <w:jc w:val="both"/>
      <w:outlineLvl w:val="2"/>
    </w:pPr>
    <w:rPr>
      <w:rFonts w:ascii="Times New Roman" w:hAnsi="Times New Roman" w:eastAsia="Times New Roman" w:cs="Times New Roman"/>
      <w:b/>
      <w:bCs/>
      <w:i/>
      <w:sz w:val="28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;Times New Roman" w:hAnsi="Liberation Serif;Times New Roman" w:eastAsia="Noto Serif CJK SC" w:cs="Noto Sans Devanagari"/>
      <w:b/>
      <w:bCs/>
      <w:sz w:val="20"/>
      <w:szCs w:val="20"/>
    </w:rPr>
  </w:style>
  <w:style w:type="character" w:styleId="WW8Num2z0">
    <w:name w:val="WW8Num2z0"/>
    <w:qFormat/>
    <w:rPr>
      <w:rFonts w:ascii="Symbol" w:hAnsi="Symbol" w:cs="OpenSymbol;Arial Unicode MS"/>
    </w:rPr>
  </w:style>
  <w:style w:type="character" w:styleId="WW8Num2z1">
    <w:name w:val="WW8Num2z1"/>
    <w:qFormat/>
    <w:rPr>
      <w:rFonts w:ascii="OpenSymbol;Arial Unicode MS" w:hAnsi="OpenSymbol;Arial Unicode MS" w:cs="OpenSymbol;Arial Unicode MS"/>
    </w:rPr>
  </w:style>
  <w:style w:type="character" w:styleId="WW8Num3z0">
    <w:name w:val="WW8Num3z0"/>
    <w:qFormat/>
    <w:rPr>
      <w:rFonts w:ascii="Symbol" w:hAnsi="Symbol" w:cs="OpenSymbol;Arial Unicode MS"/>
    </w:rPr>
  </w:style>
  <w:style w:type="character" w:styleId="WW8Num3z1">
    <w:name w:val="WW8Num3z1"/>
    <w:qFormat/>
    <w:rPr>
      <w:rFonts w:ascii="OpenSymbol;Arial Unicode MS" w:hAnsi="OpenSymbol;Arial Unicode MS" w:cs="OpenSymbol;Arial Unicode MS"/>
    </w:rPr>
  </w:style>
  <w:style w:type="character" w:styleId="WW8Num4z0">
    <w:name w:val="WW8Num4z0"/>
    <w:qFormat/>
    <w:rPr>
      <w:rFonts w:ascii="Symbol" w:hAnsi="Symbol" w:cs="OpenSymbol;Arial Unicode MS"/>
    </w:rPr>
  </w:style>
  <w:style w:type="character" w:styleId="WW8Num4z1">
    <w:name w:val="WW8Num4z1"/>
    <w:qFormat/>
    <w:rPr>
      <w:rFonts w:ascii="OpenSymbol;Arial Unicode MS" w:hAnsi="OpenSymbol;Arial Unicode MS" w:cs="OpenSymbol;Arial Unicode MS"/>
    </w:rPr>
  </w:style>
  <w:style w:type="character" w:styleId="WW8Num5z0">
    <w:name w:val="WW8Num5z0"/>
    <w:qFormat/>
    <w:rPr>
      <w:rFonts w:ascii="Symbol" w:hAnsi="Symbol" w:cs="OpenSymbol;Arial Unicode MS"/>
    </w:rPr>
  </w:style>
  <w:style w:type="character" w:styleId="WW8Num5z1">
    <w:name w:val="WW8Num5z1"/>
    <w:qFormat/>
    <w:rPr>
      <w:rFonts w:ascii="OpenSymbol;Arial Unicode MS" w:hAnsi="OpenSymbol;Arial Unicode MS" w:cs="OpenSymbol;Arial Unicode MS"/>
    </w:rPr>
  </w:style>
  <w:style w:type="character" w:styleId="WW8Num6z0">
    <w:name w:val="WW8Num6z0"/>
    <w:qFormat/>
    <w:rPr>
      <w:rFonts w:ascii="Symbol" w:hAnsi="Symbol" w:cs="OpenSymbol;Arial Unicode MS"/>
    </w:rPr>
  </w:style>
  <w:style w:type="character" w:styleId="WW8Num6z1">
    <w:name w:val="WW8Num6z1"/>
    <w:qFormat/>
    <w:rPr>
      <w:rFonts w:ascii="OpenSymbol;Arial Unicode MS" w:hAnsi="OpenSymbol;Arial Unicode MS" w:cs="OpenSymbol;Arial Unicode MS"/>
    </w:rPr>
  </w:style>
  <w:style w:type="character" w:styleId="WW8Num7z0">
    <w:name w:val="WW8Num7z0"/>
    <w:qFormat/>
    <w:rPr>
      <w:rFonts w:ascii="Symbol" w:hAnsi="Symbol" w:cs="OpenSymbol;Arial Unicode MS"/>
    </w:rPr>
  </w:style>
  <w:style w:type="character" w:styleId="WW8Num7z1">
    <w:name w:val="WW8Num7z1"/>
    <w:qFormat/>
    <w:rPr>
      <w:rFonts w:ascii="OpenSymbol;Arial Unicode MS" w:hAnsi="OpenSymbol;Arial Unicode MS" w:cs="OpenSymbol;Arial Unicode MS"/>
    </w:rPr>
  </w:style>
  <w:style w:type="character" w:styleId="WW8Num8z0">
    <w:name w:val="WW8Num8z0"/>
    <w:qFormat/>
    <w:rPr>
      <w:rFonts w:ascii="Symbol" w:hAnsi="Symbol" w:cs="OpenSymbol;Arial Unicode MS"/>
    </w:rPr>
  </w:style>
  <w:style w:type="character" w:styleId="WW8Num8z1">
    <w:name w:val="WW8Num8z1"/>
    <w:qFormat/>
    <w:rPr>
      <w:rFonts w:ascii="OpenSymbol;Arial Unicode MS" w:hAnsi="OpenSymbol;Arial Unicode MS" w:cs="OpenSymbol;Arial Unicode MS"/>
    </w:rPr>
  </w:style>
  <w:style w:type="character" w:styleId="WW8Num9z0">
    <w:name w:val="WW8Num9z0"/>
    <w:qFormat/>
    <w:rPr>
      <w:rFonts w:ascii="Symbol" w:hAnsi="Symbol" w:cs="OpenSymbol;Arial Unicode MS"/>
    </w:rPr>
  </w:style>
  <w:style w:type="character" w:styleId="WW8Num9z1">
    <w:name w:val="WW8Num9z1"/>
    <w:qFormat/>
    <w:rPr>
      <w:rFonts w:ascii="OpenSymbol;Arial Unicode MS" w:hAnsi="OpenSymbol;Arial Unicode MS" w:cs="OpenSymbol;Arial Unicode MS"/>
    </w:rPr>
  </w:style>
  <w:style w:type="character" w:styleId="WW8Num1z0">
    <w:name w:val="WW8Num1z0"/>
    <w:qFormat/>
    <w:rPr>
      <w:rFonts w:ascii="Times New Roman" w:hAnsi="Times New Roman" w:cs="Times New Roman"/>
      <w:sz w:val="24"/>
    </w:rPr>
  </w:style>
  <w:style w:type="character" w:styleId="WW8Num1z1">
    <w:name w:val="WW8Num1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Times142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10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;Arial Unicode MS" w:hAnsi="OpenSymbol;Arial Unicode MS" w:eastAsia="OpenSymbol;Arial Unicode MS" w:cs="OpenSymbol;Arial Unicode MS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;Courier New" w:hAnsi="Liberation Mono;Courier New" w:eastAsia="Noto Sans Mono CJK SC" w:cs="Liberation Mono;Courier New"/>
    </w:rPr>
  </w:style>
  <w:style w:type="paragraph" w:styleId="Heading">
    <w:name w:val="Heading"/>
    <w:basedOn w:val="Standard"/>
    <w:next w:val="Textbody"/>
    <w:qFormat/>
    <w:pPr>
      <w:keepNext w:val="true"/>
      <w:spacing w:before="240" w:after="120"/>
    </w:pPr>
    <w:rPr>
      <w:rFonts w:ascii="Liberation Sans;Arial" w:hAnsi="Liberation Sans;Arial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Standard"/>
    <w:qFormat/>
    <w:pPr>
      <w:suppressLineNumbers/>
    </w:pPr>
    <w:rPr>
      <w:rFonts w:cs="Mangal"/>
      <w:sz w:val="24"/>
    </w:rPr>
  </w:style>
  <w:style w:type="paragraph" w:styleId="Standard">
    <w:name w:val="Standard"/>
    <w:qFormat/>
    <w:pPr>
      <w:widowControl/>
      <w:suppressAutoHyphens w:val="true"/>
      <w:bidi w:val="0"/>
      <w:spacing w:lineRule="auto" w:line="360"/>
      <w:ind w:firstLine="709" w:left="0" w:right="0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>
    <w:name w:val="Text body"/>
    <w:basedOn w:val="Standard"/>
    <w:qFormat/>
    <w:pPr>
      <w:spacing w:lineRule="auto" w:line="360" w:before="0" w:after="0"/>
      <w:jc w:val="both"/>
    </w:pPr>
    <w:rPr/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caption111">
    <w:name w:val="caption1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caption1111">
    <w:name w:val="caption11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caption11111">
    <w:name w:val="caption11111"/>
    <w:basedOn w:val="Standard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DocumentMap">
    <w:name w:val="DocumentMap"/>
    <w:qFormat/>
    <w:pPr>
      <w:widowControl/>
      <w:suppressAutoHyphens w:val="true"/>
      <w:bidi w:val="0"/>
    </w:pPr>
    <w:rPr>
      <w:rFonts w:ascii="Calibri" w:hAnsi="Calibri" w:eastAsia="Calibri" w:cs="Calibri"/>
      <w:color w:val="auto"/>
      <w:kern w:val="2"/>
      <w:sz w:val="20"/>
      <w:szCs w:val="20"/>
      <w:lang w:val="ru-RU" w:bidi="ar-SA" w:eastAsia="zh-CN"/>
    </w:rPr>
  </w:style>
  <w:style w:type="paragraph" w:styleId="Times1421">
    <w:name w:val="Times14_РИО2"/>
    <w:basedOn w:val="Standard"/>
    <w:qFormat/>
    <w:pPr>
      <w:widowControl/>
      <w:tabs>
        <w:tab w:val="clear" w:pos="708"/>
        <w:tab w:val="left" w:pos="709" w:leader="none"/>
      </w:tabs>
      <w:spacing w:lineRule="auto" w:line="312"/>
      <w:ind w:firstLine="709" w:left="0" w:right="0"/>
      <w:jc w:val="both"/>
      <w:textAlignment w:val="auto"/>
    </w:pPr>
    <w:rPr>
      <w:rFonts w:cs="Times New Roman"/>
      <w:sz w:val="28"/>
      <w:szCs w:val="24"/>
      <w:lang w:bidi="ar-SA"/>
    </w:rPr>
  </w:style>
  <w:style w:type="paragraph" w:styleId="TableContents">
    <w:name w:val="Table Contents"/>
    <w:basedOn w:val="Standard"/>
    <w:qFormat/>
    <w:pPr>
      <w:suppressLineNumbers/>
    </w:pPr>
    <w:rPr/>
  </w:style>
  <w:style w:type="paragraph" w:styleId="Style11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TableGrid1">
    <w:name w:val="Table Grid1"/>
    <w:basedOn w:val="DocumentMap"/>
    <w:qFormat/>
    <w:pPr>
      <w:widowControl/>
      <w:jc w:val="left"/>
      <w:textAlignment w:val="auto"/>
    </w:pPr>
    <w:rPr>
      <w:rFonts w:ascii="Calibri" w:hAnsi="Calibri" w:eastAsia="Calibri" w:cs="Calibri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able">
    <w:name w:val="Table"/>
    <w:basedOn w:val="caption11111"/>
    <w:qFormat/>
    <w:pPr>
      <w:spacing w:lineRule="auto" w:line="240" w:before="0" w:after="0"/>
      <w:ind w:hanging="0" w:left="0" w:right="0"/>
      <w:jc w:val="left"/>
    </w:pPr>
    <w:rPr>
      <w:i w:val="false"/>
      <w:sz w:val="28"/>
    </w:rPr>
  </w:style>
  <w:style w:type="paragraph" w:styleId="Drawing">
    <w:name w:val="Drawing"/>
    <w:basedOn w:val="caption11111"/>
    <w:qFormat/>
    <w:pPr>
      <w:spacing w:lineRule="auto" w:line="240" w:before="0" w:after="0"/>
      <w:ind w:hanging="0" w:left="0" w:right="0"/>
      <w:jc w:val="center"/>
    </w:pPr>
    <w:rPr>
      <w:i w:val="false"/>
      <w:sz w:val="28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Standard"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ramecontents">
    <w:name w:val="Frame contents"/>
    <w:basedOn w:val="Standard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Application>LibreOffice/26.2.5.2$Linux_X86_64 LibreOffice_project/6d2b0d33fb0f5da53a12f98bed3e9973e56ff1f0</Application>
  <AppVersion>15.0000</AppVersion>
  <Pages>5</Pages>
  <Words>757</Words>
  <Characters>5729</Characters>
  <CharactersWithSpaces>6615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2022-09-19T18:59:00Z</dcterms:created>
  <dc:creator>Microsoft Office User</dc:creator>
  <dc:description/>
  <dc:language>en-US</dc:language>
  <cp:lastModifiedBy/>
  <dcterms:modified xsi:type="dcterms:W3CDTF">2026-10-20T15:31:33Z</dcterms:modified>
  <cp:revision>21</cp:revision>
  <dc:subject/>
  <dc:title/>
</cp:coreProperties>
</file>