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8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959"/>
        <w:gridCol w:w="8612"/>
      </w:tblGrid>
      <w:tr>
        <w:trPr/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Отзыв</w:t>
            </w:r>
          </w:p>
        </w:tc>
        <w:tc>
          <w:tcPr>
            <w:tcW w:w="8612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id w:val="-894127905"/>
                <w:placeholder>
                  <w:docPart w:val="DefaultPlaceholder_-1854013440"/>
                </w:placeholder>
                <w:text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СПбГЭТУ «ЛЭТИ»</w:t>
            </w:r>
          </w:p>
        </w:tc>
      </w:tr>
      <w:tr>
        <w:trPr/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12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24"/>
                <w:lang w:val="ru-RU" w:eastAsia="en-US" w:bidi="ar-SA"/>
              </w:rPr>
              <w:t>наименование организации, органа управления или иного заинтересованного лица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 проект национального стандарта</w:t>
      </w:r>
    </w:p>
    <w:tbl>
      <w:tblPr>
        <w:tblStyle w:val="a8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FFFFFF" w:val="clear"/>
                <w:lang w:val="ru-RU" w:eastAsia="en-US" w:bidi="ar-SA"/>
              </w:rPr>
            </w:pPr>
            <w:sdt>
              <w:sdtPr>
                <w:id w:val="-933820625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rFonts w:eastAsia="Calibri" w:cs="Times New Roman" w:ascii="Times New Roman" w:hAnsi="Times New Roman"/>
                    <w:kern w:val="0"/>
                    <w:sz w:val="24"/>
                    <w:szCs w:val="24"/>
                    <w:shd w:fill="FFFFFF" w:val="clear"/>
                    <w:lang w:val="ru-RU" w:eastAsia="en-US" w:bidi="ar-SA"/>
                  </w:rPr>
                </w:r>
                <w:r>
                  <w:rPr>
                    <w:rFonts w:eastAsia="Calibri" w:cs="Times New Roman" w:ascii="Times New Roman" w:hAnsi="Times New Roman"/>
                    <w:kern w:val="0"/>
                    <w:sz w:val="24"/>
                    <w:szCs w:val="24"/>
                    <w:shd w:fill="FFFFFF" w:val="clear"/>
                    <w:lang w:val="ru-RU" w:eastAsia="en-US" w:bidi="ar-SA"/>
                  </w:rPr>
                  <w:t>«Программная инженерия. Требования и оценка качества систем и программного обеспечивания (SQuaRE). Модель качества для систем искусственного интеллекта»</w:t>
                </w:r>
              </w:sdtContent>
            </w:sdt>
          </w:p>
        </w:tc>
      </w:tr>
      <w:tr>
        <w:trPr/>
        <w:tc>
          <w:tcPr>
            <w:tcW w:w="9571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24"/>
                <w:lang w:val="ru-RU" w:eastAsia="en-US" w:bidi="ar-SA"/>
              </w:rPr>
              <w:t>наименование стандарта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О целесообразности разработки стандарта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Разработка стандарта является целесообразной и своевременной. Базовая модель качества программного обеспечения (ГОСТ Р ИСО/МЭК 25010) не в полной мере учитывает вероятностный характер систем ИИ и риски генеративных моделей. Создание отдельной модели качества позволяет систематизировать требования к гибридным системам поддержки принятия решений (СППР) с LLM-компонентами.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О проекте в целом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Проект стандарта обладает высокой научной и практической ценностью. Документ гармонизирован с международным стандартом ISO/IEC 25059:2023, имеет логичную структуру и вводит важные уточняющие подхарактеристики («управляемость со стороны пользователя», «робастность», «прозрачность»).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О наименовании стандарта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Наименование полностью отражает содержание документа и не требует изменений.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Об области применения стандарта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Область применения сформулирована корректно, однако требует уточнения для систем, где ИИ используется не для принятия итогового решения, а для интерпретации результатов детерминированных расчетов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О структуре стандарта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Структура логична. Разделение на модель качества продукта (раздел 5) и модель качества при использовании (раздел 6) позволяет оценивать систему с разных ракурсов: от внутренней архитектуры до пользовательского восприятия.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Style w:val="a8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2392"/>
        <w:gridCol w:w="2393"/>
        <w:gridCol w:w="2393"/>
        <w:gridCol w:w="2393"/>
      </w:tblGrid>
      <w:tr>
        <w:trPr/>
        <w:tc>
          <w:tcPr>
            <w:tcW w:w="2392" w:type="dxa"/>
            <w:tcBorders>
              <w:bottom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Структурный элемент стандарта</w:t>
            </w:r>
            <w:r>
              <w:rPr>
                <w:rStyle w:val="FootnoteReference"/>
                <w:rFonts w:eastAsia="Calibri" w:cs="Times New Roman" w:ascii="Times New Roman" w:hAnsi="Times New Roman"/>
                <w:kern w:val="0"/>
                <w:sz w:val="20"/>
                <w:szCs w:val="24"/>
                <w:shd w:fill="auto" w:val="clear"/>
                <w:lang w:val="ru-RU" w:eastAsia="en-US" w:bidi="ar-SA"/>
              </w:rPr>
              <w:footnoteReference w:id="2"/>
            </w:r>
          </w:p>
        </w:tc>
        <w:tc>
          <w:tcPr>
            <w:tcW w:w="2393" w:type="dxa"/>
            <w:tcBorders>
              <w:bottom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Замечание, предложение</w:t>
            </w:r>
          </w:p>
        </w:tc>
        <w:tc>
          <w:tcPr>
            <w:tcW w:w="2393" w:type="dxa"/>
            <w:tcBorders>
              <w:bottom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Предлагаемая редакция</w:t>
            </w:r>
          </w:p>
        </w:tc>
        <w:tc>
          <w:tcPr>
            <w:tcW w:w="2393" w:type="dxa"/>
            <w:tcBorders>
              <w:bottom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4"/>
                <w:lang w:val="ru-RU" w:eastAsia="en-US" w:bidi="ar-SA"/>
              </w:rPr>
              <w:t>Обоснование предлагаемой редакции</w:t>
            </w:r>
          </w:p>
        </w:tc>
      </w:tr>
      <w:tr>
        <w:trPr/>
        <w:tc>
          <w:tcPr>
            <w:tcW w:w="23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Раздел 1. Область применения</w:t>
            </w:r>
          </w:p>
        </w:tc>
        <w:tc>
          <w:tcPr>
            <w:tcW w:w="23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Область применения стандарта ограничена общими системами ИИ и не в полной мере учитывает специфику систем поддержки принятия решений (СППР) на базе генеративного ИИ, где модель не выдает итоговое решение, а генерирует текстовое объяснение детерминированных расчетов.</w:t>
            </w:r>
          </w:p>
        </w:tc>
        <w:tc>
          <w:tcPr>
            <w:tcW w:w="23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Дополнить: «Стандарт также применим к системам поддержки принятия решений (СППР), использующим генеративные модели ИИ для интерпретации и объяснения результатов детерминированного математического анализа (MCDA)».</w:t>
            </w:r>
          </w:p>
        </w:tc>
        <w:tc>
          <w:tcPr>
            <w:tcW w:w="23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 современных гибридных системах (как в оценивании недвижимости) ИИ используется для объяснения (explainability), а не для самого расчета. Уточнение расширит применимость стандарта на класс гибридных СППР.</w:t>
            </w:r>
          </w:p>
        </w:tc>
      </w:tr>
      <w:tr>
        <w:trPr/>
        <w:tc>
          <w:tcPr>
            <w:tcW w:w="23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Раздел 5.4. Функциональная корректность системы ИИ</w:t>
            </w:r>
          </w:p>
        </w:tc>
        <w:tc>
          <w:tcPr>
            <w:tcW w:w="23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Указано, что системы ИИ обычно не обеспечивают полной корректности и ожидается частота появления ошибок. Для генеративных моделей (LLM) критически важна не просто корректность, а фактологическая точность и защита от галлюцинаций.</w:t>
            </w:r>
          </w:p>
        </w:tc>
        <w:tc>
          <w:tcPr>
            <w:tcW w:w="23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Дополнить: «Для генеративных моделей ИИ, используемых для формирования текстовых описаний, необходимо предусматривать механизмы валидации фактов (гардрейлы, RAG-подходы) и измерять метрику галлюцинаций (hallucination rate)».</w:t>
            </w:r>
          </w:p>
        </w:tc>
        <w:tc>
          <w:tcPr>
            <w:tcW w:w="23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 системах, влияющих на стоимость имущества, галлюцинация LLM (выдумывание фактов) может привести к финансовым и юридическим рискам. Требование измерения галлюцинаций обязательно для таких систем.</w:t>
            </w:r>
          </w:p>
        </w:tc>
      </w:tr>
      <w:tr>
        <w:trPr/>
        <w:tc>
          <w:tcPr>
            <w:tcW w:w="23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Раздел 5.5. Робастность</w:t>
            </w:r>
          </w:p>
        </w:tc>
        <w:tc>
          <w:tcPr>
            <w:tcW w:w="23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Робастность описана для алгоритмов МО. Не упомянута устойчивость LLM к состязательным атакам (prompt injection) и некорректным входным данным.</w:t>
            </w:r>
          </w:p>
        </w:tc>
        <w:tc>
          <w:tcPr>
            <w:tcW w:w="23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Дополнить: «Включает способность системы ИИ противостоять вредоносным или некорректным промптам (prompt injection), сохраняя заданную логику генерации».</w:t>
            </w:r>
          </w:p>
        </w:tc>
        <w:tc>
          <w:tcPr>
            <w:tcW w:w="23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Для LLM-модуля критически важно, чтобы пользователь не мог через промпт заставить систему выдать ложное объяснение.</w:t>
            </w:r>
          </w:p>
        </w:tc>
      </w:tr>
      <w:tr>
        <w:trPr/>
        <w:tc>
          <w:tcPr>
            <w:tcW w:w="239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Раздел 5.6. Прозрачность системы ИИ</w:t>
            </w:r>
          </w:p>
        </w:tc>
        <w:tc>
          <w:tcPr>
            <w:tcW w:w="239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Прозрачность описывается через логи, документацию и отслеживание потоков данных, но не описывается прозрачность процесса генерации объяснения (какие факты легли в основу текста).</w:t>
            </w:r>
          </w:p>
        </w:tc>
        <w:tc>
          <w:tcPr>
            <w:tcW w:w="239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Дополнить: «Для систем с генеративным ИИ прозрачность также включает документирование логики отбора фактов (промпт-инжиниринг) и логирование исходных данных, на основе которых модель сформировала текстовое объяснение».</w:t>
            </w:r>
          </w:p>
        </w:tc>
        <w:tc>
          <w:tcPr>
            <w:tcW w:w="239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Это позволяет отличить «прозрачный» LLM-модуль (где четко видно, откуда взяты цифры) от «черного ящика», который просто генерирует красивый, но необоснованный текст.</w:t>
            </w:r>
          </w:p>
        </w:tc>
      </w:tr>
      <w:tr>
        <w:trPr/>
        <w:tc>
          <w:tcPr>
            <w:tcW w:w="23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Раздел 6.2. Смягчение отрицательных последствий этического и социального риска</w:t>
            </w:r>
          </w:p>
        </w:tc>
        <w:tc>
          <w:tcPr>
            <w:tcW w:w="23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Не выделена ответственность за искажение интерпретации данных в пользу одной из сторон.</w:t>
            </w:r>
          </w:p>
        </w:tc>
        <w:tc>
          <w:tcPr>
            <w:tcW w:w="23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Добавить: «Контроль за предвзятостью интерпретации (bias in interpretation), исключающий манипуляцию текстовыми объяснениями при оценке имущества или принятии финансовых решений».</w:t>
            </w:r>
          </w:p>
        </w:tc>
        <w:tc>
          <w:tcPr>
            <w:tcW w:w="23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 оценочной деятельности LLM может сгенерировать описание, которое неосознанно сместит акценты и повлияет на итоговое восприятие пользователя. Это специфический этический риск генеративного ИИ.</w:t>
            </w:r>
          </w:p>
        </w:tc>
      </w:tr>
      <w:tr>
        <w:trPr/>
        <w:tc>
          <w:tcPr>
            <w:tcW w:w="23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Приложение В (справочное)</w:t>
            </w:r>
          </w:p>
        </w:tc>
        <w:tc>
          <w:tcPr>
            <w:tcW w:w="23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 приложении хорошо описан риск-ориентированный подход, но для генеративного ИИ риски галлюцинаций и дрейфа модели остаются за кадром.</w:t>
            </w:r>
          </w:p>
        </w:tc>
        <w:tc>
          <w:tcPr>
            <w:tcW w:w="23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Добавить в таблицу или текст пример риска: «Риск генерации правдоподобного, но ложного утверждения (галлюцинация), требующий внедрения внешних валидаторов (гардрейлов)».</w:t>
            </w:r>
          </w:p>
        </w:tc>
        <w:tc>
          <w:tcPr>
            <w:tcW w:w="23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Прямая привязка к современным проблемам LLM.</w:t>
            </w:r>
          </w:p>
        </w:tc>
      </w:tr>
      <w:tr>
        <w:trPr/>
        <w:tc>
          <w:tcPr>
            <w:tcW w:w="23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 целом</w:t>
            </w:r>
          </w:p>
        </w:tc>
        <w:tc>
          <w:tcPr>
            <w:tcW w:w="23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Недостаточно раскрыты риски генеративного ИИ.</w:t>
            </w:r>
          </w:p>
        </w:tc>
        <w:tc>
          <w:tcPr>
            <w:tcW w:w="23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Добавить раздел по управлению рисками: галлюцинации, дрейф модели, смещение, кибербезопасность, защита персональных данных.</w:t>
            </w:r>
          </w:p>
        </w:tc>
        <w:tc>
          <w:tcPr>
            <w:tcW w:w="23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Соответствует современным международным подходам.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BodyText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Общий вывод:</w:t>
      </w:r>
      <w:r>
        <w:rPr>
          <w:rFonts w:cs="Times New Roman" w:ascii="Times New Roman" w:hAnsi="Times New Roman"/>
          <w:sz w:val="24"/>
          <w:szCs w:val="24"/>
        </w:rPr>
        <w:br/>
        <w:t xml:space="preserve">Разработка проекта национального стандарта «Программная инженерия. Требования и оценка качества систем и программного обеспечения (SQuaRE). Модель качества для систем искусственного интеллекта» является обоснованной и отвечает современным вызовам. Проект стандарта обладает высокой практической значимостью для разработчиков систем ИИ. Предложенные замечания направлены на адаптацию положений стандарта к гибридным СППР с генеративными компонентами (LLM) и на усиление мер защиты от галлюцинаций. </w:t>
      </w:r>
    </w:p>
    <w:p>
      <w:pPr>
        <w:pStyle w:val="HorizontalLine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FootnoteText"/>
        <w:rPr>
          <w:rFonts w:ascii="Times New Roman" w:hAnsi="Times New Roman" w:cs="Times New Roman"/>
          <w:sz w:val="16"/>
        </w:rPr>
      </w:pPr>
      <w:r>
        <w:rPr>
          <w:rFonts w:cs="Times New Roman" w:ascii="Times New Roman" w:hAnsi="Times New Roman"/>
          <w:sz w:val="16"/>
        </w:rPr>
        <w:t xml:space="preserve"> </w:t>
      </w:r>
      <w:r>
        <w:rPr>
          <w:rFonts w:cs="Times New Roman" w:ascii="Times New Roman" w:hAnsi="Times New Roman"/>
          <w:sz w:val="16"/>
        </w:rPr>
        <w:t>Отзыв на проект национального стандарта рекомендуется излагать в следующей последовательности:</w:t>
      </w:r>
    </w:p>
    <w:p>
      <w:pPr>
        <w:pStyle w:val="FootnoteText"/>
        <w:rPr>
          <w:rFonts w:ascii="Times New Roman" w:hAnsi="Times New Roman" w:cs="Times New Roman"/>
          <w:sz w:val="16"/>
        </w:rPr>
      </w:pPr>
      <w:r>
        <w:rPr>
          <w:rFonts w:cs="Times New Roman" w:ascii="Times New Roman" w:hAnsi="Times New Roman"/>
          <w:sz w:val="16"/>
        </w:rPr>
        <w:t>- о целесообразности разработки стандарта;</w:t>
      </w:r>
    </w:p>
    <w:p>
      <w:pPr>
        <w:pStyle w:val="FootnoteText"/>
        <w:rPr>
          <w:rFonts w:ascii="Times New Roman" w:hAnsi="Times New Roman" w:cs="Times New Roman"/>
          <w:sz w:val="16"/>
        </w:rPr>
      </w:pPr>
      <w:r>
        <w:rPr>
          <w:rFonts w:cs="Times New Roman" w:ascii="Times New Roman" w:hAnsi="Times New Roman"/>
          <w:sz w:val="16"/>
        </w:rPr>
        <w:t>- о проекте в целом;</w:t>
      </w:r>
    </w:p>
    <w:p>
      <w:pPr>
        <w:pStyle w:val="FootnoteText"/>
        <w:rPr>
          <w:rFonts w:ascii="Times New Roman" w:hAnsi="Times New Roman" w:cs="Times New Roman"/>
          <w:sz w:val="16"/>
        </w:rPr>
      </w:pPr>
      <w:r>
        <w:rPr>
          <w:rFonts w:cs="Times New Roman" w:ascii="Times New Roman" w:hAnsi="Times New Roman"/>
          <w:sz w:val="16"/>
        </w:rPr>
        <w:t>- о наименовании стандарта;</w:t>
      </w:r>
    </w:p>
    <w:p>
      <w:pPr>
        <w:pStyle w:val="FootnoteText"/>
        <w:rPr>
          <w:rFonts w:ascii="Times New Roman" w:hAnsi="Times New Roman" w:cs="Times New Roman"/>
          <w:sz w:val="16"/>
        </w:rPr>
      </w:pPr>
      <w:r>
        <w:rPr>
          <w:rFonts w:cs="Times New Roman" w:ascii="Times New Roman" w:hAnsi="Times New Roman"/>
          <w:sz w:val="16"/>
        </w:rPr>
        <w:t>- об области применения стандарта;</w:t>
      </w:r>
    </w:p>
    <w:p>
      <w:pPr>
        <w:pStyle w:val="FootnoteText"/>
        <w:rPr>
          <w:rFonts w:ascii="Times New Roman" w:hAnsi="Times New Roman" w:cs="Times New Roman"/>
          <w:sz w:val="16"/>
        </w:rPr>
      </w:pPr>
      <w:r>
        <w:rPr>
          <w:rFonts w:cs="Times New Roman" w:ascii="Times New Roman" w:hAnsi="Times New Roman"/>
          <w:sz w:val="16"/>
        </w:rPr>
        <w:t>- о структуре стандарта;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16"/>
        </w:rPr>
        <w:t>- об отдельных разделах, подразделах, пунктах, подпунктах, абзацах, таблицах, графических материалах и/или приложениях стандарта.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Руководитель подразделения, ответственного за подготовку отзыва</w:t>
      </w:r>
    </w:p>
    <w:tbl>
      <w:tblPr>
        <w:tblStyle w:val="a8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3933"/>
        <w:gridCol w:w="283"/>
        <w:gridCol w:w="1986"/>
        <w:gridCol w:w="285"/>
        <w:gridCol w:w="3084"/>
      </w:tblGrid>
      <w:tr>
        <w:trPr/>
        <w:tc>
          <w:tcPr>
            <w:tcW w:w="3933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FFFFFF" w:val="clear"/>
              </w:rPr>
            </w:pPr>
            <w:sdt>
              <w:sdtPr>
                <w:id w:val="-2012591843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rFonts w:eastAsia="Calibri" w:cs="Times New Roman" w:ascii="Times New Roman" w:hAnsi="Times New Roman"/>
                    <w:kern w:val="0"/>
                    <w:sz w:val="24"/>
                    <w:szCs w:val="24"/>
                    <w:shd w:fill="FFFFFF" w:val="clear"/>
                    <w:lang w:val="ru-RU" w:eastAsia="en-US" w:bidi="ar-SA"/>
                  </w:rPr>
                </w:r>
                <w:r>
                  <w:rPr>
                    <w:rFonts w:eastAsia="Calibri" w:cs="Times New Roman" w:ascii="Times New Roman" w:hAnsi="Times New Roman"/>
                    <w:kern w:val="0"/>
                    <w:sz w:val="24"/>
                    <w:szCs w:val="24"/>
                    <w:shd w:fill="FFFFFF" w:val="clear"/>
                    <w:lang w:val="ru-RU" w:eastAsia="en-US" w:bidi="ar-SA"/>
                  </w:rPr>
                  <w:t>Преподаватель</w:t>
                </w:r>
              </w:sdtContent>
            </w:sdt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98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084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id w:val="1065690880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rFonts w:eastAsia="Calibri" w:cs="Times New Roman" w:ascii="Times New Roman" w:hAnsi="Times New Roman"/>
                    <w:kern w:val="0"/>
                    <w:sz w:val="24"/>
                    <w:szCs w:val="24"/>
                    <w:lang w:val="ru-RU" w:eastAsia="en-US" w:bidi="ar-SA"/>
                  </w:rPr>
                </w:r>
                <w:r>
                  <w:rPr>
                    <w:rFonts w:eastAsia="Calibri" w:cs="Times New Roman" w:ascii="Times New Roman" w:hAnsi="Times New Roman"/>
                    <w:kern w:val="0"/>
                    <w:sz w:val="24"/>
                    <w:szCs w:val="24"/>
                    <w:lang w:val="ru-RU" w:eastAsia="en-US" w:bidi="ar-SA"/>
                  </w:rPr>
                </w:r>
              </w:sdtContent>
            </w:sdt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Р.Р. Фаткиева </w:t>
            </w:r>
          </w:p>
        </w:tc>
      </w:tr>
      <w:tr>
        <w:trPr/>
        <w:tc>
          <w:tcPr>
            <w:tcW w:w="3933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24"/>
                <w:lang w:val="ru-RU" w:eastAsia="en-US" w:bidi="ar-SA"/>
              </w:rPr>
              <w:t>должность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cs="Times New Roman" w:ascii="Times New Roman" w:hAnsi="Times New Roman"/>
                <w:sz w:val="16"/>
                <w:szCs w:val="24"/>
              </w:rPr>
            </w:r>
          </w:p>
        </w:tc>
        <w:tc>
          <w:tcPr>
            <w:tcW w:w="1986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24"/>
                <w:lang w:val="ru-RU" w:eastAsia="en-US" w:bidi="ar-SA"/>
              </w:rPr>
              <w:t>личная подпись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cs="Times New Roman" w:ascii="Times New Roman" w:hAnsi="Times New Roman"/>
                <w:sz w:val="16"/>
                <w:szCs w:val="24"/>
              </w:rPr>
            </w:r>
          </w:p>
        </w:tc>
        <w:tc>
          <w:tcPr>
            <w:tcW w:w="3084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24"/>
                <w:lang w:val="ru-RU" w:eastAsia="en-US" w:bidi="ar-SA"/>
              </w:rPr>
              <w:t>Ф.И.О.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Составитель отзыва</w:t>
      </w:r>
    </w:p>
    <w:tbl>
      <w:tblPr>
        <w:tblStyle w:val="a8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3933"/>
        <w:gridCol w:w="283"/>
        <w:gridCol w:w="1986"/>
        <w:gridCol w:w="285"/>
        <w:gridCol w:w="3084"/>
      </w:tblGrid>
      <w:tr>
        <w:trPr/>
        <w:tc>
          <w:tcPr>
            <w:tcW w:w="3933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Студент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986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084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id w:val="-1106805459"/>
                <w:placeholder>
                  <w:docPart w:val="DefaultPlaceholder_-1854013440"/>
                </w:placeholder>
                <w:text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А. П. Шаврин</w:t>
            </w:r>
          </w:p>
        </w:tc>
      </w:tr>
      <w:tr>
        <w:trPr/>
        <w:tc>
          <w:tcPr>
            <w:tcW w:w="3933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24"/>
                <w:lang w:val="ru-RU" w:eastAsia="en-US" w:bidi="ar-SA"/>
              </w:rPr>
              <w:t>должность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cs="Times New Roman" w:ascii="Times New Roman" w:hAnsi="Times New Roman"/>
                <w:sz w:val="16"/>
                <w:szCs w:val="24"/>
              </w:rPr>
            </w:r>
          </w:p>
        </w:tc>
        <w:tc>
          <w:tcPr>
            <w:tcW w:w="1986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24"/>
                <w:lang w:val="ru-RU" w:eastAsia="en-US" w:bidi="ar-SA"/>
              </w:rPr>
              <w:t>личная подпись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cs="Times New Roman" w:ascii="Times New Roman" w:hAnsi="Times New Roman"/>
                <w:sz w:val="16"/>
                <w:szCs w:val="24"/>
              </w:rPr>
            </w:r>
          </w:p>
        </w:tc>
        <w:tc>
          <w:tcPr>
            <w:tcW w:w="3084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16"/>
                <w:szCs w:val="24"/>
                <w:lang w:val="ru-RU" w:eastAsia="en-US" w:bidi="ar-SA"/>
              </w:rPr>
              <w:t>Ф.И.О.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</w:footnotePr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a8"/>
      <w:tblW w:w="9571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noHBand="0" w:noVBand="1" w:firstColumn="1" w:lastRow="0" w:lastColumn="0" w:firstRow="1" w:val="04a0"/>
    </w:tblPr>
    <w:tblGrid>
      <w:gridCol w:w="4785"/>
      <w:gridCol w:w="4786"/>
    </w:tblGrid>
    <w:tr>
      <w:trPr>
        <w:trHeight w:val="288" w:hRule="atLeast"/>
      </w:trPr>
      <w:tc>
        <w:tcPr>
          <w:tcW w:w="4785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eastAsia="Calibri" w:cs="Times New Roman" w:ascii="Times New Roman" w:hAnsi="Times New Roman"/>
              <w:kern w:val="0"/>
              <w:sz w:val="16"/>
              <w:szCs w:val="16"/>
              <w:lang w:val="ru-RU" w:eastAsia="en-US" w:bidi="ar-SA"/>
            </w:rPr>
            <w:t>Форма отзыва на проект национального стандарта</w:t>
          </w:r>
        </w:p>
        <w:p>
          <w:pPr>
            <w:pStyle w:val="Header"/>
            <w:widowControl/>
            <w:suppressAutoHyphens w:val="true"/>
            <w:spacing w:before="0" w:after="0"/>
            <w:jc w:val="left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eastAsia="Calibri" w:cs="Times New Roman" w:ascii="Times New Roman" w:hAnsi="Times New Roman"/>
              <w:kern w:val="0"/>
              <w:sz w:val="16"/>
              <w:szCs w:val="16"/>
              <w:lang w:val="ru-RU" w:eastAsia="en-US" w:bidi="ar-SA"/>
            </w:rPr>
            <w:t>ГОСТ Р 1.2-2020, приложение Б</w:t>
          </w:r>
        </w:p>
      </w:tc>
      <w:tc>
        <w:tcPr>
          <w:tcW w:w="478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Header"/>
            <w:widowControl/>
            <w:suppressAutoHyphens w:val="true"/>
            <w:spacing w:before="0" w:after="0"/>
            <w:jc w:val="right"/>
            <w:rPr>
              <w:rFonts w:ascii="Times New Roman" w:hAnsi="Times New Roman" w:cs="Times New Roman"/>
              <w:sz w:val="28"/>
              <w:szCs w:val="16"/>
            </w:rPr>
          </w:pPr>
          <w:r>
            <w:rPr>
              <w:rFonts w:cs="Times New Roman" w:ascii="Times New Roman" w:hAnsi="Times New Roman"/>
              <w:sz w:val="28"/>
              <w:szCs w:val="16"/>
            </w:rPr>
          </w:r>
        </w:p>
      </w:tc>
    </w:tr>
  </w:tbl>
  <w:p>
    <w:pPr>
      <w:pStyle w:val="Header"/>
      <w:rPr>
        <w:rFonts w:ascii="Times New Roman" w:hAnsi="Times New Roman" w:cs="Times New Roman"/>
        <w:sz w:val="16"/>
        <w:szCs w:val="16"/>
      </w:rPr>
    </w:pPr>
    <w:r>
      <w:rPr>
        <w:rFonts w:cs="Times New Roman" w:ascii="Times New Roman" w:hAnsi="Times New Roman"/>
        <w:sz w:val="16"/>
        <w:szCs w:val="16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a8"/>
      <w:tblW w:w="9571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noHBand="0" w:noVBand="1" w:firstColumn="1" w:lastRow="0" w:lastColumn="0" w:firstRow="1" w:val="04a0"/>
    </w:tblPr>
    <w:tblGrid>
      <w:gridCol w:w="4785"/>
      <w:gridCol w:w="4786"/>
    </w:tblGrid>
    <w:tr>
      <w:trPr>
        <w:trHeight w:val="288" w:hRule="atLeast"/>
      </w:trPr>
      <w:tc>
        <w:tcPr>
          <w:tcW w:w="4785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eastAsia="Calibri" w:cs="Times New Roman" w:ascii="Times New Roman" w:hAnsi="Times New Roman"/>
              <w:kern w:val="0"/>
              <w:sz w:val="16"/>
              <w:szCs w:val="16"/>
              <w:lang w:val="ru-RU" w:eastAsia="en-US" w:bidi="ar-SA"/>
            </w:rPr>
            <w:t>Форма отзыва на проект национального стандарта</w:t>
          </w:r>
        </w:p>
        <w:p>
          <w:pPr>
            <w:pStyle w:val="Header"/>
            <w:widowControl/>
            <w:suppressAutoHyphens w:val="true"/>
            <w:spacing w:before="0" w:after="0"/>
            <w:jc w:val="left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eastAsia="Calibri" w:cs="Times New Roman" w:ascii="Times New Roman" w:hAnsi="Times New Roman"/>
              <w:kern w:val="0"/>
              <w:sz w:val="16"/>
              <w:szCs w:val="16"/>
              <w:lang w:val="ru-RU" w:eastAsia="en-US" w:bidi="ar-SA"/>
            </w:rPr>
            <w:t>ГОСТ Р 1.2-2020, приложение Б</w:t>
          </w:r>
        </w:p>
      </w:tc>
      <w:tc>
        <w:tcPr>
          <w:tcW w:w="478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Header"/>
            <w:widowControl/>
            <w:suppressAutoHyphens w:val="true"/>
            <w:spacing w:before="0" w:after="0"/>
            <w:jc w:val="right"/>
            <w:rPr>
              <w:rFonts w:ascii="Times New Roman" w:hAnsi="Times New Roman" w:cs="Times New Roman"/>
              <w:sz w:val="28"/>
              <w:szCs w:val="16"/>
            </w:rPr>
          </w:pPr>
          <w:r>
            <w:rPr>
              <w:rFonts w:cs="Times New Roman" w:ascii="Times New Roman" w:hAnsi="Times New Roman"/>
              <w:sz w:val="28"/>
              <w:szCs w:val="16"/>
            </w:rPr>
          </w:r>
        </w:p>
      </w:tc>
    </w:tr>
  </w:tbl>
  <w:p>
    <w:pPr>
      <w:pStyle w:val="Header"/>
      <w:rPr>
        <w:rFonts w:ascii="Times New Roman" w:hAnsi="Times New Roman" w:cs="Times New Roman"/>
        <w:sz w:val="16"/>
        <w:szCs w:val="16"/>
      </w:rPr>
    </w:pPr>
    <w:r>
      <w:rPr>
        <w:rFonts w:cs="Times New Roman" w:ascii="Times New Roman" w:hAnsi="Times New Roman"/>
        <w:sz w:val="16"/>
        <w:szCs w:val="16"/>
      </w:rPr>
    </w:r>
  </w:p>
</w:hdr>
</file>

<file path=word/settings.xml><?xml version="1.0" encoding="utf-8"?>
<w:settings xmlns:w="http://schemas.openxmlformats.org/wordprocessingml/2006/main">
  <w:zoom w:percent="100"/>
  <w:documentProtection w:edit="forms" w:enforcement="0" w:cryptProviderType="rsaAES" w:cryptAlgorithmClass="hash" w:cryptAlgorithmType="typeAny" w:cryptSpinCount="0" w:hash="" w:salt=""/>
  <w:defaultTabStop w:val="708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7c0f26"/>
    <w:pPr>
      <w:keepNext w:val="true"/>
      <w:keepLines/>
      <w:spacing w:before="240" w:after="0"/>
      <w:outlineLvl w:val="0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7c0f26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character" w:styleId="Style13" w:customStyle="1">
    <w:name w:val="Верхний колонтитул Знак"/>
    <w:basedOn w:val="DefaultParagraphFont"/>
    <w:link w:val="Header"/>
    <w:uiPriority w:val="99"/>
    <w:qFormat/>
    <w:rsid w:val="00da0aec"/>
    <w:rPr/>
  </w:style>
  <w:style w:type="character" w:styleId="Style14" w:customStyle="1">
    <w:name w:val="Нижний колонтитул Знак"/>
    <w:basedOn w:val="DefaultParagraphFont"/>
    <w:link w:val="Footer"/>
    <w:uiPriority w:val="99"/>
    <w:qFormat/>
    <w:rsid w:val="00da0aec"/>
    <w:rPr/>
  </w:style>
  <w:style w:type="character" w:styleId="Style15" w:customStyle="1">
    <w:name w:val="Текст сноски Знак"/>
    <w:basedOn w:val="DefaultParagraphFont"/>
    <w:link w:val="FootnoteText"/>
    <w:uiPriority w:val="99"/>
    <w:semiHidden/>
    <w:qFormat/>
    <w:rsid w:val="006c5286"/>
    <w:rPr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6c5286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qFormat/>
    <w:rsid w:val="00972215"/>
    <w:rPr>
      <w:color w:val="808080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-" w:customStyle="1">
    <w:name w:val="ГОСТ Р - Основной текст"/>
    <w:basedOn w:val="Normal"/>
    <w:qFormat/>
    <w:rsid w:val="00593973"/>
    <w:pPr>
      <w:spacing w:lineRule="auto" w:line="240"/>
      <w:jc w:val="both"/>
    </w:pPr>
    <w:rPr>
      <w:rFonts w:ascii="Arial" w:hAnsi="Arial" w:cs="Arial"/>
      <w:sz w:val="28"/>
      <w:szCs w:val="28"/>
    </w:rPr>
  </w:style>
  <w:style w:type="paragraph" w:styleId="-1" w:customStyle="1">
    <w:name w:val="ГОСТ Р - Приложения"/>
    <w:basedOn w:val="-"/>
    <w:qFormat/>
    <w:rsid w:val="004b79e1"/>
    <w:pPr>
      <w:spacing w:lineRule="auto" w:line="360"/>
    </w:pPr>
    <w:rPr>
      <w:sz w:val="24"/>
    </w:rPr>
  </w:style>
  <w:style w:type="paragraph" w:styleId="11" w:customStyle="1">
    <w:name w:val="Стиль1"/>
    <w:basedOn w:val="-"/>
    <w:qFormat/>
    <w:rsid w:val="007c0f26"/>
    <w:pPr>
      <w:jc w:val="center"/>
    </w:pPr>
    <w:rPr>
      <w:b/>
    </w:rPr>
  </w:style>
  <w:style w:type="paragraph" w:styleId="Style16" w:customStyle="1">
    <w:name w:val="ГОСТ Р заголовок"/>
    <w:basedOn w:val="Heading1"/>
    <w:next w:val="-"/>
    <w:qFormat/>
    <w:rsid w:val="007c0f26"/>
    <w:pPr>
      <w:spacing w:lineRule="auto" w:line="360" w:before="0" w:after="0"/>
      <w:ind w:firstLine="851"/>
      <w:jc w:val="center"/>
    </w:pPr>
    <w:rPr>
      <w:rFonts w:ascii="Arial" w:hAnsi="Arial"/>
      <w:b/>
      <w:color w:themeColor="text1" w:val="000000"/>
      <w:sz w:val="2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da0aec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da0aec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Style15"/>
    <w:uiPriority w:val="99"/>
    <w:semiHidden/>
    <w:unhideWhenUsed/>
    <w:rsid w:val="006c5286"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8">
    <w:name w:val="Table Grid"/>
    <w:basedOn w:val="a1"/>
    <w:uiPriority w:val="59"/>
    <w:rsid w:val="00da0ae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A62195-3F1E-4296-9B2A-AE5C76776880}"/>
      </w:docPartPr>
      <w:docPartBody>
        <w:p w:rsidR="00AF08FA" w:rsidRDefault="00B14FD0">
          <w:r w:rsidRPr="004F33EE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FD0"/>
    <w:rsid w:val="0000335F"/>
    <w:rsid w:val="00415B7D"/>
    <w:rsid w:val="00470270"/>
    <w:rsid w:val="006F56CE"/>
    <w:rsid w:val="00861D11"/>
    <w:rsid w:val="009E3FCB"/>
    <w:rsid w:val="00AF08FA"/>
    <w:rsid w:val="00B14FD0"/>
    <w:rsid w:val="00B55A75"/>
    <w:rsid w:val="00EF1D31"/>
    <w:rsid w:val="00FB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14FD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18E94-7D0B-4853-97F7-7C9C41EEB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Application>LibreOffice/26.2.5.2$Linux_X86_64 LibreOffice_project/6d2b0d33fb0f5da53a12f98bed3e9973e56ff1f0</Application>
  <AppVersion>15.0000</AppVersion>
  <Pages>4</Pages>
  <Words>776</Words>
  <Characters>5766</Characters>
  <CharactersWithSpaces>6478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2026-07-31T14:53:00Z</dcterms:created>
  <dc:creator>asustek</dc:creator>
  <dc:description/>
  <dc:language>en-US</dc:language>
  <cp:lastModifiedBy/>
  <dcterms:modified xsi:type="dcterms:W3CDTF">2026-10-20T15:29:16Z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