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Model Card &amp; Validation Report</w:t>
      </w:r>
    </w:p>
    <w:p>
      <w:pPr>
        <w:jc w:val="center"/>
      </w:pPr>
      <w:r>
        <w:rPr>
          <w:i/>
        </w:rPr>
        <w:t>Mortgage Delinquency Risk Model — Logistic Regression</w:t>
      </w:r>
    </w:p>
    <w:p>
      <w:pPr>
        <w:pStyle w:val="Heading1"/>
      </w:pPr>
      <w:r>
        <w:rPr>
          <w:color w:val="1F3864"/>
        </w:rPr>
        <w:t>1. Model Overview</w:t>
      </w:r>
    </w:p>
    <w:p>
      <w:r>
        <w:rPr>
          <w:b/>
          <w:color w:val="222222"/>
          <w:sz w:val="21"/>
        </w:rPr>
        <w:t xml:space="preserve">Purpose: </w:t>
      </w:r>
    </w:p>
    <w:p>
      <w:r>
        <w:rPr>
          <w:b w:val="0"/>
          <w:color w:val="222222"/>
          <w:sz w:val="21"/>
        </w:rPr>
        <w:t>Estimates the probability that a residential mortgage loan will reach 90+ days delinquent or REO status at any point over its life, using loan characteristics known at origination.</w:t>
      </w:r>
    </w:p>
    <w:p>
      <w:r>
        <w:rPr>
          <w:b/>
          <w:color w:val="222222"/>
          <w:sz w:val="21"/>
        </w:rPr>
        <w:t xml:space="preserve">Intended use: </w:t>
      </w:r>
    </w:p>
    <w:p>
      <w:r>
        <w:rPr>
          <w:b w:val="0"/>
          <w:color w:val="222222"/>
          <w:sz w:val="21"/>
        </w:rPr>
        <w:t>Decision-support for portfolio risk segmentation and monitoring. Intended to inform review prioritization and risk-tiering, not to serve as the sole basis for an individual credit decision.</w:t>
      </w:r>
    </w:p>
    <w:p>
      <w:r>
        <w:rPr>
          <w:b/>
          <w:color w:val="222222"/>
          <w:sz w:val="21"/>
        </w:rPr>
        <w:t xml:space="preserve">Out of scope: </w:t>
      </w:r>
    </w:p>
    <w:p>
      <w:r>
        <w:rPr>
          <w:b w:val="0"/>
          <w:color w:val="222222"/>
          <w:sz w:val="21"/>
        </w:rPr>
        <w:t>Not validated for use as an automated approve/decline system, and not calibrated for any population outside conforming conventional mortgages resembling the training data described below.</w:t>
      </w:r>
    </w:p>
    <w:p>
      <w:pPr>
        <w:pStyle w:val="Heading1"/>
      </w:pPr>
      <w:r>
        <w:rPr>
          <w:color w:val="1F3864"/>
        </w:rPr>
        <w:t>2. Data Lineage</w:t>
      </w:r>
    </w:p>
    <w:p>
      <w:pPr>
        <w:pStyle w:val="ListBullet"/>
      </w:pPr>
      <w:r>
        <w:rPr>
          <w:sz w:val="21"/>
        </w:rPr>
        <w:t>Source: Freddie Mac Single-Family Loan-Level Dataset (public data), sample extracts</w:t>
      </w:r>
    </w:p>
    <w:p>
      <w:pPr>
        <w:pStyle w:val="ListBullet"/>
      </w:pPr>
      <w:r>
        <w:rPr>
          <w:sz w:val="21"/>
        </w:rPr>
        <w:t>Training vintages: 2005, 2006, 2007 (pre-financial-crisis originations)</w:t>
      </w:r>
    </w:p>
    <w:p>
      <w:pPr>
        <w:pStyle w:val="ListBullet"/>
      </w:pPr>
      <w:r>
        <w:rPr>
          <w:sz w:val="21"/>
        </w:rPr>
        <w:t>Monitoring vintages: 2011, 2012 (post-crisis, tighter underwriting)</w:t>
      </w:r>
    </w:p>
    <w:p>
      <w:pPr>
        <w:pStyle w:val="ListBullet"/>
      </w:pPr>
      <w:r>
        <w:rPr>
          <w:sz w:val="21"/>
        </w:rPr>
        <w:t>Known limitation: this is U.S. loan-level data used as a stand-in for secured residential lending generally. Model risk management practices shown here follow general regulated-lending conventions rather than any specific institution's internal policy.</w:t>
      </w:r>
    </w:p>
    <w:p>
      <w:pPr>
        <w:pStyle w:val="Heading1"/>
      </w:pPr>
      <w:r>
        <w:rPr>
          <w:color w:val="1F3864"/>
        </w:rPr>
        <w:t>3. Validation Methodology</w:t>
      </w:r>
    </w:p>
    <w:p>
      <w:r>
        <w:rPr>
          <w:b w:val="0"/>
          <w:color w:val="222222"/>
          <w:sz w:val="21"/>
        </w:rPr>
        <w:t>Trained on an 80/20 stratified split of the 2005, 2006, 2007 vintages (120,000 training loans, 30,000 held out for validation). A HistGradientBoostingClassifier was trained as a benchmark; logistic regression was selected as the documented model despite a lower AUC, prioritizing coefficient-level interpretability for a regulated lending context.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Logistic Regression (selected)</w:t>
            </w:r>
          </w:p>
        </w:tc>
        <w:tc>
          <w:tcPr>
            <w:tcW w:type="dxa" w:w="2880"/>
          </w:tcPr>
          <w:p>
            <w:r>
              <w:t>GBM (benchmark only)</w:t>
            </w:r>
          </w:p>
        </w:tc>
      </w:tr>
      <w:tr>
        <w:tc>
          <w:tcPr>
            <w:tcW w:type="dxa" w:w="2880"/>
          </w:tcPr>
          <w:p>
            <w:r>
              <w:t>AUC</w:t>
            </w:r>
          </w:p>
        </w:tc>
        <w:tc>
          <w:tcPr>
            <w:tcW w:type="dxa" w:w="2880"/>
          </w:tcPr>
          <w:p>
            <w:r>
              <w:t>0.777</w:t>
            </w:r>
          </w:p>
        </w:tc>
        <w:tc>
          <w:tcPr>
            <w:tcW w:type="dxa" w:w="2880"/>
          </w:tcPr>
          <w:p>
            <w:r>
              <w:t>0.781</w:t>
            </w:r>
          </w:p>
        </w:tc>
      </w:tr>
      <w:tr>
        <w:tc>
          <w:tcPr>
            <w:tcW w:type="dxa" w:w="2880"/>
          </w:tcPr>
          <w:p>
            <w:r>
              <w:t>Precision</w:t>
            </w:r>
          </w:p>
        </w:tc>
        <w:tc>
          <w:tcPr>
            <w:tcW w:type="dxa" w:w="2880"/>
          </w:tcPr>
          <w:p>
            <w:r>
              <w:t>0.4746</w:t>
            </w:r>
          </w:p>
        </w:tc>
        <w:tc>
          <w:tcPr>
            <w:tcW w:type="dxa" w:w="2880"/>
          </w:tcPr>
          <w:p>
            <w:r>
              <w:t>0.5389</w:t>
            </w:r>
          </w:p>
        </w:tc>
      </w:tr>
      <w:tr>
        <w:tc>
          <w:tcPr>
            <w:tcW w:type="dxa" w:w="2880"/>
          </w:tcPr>
          <w:p>
            <w:r>
              <w:t>Recall</w:t>
            </w:r>
          </w:p>
        </w:tc>
        <w:tc>
          <w:tcPr>
            <w:tcW w:type="dxa" w:w="2880"/>
          </w:tcPr>
          <w:p>
            <w:r>
              <w:t>0.0514</w:t>
            </w:r>
          </w:p>
        </w:tc>
        <w:tc>
          <w:tcPr>
            <w:tcW w:type="dxa" w:w="2880"/>
          </w:tcPr>
          <w:p>
            <w:r>
              <w:t>0.0447</w:t>
            </w:r>
          </w:p>
        </w:tc>
      </w:tr>
    </w:tbl>
    <w:p/>
    <w:p>
      <w:r>
        <w:rPr>
          <w:b w:val="0"/>
          <w:color w:val="222222"/>
          <w:sz w:val="21"/>
        </w:rPr>
        <w:t>Validation set default rate: 0.1394</w:t>
      </w:r>
    </w:p>
    <w:p>
      <w:pPr>
        <w:pStyle w:val="Heading1"/>
      </w:pPr>
      <w:r>
        <w:rPr>
          <w:color w:val="1F3864"/>
        </w:rPr>
        <w:t>4. Model Risk Tier</w:t>
      </w:r>
    </w:p>
    <w:p>
      <w:r>
        <w:rPr>
          <w:b/>
          <w:color w:val="222222"/>
          <w:sz w:val="21"/>
        </w:rPr>
        <w:t>Tier 2 — Decision-support model.</w:t>
      </w:r>
    </w:p>
    <w:p>
      <w:r>
        <w:rPr>
          <w:b w:val="0"/>
          <w:color w:val="222222"/>
          <w:sz w:val="21"/>
        </w:rPr>
        <w:t>Rationale: influences prioritization and monitoring workflows but does not directly execute credit decisions without human review. Would be reclassified to Tier 1 if adopted for automated decisioning.</w:t>
      </w:r>
    </w:p>
    <w:p>
      <w:pPr>
        <w:pStyle w:val="Heading1"/>
      </w:pPr>
      <w:r>
        <w:rPr>
          <w:color w:val="1F3864"/>
        </w:rPr>
        <w:t>5. Review Cadence</w:t>
      </w:r>
    </w:p>
    <w:p>
      <w:pPr>
        <w:pStyle w:val="ListBullet"/>
      </w:pPr>
      <w:r>
        <w:rPr>
          <w:sz w:val="21"/>
        </w:rPr>
        <w:t>Scheduled revalidation: annually, or every 2 vintage years of new data, whichever is sooner</w:t>
      </w:r>
    </w:p>
    <w:p>
      <w:pPr>
        <w:pStyle w:val="ListBullet"/>
      </w:pPr>
      <w:r>
        <w:rPr>
          <w:sz w:val="21"/>
        </w:rPr>
        <w:t>Off-cycle review triggers: any monitoring signal reaching "Trigger review" status (see Section 7), or a known shift in underwriting policy/economic conditions</w:t>
      </w:r>
    </w:p>
    <w:p>
      <w:pPr>
        <w:pStyle w:val="Heading1"/>
      </w:pPr>
      <w:r>
        <w:rPr>
          <w:color w:val="1F3864"/>
        </w:rPr>
        <w:t>6. Approval Workflow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Model Developer</w:t>
            </w:r>
          </w:p>
        </w:tc>
        <w:tc>
          <w:tcPr>
            <w:tcW w:type="dxa" w:w="2880"/>
          </w:tcPr>
          <w:p>
            <w:r>
              <w:t>Submits model, validation report, and monitoring plan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Model Risk / Governance Reviewer</w:t>
            </w:r>
          </w:p>
        </w:tc>
        <w:tc>
          <w:tcPr>
            <w:tcW w:type="dxa" w:w="2880"/>
          </w:tcPr>
          <w:p>
            <w:r>
              <w:t>Independently reviews methodology and metrics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Business Owner</w:t>
            </w:r>
          </w:p>
        </w:tc>
        <w:tc>
          <w:tcPr>
            <w:tcW w:type="dxa" w:w="2880"/>
          </w:tcPr>
          <w:p>
            <w:r>
              <w:t>Confirms intended use aligns with actual deployment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Governance Committee</w:t>
            </w:r>
          </w:p>
        </w:tc>
        <w:tc>
          <w:tcPr>
            <w:tcW w:type="dxa" w:w="2880"/>
          </w:tcPr>
          <w:p>
            <w:r>
              <w:t>Approves for production monitoring use</w:t>
            </w:r>
          </w:p>
        </w:tc>
      </w:tr>
    </w:tbl>
    <w:p>
      <w:pPr>
        <w:pStyle w:val="Heading1"/>
      </w:pPr>
      <w:r>
        <w:rPr>
          <w:color w:val="1F3864"/>
        </w:rPr>
        <w:t>7. Monitoring Summary</w:t>
      </w:r>
    </w:p>
    <w:p>
      <w:r>
        <w:rPr>
          <w:b w:val="0"/>
          <w:color w:val="222222"/>
          <w:sz w:val="21"/>
        </w:rPr>
        <w:t>Scored against the 2011, 2012 monitor set (a regime the model never saw in training):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Validation</w:t>
            </w:r>
          </w:p>
        </w:tc>
        <w:tc>
          <w:tcPr>
            <w:tcW w:type="dxa" w:w="2160"/>
          </w:tcPr>
          <w:p>
            <w:r>
              <w:t>Monitor Set</w:t>
            </w:r>
          </w:p>
        </w:tc>
        <w:tc>
          <w:tcPr>
            <w:tcW w:type="dxa" w:w="2160"/>
          </w:tcPr>
          <w:p>
            <w:r>
              <w:t>Drop</w:t>
            </w:r>
          </w:p>
        </w:tc>
      </w:tr>
      <w:tr>
        <w:tc>
          <w:tcPr>
            <w:tcW w:type="dxa" w:w="2160"/>
          </w:tcPr>
          <w:p>
            <w:r>
              <w:t>AUC</w:t>
            </w:r>
          </w:p>
        </w:tc>
        <w:tc>
          <w:tcPr>
            <w:tcW w:type="dxa" w:w="2160"/>
          </w:tcPr>
          <w:p>
            <w:r>
              <w:t>0.777</w:t>
            </w:r>
          </w:p>
        </w:tc>
        <w:tc>
          <w:tcPr>
            <w:tcW w:type="dxa" w:w="2160"/>
          </w:tcPr>
          <w:p>
            <w:r>
              <w:t>0.777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</w:tbl>
    <w:p/>
    <w:p>
      <w:r>
        <w:rPr>
          <w:b/>
          <w:color w:val="222222"/>
          <w:sz w:val="21"/>
        </w:rPr>
        <w:t>Governance status by monitoring signal: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monitoring_signal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threshold</w:t>
            </w:r>
          </w:p>
        </w:tc>
        <w:tc>
          <w:tcPr>
            <w:tcW w:type="dxa" w:w="2160"/>
          </w:tcPr>
          <w:p>
            <w:r>
              <w:t>governance_action</w:t>
            </w:r>
          </w:p>
        </w:tc>
      </w:tr>
      <w:tr>
        <w:tc>
          <w:tcPr>
            <w:tcW w:type="dxa" w:w="2160"/>
          </w:tcPr>
          <w:p>
            <w:r>
              <w:t>PSI: credit_score</w:t>
            </w:r>
          </w:p>
        </w:tc>
        <w:tc>
          <w:tcPr>
            <w:tcW w:type="dxa" w:w="2160"/>
          </w:tcPr>
          <w:p>
            <w:r>
              <w:t>0.4604</w:t>
            </w:r>
          </w:p>
        </w:tc>
        <w:tc>
          <w:tcPr>
            <w:tcW w:type="dxa" w:w="2160"/>
          </w:tcPr>
          <w:p>
            <w:r>
              <w:t>&lt; 0.1 stable / &lt; 0.25 flag / &gt;= 0.25 trigger</w:t>
            </w:r>
          </w:p>
        </w:tc>
        <w:tc>
          <w:tcPr>
            <w:tcW w:type="dxa" w:w="2160"/>
          </w:tcPr>
          <w:p>
            <w:r>
              <w:t>Trigger off-cycle review</w:t>
            </w:r>
          </w:p>
        </w:tc>
      </w:tr>
      <w:tr>
        <w:tc>
          <w:tcPr>
            <w:tcW w:type="dxa" w:w="2160"/>
          </w:tcPr>
          <w:p>
            <w:r>
              <w:t>PSI: original_dti</w:t>
            </w:r>
          </w:p>
        </w:tc>
        <w:tc>
          <w:tcPr>
            <w:tcW w:type="dxa" w:w="2160"/>
          </w:tcPr>
          <w:p>
            <w:r>
              <w:t>0.878</w:t>
            </w:r>
          </w:p>
        </w:tc>
        <w:tc>
          <w:tcPr>
            <w:tcW w:type="dxa" w:w="2160"/>
          </w:tcPr>
          <w:p>
            <w:r>
              <w:t>&lt; 0.1 stable / &lt; 0.25 flag / &gt;= 0.25 trigger</w:t>
            </w:r>
          </w:p>
        </w:tc>
        <w:tc>
          <w:tcPr>
            <w:tcW w:type="dxa" w:w="2160"/>
          </w:tcPr>
          <w:p>
            <w:r>
              <w:t>Trigger off-cycle review</w:t>
            </w:r>
          </w:p>
        </w:tc>
      </w:tr>
      <w:tr>
        <w:tc>
          <w:tcPr>
            <w:tcW w:type="dxa" w:w="2160"/>
          </w:tcPr>
          <w:p>
            <w:r>
              <w:t>PSI: original_ltv</w:t>
            </w:r>
          </w:p>
        </w:tc>
        <w:tc>
          <w:tcPr>
            <w:tcW w:type="dxa" w:w="2160"/>
          </w:tcPr>
          <w:p>
            <w:r>
              <w:t>0.0438</w:t>
            </w:r>
          </w:p>
        </w:tc>
        <w:tc>
          <w:tcPr>
            <w:tcW w:type="dxa" w:w="2160"/>
          </w:tcPr>
          <w:p>
            <w:r>
              <w:t>&lt; 0.1 stable / &lt; 0.25 flag / &gt;= 0.25 trigger</w:t>
            </w:r>
          </w:p>
        </w:tc>
        <w:tc>
          <w:tcPr>
            <w:tcW w:type="dxa" w:w="2160"/>
          </w:tcPr>
          <w:p>
            <w:r>
              <w:t>Stable</w:t>
            </w:r>
          </w:p>
        </w:tc>
      </w:tr>
      <w:tr>
        <w:tc>
          <w:tcPr>
            <w:tcW w:type="dxa" w:w="2160"/>
          </w:tcPr>
          <w:p>
            <w:r>
              <w:t>PSI: original_interest_rate</w:t>
            </w:r>
          </w:p>
        </w:tc>
        <w:tc>
          <w:tcPr>
            <w:tcW w:type="dxa" w:w="2160"/>
          </w:tcPr>
          <w:p>
            <w:r>
              <w:t>8.1506</w:t>
            </w:r>
          </w:p>
        </w:tc>
        <w:tc>
          <w:tcPr>
            <w:tcW w:type="dxa" w:w="2160"/>
          </w:tcPr>
          <w:p>
            <w:r>
              <w:t>&lt; 0.1 stable / &lt; 0.25 flag / &gt;= 0.25 trigger</w:t>
            </w:r>
          </w:p>
        </w:tc>
        <w:tc>
          <w:tcPr>
            <w:tcW w:type="dxa" w:w="2160"/>
          </w:tcPr>
          <w:p>
            <w:r>
              <w:t>Trigger off-cycle review</w:t>
            </w:r>
          </w:p>
        </w:tc>
      </w:tr>
      <w:tr>
        <w:tc>
          <w:tcPr>
            <w:tcW w:type="dxa" w:w="2160"/>
          </w:tcPr>
          <w:p>
            <w:r>
              <w:t>PSI: original_upb</w:t>
            </w:r>
          </w:p>
        </w:tc>
        <w:tc>
          <w:tcPr>
            <w:tcW w:type="dxa" w:w="2160"/>
          </w:tcPr>
          <w:p>
            <w:r>
              <w:t>0.0595</w:t>
            </w:r>
          </w:p>
        </w:tc>
        <w:tc>
          <w:tcPr>
            <w:tcW w:type="dxa" w:w="2160"/>
          </w:tcPr>
          <w:p>
            <w:r>
              <w:t>&lt; 0.1 stable / &lt; 0.25 flag / &gt;= 0.25 trigger</w:t>
            </w:r>
          </w:p>
        </w:tc>
        <w:tc>
          <w:tcPr>
            <w:tcW w:type="dxa" w:w="2160"/>
          </w:tcPr>
          <w:p>
            <w:r>
              <w:t>Stable</w:t>
            </w:r>
          </w:p>
        </w:tc>
      </w:tr>
      <w:tr>
        <w:tc>
          <w:tcPr>
            <w:tcW w:type="dxa" w:w="2160"/>
          </w:tcPr>
          <w:p>
            <w:r>
              <w:t>PSI: prediction score</w:t>
            </w:r>
          </w:p>
        </w:tc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&lt; 0.1 stable / &lt; 0.25 flag / &gt;= 0.25 trigger</w:t>
            </w:r>
          </w:p>
        </w:tc>
        <w:tc>
          <w:tcPr>
            <w:tcW w:type="dxa" w:w="2160"/>
          </w:tcPr>
          <w:p>
            <w:r>
              <w:t>Trigger off-cycle review</w:t>
            </w:r>
          </w:p>
        </w:tc>
      </w:tr>
      <w:tr>
        <w:tc>
          <w:tcPr>
            <w:tcW w:type="dxa" w:w="2160"/>
          </w:tcPr>
          <w:p>
            <w:r>
              <w:t>AUC drop vs. validation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&gt;= 0.05 escalate</w:t>
            </w:r>
          </w:p>
        </w:tc>
        <w:tc>
          <w:tcPr>
            <w:tcW w:type="dxa" w:w="2160"/>
          </w:tcPr>
          <w:p>
            <w:r>
              <w:t>Within tolerance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