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541" w:rsidRDefault="001D54AC">
      <w:pPr>
        <w:rPr>
          <w:rFonts w:hint="eastAsia"/>
        </w:rPr>
      </w:pPr>
      <w:r>
        <w:object w:dxaOrig="10731" w:dyaOrig="5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30.6pt" o:ole="">
            <v:imagedata r:id="rId8" o:title=""/>
          </v:shape>
          <o:OLEObject Type="Embed" ProgID="Visio.Drawing.15" ShapeID="_x0000_i1025" DrawAspect="Content" ObjectID="_1639844694" r:id="rId9"/>
        </w:object>
      </w:r>
    </w:p>
    <w:p w:rsidR="00113FE2" w:rsidRDefault="00113FE2" w:rsidP="00113FE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3.1 </w:t>
      </w:r>
      <w:r>
        <w:rPr>
          <w:rFonts w:hint="eastAsia"/>
        </w:rPr>
        <w:t>私</w:t>
      </w:r>
      <w:proofErr w:type="gramStart"/>
      <w:r>
        <w:rPr>
          <w:rFonts w:hint="eastAsia"/>
        </w:rPr>
        <w:t>募股权</w:t>
      </w:r>
      <w:proofErr w:type="gramEnd"/>
      <w:r>
        <w:rPr>
          <w:rFonts w:hint="eastAsia"/>
        </w:rPr>
        <w:t>项目架构</w:t>
      </w:r>
    </w:p>
    <w:p w:rsidR="001D54AC" w:rsidRDefault="008C11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3.1</w:t>
      </w:r>
      <w:r>
        <w:rPr>
          <w:rFonts w:hint="eastAsia"/>
        </w:rPr>
        <w:t>所示为私</w:t>
      </w:r>
      <w:proofErr w:type="gramStart"/>
      <w:r>
        <w:rPr>
          <w:rFonts w:hint="eastAsia"/>
        </w:rPr>
        <w:t>募股权</w:t>
      </w:r>
      <w:proofErr w:type="gramEnd"/>
      <w:r>
        <w:rPr>
          <w:rFonts w:hint="eastAsia"/>
        </w:rPr>
        <w:t>项目架构图，其中读写服务模块搭配负载均衡对以太</w:t>
      </w:r>
      <w:proofErr w:type="gramStart"/>
      <w:r>
        <w:rPr>
          <w:rFonts w:hint="eastAsia"/>
        </w:rPr>
        <w:t>坊服务</w:t>
      </w:r>
      <w:proofErr w:type="gramEnd"/>
      <w:r>
        <w:rPr>
          <w:rFonts w:hint="eastAsia"/>
        </w:rPr>
        <w:t>平台调度构成了以太</w:t>
      </w:r>
      <w:proofErr w:type="gramStart"/>
      <w:r>
        <w:rPr>
          <w:rFonts w:hint="eastAsia"/>
        </w:rPr>
        <w:t>坊服务</w:t>
      </w:r>
      <w:proofErr w:type="gramEnd"/>
      <w:r>
        <w:rPr>
          <w:rFonts w:hint="eastAsia"/>
        </w:rPr>
        <w:t>平台，底层与区块链平台进行交互，应用层对外提供业务接口；其中，私</w:t>
      </w:r>
      <w:proofErr w:type="gramStart"/>
      <w:r>
        <w:rPr>
          <w:rFonts w:hint="eastAsia"/>
        </w:rPr>
        <w:t>募股权平台</w:t>
      </w:r>
      <w:proofErr w:type="gramEnd"/>
      <w:r>
        <w:rPr>
          <w:rFonts w:hint="eastAsia"/>
        </w:rPr>
        <w:t>业务相关模块简要表示。</w:t>
      </w:r>
    </w:p>
    <w:p w:rsidR="00704F7D" w:rsidRDefault="00704F7D">
      <w:pPr>
        <w:rPr>
          <w:rFonts w:hint="eastAsia"/>
        </w:rPr>
      </w:pPr>
    </w:p>
    <w:p w:rsidR="00113FE2" w:rsidRDefault="00113FE2">
      <w:pPr>
        <w:rPr>
          <w:rFonts w:hint="eastAsia"/>
        </w:rPr>
      </w:pPr>
      <w:r>
        <w:rPr>
          <w:rFonts w:hint="eastAsia"/>
        </w:rPr>
        <w:t xml:space="preserve">3.3.2.1 </w:t>
      </w:r>
      <w:r>
        <w:rPr>
          <w:rFonts w:hint="eastAsia"/>
        </w:rPr>
        <w:t>读写服务模块</w:t>
      </w:r>
    </w:p>
    <w:p w:rsidR="00113FE2" w:rsidRDefault="00113FE2">
      <w:pPr>
        <w:rPr>
          <w:rFonts w:hint="eastAsia"/>
        </w:rPr>
      </w:pPr>
      <w:r>
        <w:rPr>
          <w:rFonts w:hint="eastAsia"/>
        </w:rPr>
        <w:tab/>
      </w:r>
      <w:r>
        <w:object w:dxaOrig="8761" w:dyaOrig="5030">
          <v:shape id="_x0000_i1026" type="#_x0000_t75" style="width:415.15pt;height:238.35pt" o:ole="">
            <v:imagedata r:id="rId10" o:title=""/>
          </v:shape>
          <o:OLEObject Type="Embed" ProgID="Visio.Drawing.15" ShapeID="_x0000_i1026" DrawAspect="Content" ObjectID="_1639844695" r:id="rId11"/>
        </w:object>
      </w:r>
    </w:p>
    <w:p w:rsidR="00113FE2" w:rsidRDefault="00113FE2" w:rsidP="00113FE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3.2 </w:t>
      </w:r>
      <w:r>
        <w:rPr>
          <w:rFonts w:hint="eastAsia"/>
        </w:rPr>
        <w:t>读写服务模块</w:t>
      </w:r>
    </w:p>
    <w:p w:rsidR="00113FE2" w:rsidRDefault="00113F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读写服务模块架构如图</w:t>
      </w:r>
      <w:r>
        <w:rPr>
          <w:rFonts w:hint="eastAsia"/>
        </w:rPr>
        <w:t>3.2</w:t>
      </w:r>
      <w:r>
        <w:rPr>
          <w:rFonts w:hint="eastAsia"/>
        </w:rPr>
        <w:t>所示，该模块主要由五大部分构成：</w:t>
      </w:r>
      <w:r w:rsidR="0097732C">
        <w:rPr>
          <w:rFonts w:hint="eastAsia"/>
        </w:rPr>
        <w:t>服务注册中心、接口网关、消息队列、服务消费者和服务提供者。</w:t>
      </w:r>
    </w:p>
    <w:p w:rsidR="0097732C" w:rsidRDefault="0097732C" w:rsidP="009773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服务注册中心。</w:t>
      </w:r>
      <w:r w:rsidR="0081512F">
        <w:rPr>
          <w:rFonts w:hint="eastAsia"/>
        </w:rPr>
        <w:t>服务注册中心是系统管理各个微型服务的模块</w:t>
      </w:r>
      <w:r w:rsidR="005F1DC6">
        <w:rPr>
          <w:rFonts w:hint="eastAsia"/>
        </w:rPr>
        <w:t>。在本系统中，</w:t>
      </w:r>
      <w:r w:rsidR="0081512F" w:rsidRPr="005F1DC6">
        <w:t>一个服务随时可能下线，也可能应对临时访问压力增加新的服务节点。</w:t>
      </w:r>
      <w:r w:rsidR="005F1DC6" w:rsidRPr="005F1DC6">
        <w:rPr>
          <w:rFonts w:hint="eastAsia"/>
        </w:rPr>
        <w:t>以及服务与服务之间的感知，均有此模块实现。</w:t>
      </w:r>
    </w:p>
    <w:p w:rsidR="0097732C" w:rsidRDefault="0097732C" w:rsidP="009773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接口网关。</w:t>
      </w:r>
      <w:r w:rsidR="005F1DC6">
        <w:rPr>
          <w:rFonts w:hint="eastAsia"/>
        </w:rPr>
        <w:t>接口网关对后台服务的接口进行管理，并对外提供统一的调用接口。接口在调用不受后台单个服务的上线或下线影响。接口网关的作用可以总结为：提供统一的服务入口，让</w:t>
      </w:r>
      <w:proofErr w:type="gramStart"/>
      <w:r w:rsidR="005F1DC6">
        <w:rPr>
          <w:rFonts w:hint="eastAsia"/>
        </w:rPr>
        <w:t>微服务</w:t>
      </w:r>
      <w:proofErr w:type="gramEnd"/>
      <w:r w:rsidR="005F1DC6">
        <w:rPr>
          <w:rFonts w:hint="eastAsia"/>
        </w:rPr>
        <w:t>对前台透明；聚合后台的服务，节省流量同时提升性能；提供安全，过滤，流量控制等</w:t>
      </w:r>
      <w:r w:rsidR="005F1DC6">
        <w:rPr>
          <w:rFonts w:hint="eastAsia"/>
        </w:rPr>
        <w:t>API</w:t>
      </w:r>
      <w:r w:rsidR="005F1DC6">
        <w:rPr>
          <w:rFonts w:hint="eastAsia"/>
        </w:rPr>
        <w:t>管理功能。</w:t>
      </w:r>
    </w:p>
    <w:p w:rsidR="0097732C" w:rsidRDefault="0097732C" w:rsidP="009773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消息队列</w:t>
      </w:r>
      <w:r w:rsidR="005F1DC6">
        <w:rPr>
          <w:rFonts w:hint="eastAsia"/>
        </w:rPr>
        <w:t>。消息队列</w:t>
      </w:r>
      <w:r w:rsidR="00544AEB">
        <w:rPr>
          <w:rFonts w:hint="eastAsia"/>
        </w:rPr>
        <w:t>是服务与服务之间的异步调用方式，</w:t>
      </w:r>
      <w:r w:rsidR="00544AEB" w:rsidRPr="00544AEB">
        <w:rPr>
          <w:rFonts w:hint="eastAsia"/>
        </w:rPr>
        <w:t>它</w:t>
      </w:r>
      <w:r w:rsidR="00544AEB" w:rsidRPr="00544AEB">
        <w:t>既能减低调用服务之间的耦合，又能成为调用之间的缓冲，确保消息积压不会冲垮被调用方，同时能保证调用方的服务体验，继续干自己该干的活，不至于被后台性能拖慢。</w:t>
      </w:r>
    </w:p>
    <w:p w:rsidR="0097732C" w:rsidRDefault="0097732C" w:rsidP="009773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服务消费者。</w:t>
      </w:r>
      <w:r w:rsidR="00544AEB">
        <w:rPr>
          <w:rFonts w:hint="eastAsia"/>
        </w:rPr>
        <w:t>服务消费者是轻量的，根据业务特点分别封装了读写相关操作，在接口网关对服务消费者的调用的时候即可实现第一级负载调度，本级负载调度可采用轮询或加权等方式，对本系统性能影响较小。</w:t>
      </w:r>
    </w:p>
    <w:p w:rsidR="0097732C" w:rsidRDefault="0097732C" w:rsidP="009773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服务提供者。</w:t>
      </w:r>
      <w:r w:rsidR="00544AEB">
        <w:rPr>
          <w:rFonts w:hint="eastAsia"/>
        </w:rPr>
        <w:t>服务提供者重量的耗时的，提供直接操作以太坊客户端的功能</w:t>
      </w:r>
      <w:r w:rsidR="00D43000">
        <w:rPr>
          <w:rFonts w:hint="eastAsia"/>
        </w:rPr>
        <w:t>。在服务消费者和服务提供者之间使用消息队列进行解耦和</w:t>
      </w:r>
      <w:proofErr w:type="gramStart"/>
      <w:r w:rsidR="00D43000">
        <w:rPr>
          <w:rFonts w:hint="eastAsia"/>
        </w:rPr>
        <w:t>做任务</w:t>
      </w:r>
      <w:proofErr w:type="gramEnd"/>
      <w:r w:rsidR="00D43000">
        <w:rPr>
          <w:rFonts w:hint="eastAsia"/>
        </w:rPr>
        <w:t>缓冲。服务者和提供者均由服务注册中心进行统一管理。</w:t>
      </w:r>
    </w:p>
    <w:p w:rsidR="00113FE2" w:rsidRDefault="00113FE2">
      <w:pPr>
        <w:rPr>
          <w:rFonts w:hint="eastAsia"/>
        </w:rPr>
      </w:pPr>
    </w:p>
    <w:p w:rsidR="00113FE2" w:rsidRDefault="00113FE2">
      <w:pPr>
        <w:rPr>
          <w:rFonts w:hint="eastAsia"/>
        </w:rPr>
      </w:pPr>
      <w:r>
        <w:rPr>
          <w:rFonts w:hint="eastAsia"/>
        </w:rPr>
        <w:t xml:space="preserve">3.3.2.2 </w:t>
      </w:r>
      <w:r>
        <w:rPr>
          <w:rFonts w:hint="eastAsia"/>
        </w:rPr>
        <w:t>以太</w:t>
      </w:r>
      <w:proofErr w:type="gramStart"/>
      <w:r>
        <w:rPr>
          <w:rFonts w:hint="eastAsia"/>
        </w:rPr>
        <w:t>坊服务</w:t>
      </w:r>
      <w:proofErr w:type="gramEnd"/>
      <w:r>
        <w:rPr>
          <w:rFonts w:hint="eastAsia"/>
        </w:rPr>
        <w:t>平台</w:t>
      </w:r>
    </w:p>
    <w:p w:rsidR="00AE7B59" w:rsidRDefault="00E610B5">
      <w:pPr>
        <w:rPr>
          <w:rFonts w:hint="eastAsia"/>
        </w:rPr>
      </w:pPr>
      <w:r>
        <w:object w:dxaOrig="9540" w:dyaOrig="4510">
          <v:shape id="_x0000_i1027" type="#_x0000_t75" style="width:415.15pt;height:196.4pt" o:ole="">
            <v:imagedata r:id="rId12" o:title=""/>
          </v:shape>
          <o:OLEObject Type="Embed" ProgID="Visio.Drawing.15" ShapeID="_x0000_i1027" DrawAspect="Content" ObjectID="_1639844696" r:id="rId13"/>
        </w:object>
      </w:r>
    </w:p>
    <w:p w:rsidR="00E610B5" w:rsidRDefault="00E610B5">
      <w:pPr>
        <w:rPr>
          <w:rFonts w:hint="eastAsia"/>
        </w:rPr>
      </w:pPr>
    </w:p>
    <w:p w:rsidR="00E610B5" w:rsidRDefault="00E610B5" w:rsidP="00E610B5">
      <w:pPr>
        <w:ind w:firstLine="420"/>
        <w:rPr>
          <w:rFonts w:hint="eastAsia"/>
        </w:rPr>
      </w:pPr>
      <w:bookmarkStart w:id="0" w:name="_GoBack"/>
      <w:r>
        <w:rPr>
          <w:rFonts w:hint="eastAsia"/>
        </w:rPr>
        <w:t>以太</w:t>
      </w:r>
      <w:proofErr w:type="gramStart"/>
      <w:r>
        <w:rPr>
          <w:rFonts w:hint="eastAsia"/>
        </w:rPr>
        <w:t>坊服务</w:t>
      </w:r>
      <w:proofErr w:type="gramEnd"/>
      <w:r>
        <w:rPr>
          <w:rFonts w:hint="eastAsia"/>
        </w:rPr>
        <w:t>平台如图</w:t>
      </w:r>
      <w:r>
        <w:rPr>
          <w:rFonts w:hint="eastAsia"/>
        </w:rPr>
        <w:t>3.3</w:t>
      </w:r>
      <w:r>
        <w:rPr>
          <w:rFonts w:hint="eastAsia"/>
        </w:rPr>
        <w:t>所示，主要分为两个部分：</w:t>
      </w:r>
      <w:proofErr w:type="spellStart"/>
      <w:r>
        <w:rPr>
          <w:rFonts w:hint="eastAsia"/>
        </w:rPr>
        <w:t>Geth</w:t>
      </w:r>
      <w:proofErr w:type="spellEnd"/>
      <w:r>
        <w:rPr>
          <w:rFonts w:hint="eastAsia"/>
        </w:rPr>
        <w:t>客户端与状态控制中心。</w:t>
      </w:r>
    </w:p>
    <w:p w:rsidR="00E610B5" w:rsidRDefault="00E610B5" w:rsidP="00E610B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Geth</w:t>
      </w:r>
      <w:proofErr w:type="spellEnd"/>
      <w:r>
        <w:rPr>
          <w:rFonts w:hint="eastAsia"/>
        </w:rPr>
        <w:t>客户端。</w:t>
      </w:r>
    </w:p>
    <w:p w:rsidR="00E610B5" w:rsidRDefault="00E610B5" w:rsidP="00E610B5">
      <w:pPr>
        <w:ind w:firstLine="420"/>
        <w:rPr>
          <w:rFonts w:hint="eastAsia"/>
        </w:rPr>
      </w:pPr>
      <w:proofErr w:type="spellStart"/>
      <w:r>
        <w:rPr>
          <w:rFonts w:hint="eastAsia"/>
        </w:rPr>
        <w:t>Geth</w:t>
      </w:r>
      <w:proofErr w:type="spellEnd"/>
      <w:r>
        <w:rPr>
          <w:rFonts w:hint="eastAsia"/>
        </w:rPr>
        <w:t>客户端是以太坊官方提供的与以太</w:t>
      </w:r>
      <w:proofErr w:type="gramStart"/>
      <w:r>
        <w:rPr>
          <w:rFonts w:hint="eastAsia"/>
        </w:rPr>
        <w:t>坊网络</w:t>
      </w:r>
      <w:proofErr w:type="gramEnd"/>
      <w:r>
        <w:rPr>
          <w:rFonts w:hint="eastAsia"/>
        </w:rPr>
        <w:t>交互的工具，提供常用操作的</w:t>
      </w:r>
      <w:r>
        <w:rPr>
          <w:rFonts w:hint="eastAsia"/>
        </w:rPr>
        <w:t>RPC</w:t>
      </w: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。将</w:t>
      </w:r>
      <w:proofErr w:type="spellStart"/>
      <w:r>
        <w:rPr>
          <w:rFonts w:hint="eastAsia"/>
        </w:rPr>
        <w:t>Geth</w:t>
      </w:r>
      <w:proofErr w:type="spellEnd"/>
      <w:r>
        <w:rPr>
          <w:rFonts w:hint="eastAsia"/>
        </w:rPr>
        <w:t>客户端封装运行于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容器中对外提供服务，由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</w:t>
      </w:r>
      <w:r>
        <w:rPr>
          <w:rFonts w:hint="eastAsia"/>
        </w:rPr>
        <w:t>进行容器管理。</w:t>
      </w:r>
    </w:p>
    <w:p w:rsidR="00E610B5" w:rsidRDefault="00E610B5" w:rsidP="00E610B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状态控制中心</w:t>
      </w:r>
    </w:p>
    <w:p w:rsidR="00E610B5" w:rsidRDefault="00E610B5" w:rsidP="00E610B5">
      <w:pPr>
        <w:ind w:firstLine="420"/>
      </w:pPr>
      <w:r>
        <w:rPr>
          <w:rFonts w:hint="eastAsia"/>
        </w:rPr>
        <w:t>状态控制中心用于管理</w:t>
      </w:r>
      <w:proofErr w:type="spellStart"/>
      <w:r>
        <w:rPr>
          <w:rFonts w:hint="eastAsia"/>
        </w:rPr>
        <w:t>Geth</w:t>
      </w:r>
      <w:proofErr w:type="spellEnd"/>
      <w:r>
        <w:rPr>
          <w:rFonts w:hint="eastAsia"/>
        </w:rPr>
        <w:t>客户端的上线与资源回收，同时监控容器的状态，提供给负载均衡模块做反馈负载均衡依据。</w:t>
      </w:r>
      <w:bookmarkEnd w:id="0"/>
    </w:p>
    <w:sectPr w:rsidR="00E61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FA8" w:rsidRDefault="00AA1FA8" w:rsidP="001D54AC">
      <w:r>
        <w:separator/>
      </w:r>
    </w:p>
  </w:endnote>
  <w:endnote w:type="continuationSeparator" w:id="0">
    <w:p w:rsidR="00AA1FA8" w:rsidRDefault="00AA1FA8" w:rsidP="001D5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FA8" w:rsidRDefault="00AA1FA8" w:rsidP="001D54AC">
      <w:r>
        <w:separator/>
      </w:r>
    </w:p>
  </w:footnote>
  <w:footnote w:type="continuationSeparator" w:id="0">
    <w:p w:rsidR="00AA1FA8" w:rsidRDefault="00AA1FA8" w:rsidP="001D5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91F2A"/>
    <w:multiLevelType w:val="hybridMultilevel"/>
    <w:tmpl w:val="9AC86A6C"/>
    <w:lvl w:ilvl="0" w:tplc="B6D0C1DC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F13E00"/>
    <w:multiLevelType w:val="hybridMultilevel"/>
    <w:tmpl w:val="8CFC1DEA"/>
    <w:lvl w:ilvl="0" w:tplc="0814622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8DF"/>
    <w:rsid w:val="000C2472"/>
    <w:rsid w:val="00113FE2"/>
    <w:rsid w:val="001D54AC"/>
    <w:rsid w:val="00544AEB"/>
    <w:rsid w:val="005F1DC6"/>
    <w:rsid w:val="00704F7D"/>
    <w:rsid w:val="0081512F"/>
    <w:rsid w:val="008C11BA"/>
    <w:rsid w:val="00950541"/>
    <w:rsid w:val="0097732C"/>
    <w:rsid w:val="00AA1FA8"/>
    <w:rsid w:val="00AE7B59"/>
    <w:rsid w:val="00D43000"/>
    <w:rsid w:val="00E610B5"/>
    <w:rsid w:val="00EC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4AC"/>
    <w:rPr>
      <w:sz w:val="18"/>
      <w:szCs w:val="18"/>
    </w:rPr>
  </w:style>
  <w:style w:type="paragraph" w:styleId="a5">
    <w:name w:val="List Paragraph"/>
    <w:basedOn w:val="a"/>
    <w:uiPriority w:val="34"/>
    <w:qFormat/>
    <w:rsid w:val="009773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4AC"/>
    <w:rPr>
      <w:sz w:val="18"/>
      <w:szCs w:val="18"/>
    </w:rPr>
  </w:style>
  <w:style w:type="paragraph" w:styleId="a5">
    <w:name w:val="List Paragraph"/>
    <w:basedOn w:val="a"/>
    <w:uiPriority w:val="34"/>
    <w:qFormat/>
    <w:rsid w:val="00977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8</cp:revision>
  <dcterms:created xsi:type="dcterms:W3CDTF">2020-01-06T06:27:00Z</dcterms:created>
  <dcterms:modified xsi:type="dcterms:W3CDTF">2020-01-06T11:30:00Z</dcterms:modified>
</cp:coreProperties>
</file>