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lightweight Mutual Authentication Protocol for V2V Communication in Internet of Vehicles(IoVs).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Abs -  Intelligent vehicles capable of providing a wide variety of applications - safety, infotainment, traffic efficiency, reduced congestion, less pollution.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&gt; Major Challenges: proper authentication and secure communication.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#lightweight property missing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&gt; designed a lightweight mutual authentication protocol in an Iov scenario using cryptographic operations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&gt; Communication Model: 1) Raspberry Pi’s(small board computer) connected via an intermediate desktop computer(as the trusted authority). 2) Raspberry Pi’s connected via the cloud(Vehicle Server).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result based on computation and communication cost show - proposed protocol performs better than existing systems.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Intro: IoVs is an Internet-enable vehicle, which allows the connection to external devices, </w:t>
        <w:tab/>
        <w:t xml:space="preserve">as networks, different entities(infrastructures, roadside units, mobile devices etc) applications, services etc.  V2x(X- an entity) , V2V, V2I, V2R, V2P, V2S, V2M.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Lightweight indicates less Execution/computation time.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Objective: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Mutual 2 factor Authentication: A mutual authentication mechanism for achieving secure communication.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Key Agreement between entities: To enhance security, the primary concern is the development of key agreement principles between host-Server.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Blockchain Based Anonymous Authentication with Key Management For Smart Grid Edge Computing Infrastructure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ABS: Introduce a blockchain based mutual authentication and key agreement protocol for edge computing based smart grid system. 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 grid system is one of the several category of IIOT can potentially improve reliability, flexibility and the quality of energy delivery. 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of Robust Mutual Authentication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and Key Establishment Security Protocol for Cloud-Enable Smart Grid Communication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Proposed a novel mutual authenticated key establishment protocol between the service provider and the smart meter by which the service provider can initiate the communication.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