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7CC8C" w14:textId="77777777" w:rsidR="00A17F91" w:rsidRDefault="00A17F91">
      <w:pPr>
        <w:jc w:val="center"/>
        <w:rPr>
          <w:rFonts w:eastAsia="黑体" w:hint="eastAsia"/>
          <w:b/>
          <w:sz w:val="32"/>
          <w:szCs w:val="32"/>
        </w:rPr>
      </w:pPr>
      <w:r>
        <w:rPr>
          <w:rFonts w:eastAsia="黑体" w:hint="eastAsia"/>
          <w:b/>
          <w:sz w:val="32"/>
          <w:szCs w:val="32"/>
        </w:rPr>
        <w:t>上海大学</w:t>
      </w:r>
      <w:r>
        <w:rPr>
          <w:rFonts w:eastAsia="黑体" w:hint="eastAsia"/>
          <w:b/>
          <w:sz w:val="32"/>
          <w:szCs w:val="32"/>
        </w:rPr>
        <w:t>202</w:t>
      </w:r>
      <w:r>
        <w:rPr>
          <w:rFonts w:eastAsia="黑体" w:hint="eastAsia"/>
          <w:b/>
          <w:sz w:val="32"/>
          <w:szCs w:val="32"/>
        </w:rPr>
        <w:t>6</w:t>
      </w:r>
      <w:r>
        <w:rPr>
          <w:rFonts w:ascii="黑体" w:eastAsia="黑体" w:hint="eastAsia"/>
          <w:b/>
          <w:sz w:val="32"/>
          <w:szCs w:val="32"/>
        </w:rPr>
        <w:t>～</w:t>
      </w:r>
      <w:r>
        <w:rPr>
          <w:rFonts w:eastAsia="黑体" w:hint="eastAsia"/>
          <w:b/>
          <w:sz w:val="32"/>
          <w:szCs w:val="32"/>
        </w:rPr>
        <w:t>202</w:t>
      </w:r>
      <w:r>
        <w:rPr>
          <w:rFonts w:eastAsia="黑体" w:hint="eastAsia"/>
          <w:b/>
          <w:sz w:val="32"/>
          <w:szCs w:val="32"/>
        </w:rPr>
        <w:t>7</w:t>
      </w:r>
      <w:r>
        <w:rPr>
          <w:rFonts w:eastAsia="黑体" w:hint="eastAsia"/>
          <w:b/>
          <w:sz w:val="32"/>
          <w:szCs w:val="32"/>
        </w:rPr>
        <w:t>学年</w:t>
      </w:r>
      <w:r>
        <w:rPr>
          <w:rFonts w:eastAsia="黑体" w:hint="eastAsia"/>
          <w:b/>
          <w:sz w:val="32"/>
          <w:szCs w:val="32"/>
        </w:rPr>
        <w:t>秋</w:t>
      </w:r>
      <w:r>
        <w:rPr>
          <w:rFonts w:eastAsia="黑体" w:hint="eastAsia"/>
          <w:b/>
          <w:sz w:val="32"/>
          <w:szCs w:val="32"/>
        </w:rPr>
        <w:t>季学期本科生</w:t>
      </w:r>
    </w:p>
    <w:p w14:paraId="181EDFC4" w14:textId="77777777" w:rsidR="00A17F91" w:rsidRDefault="00A17F91">
      <w:pPr>
        <w:jc w:val="center"/>
        <w:rPr>
          <w:rFonts w:eastAsia="黑体" w:hint="eastAsia"/>
          <w:sz w:val="30"/>
          <w:szCs w:val="30"/>
        </w:rPr>
      </w:pPr>
      <w:r>
        <w:rPr>
          <w:rFonts w:eastAsia="黑体" w:hint="eastAsia"/>
          <w:sz w:val="30"/>
          <w:szCs w:val="30"/>
        </w:rPr>
        <w:t>课程报告</w:t>
      </w:r>
    </w:p>
    <w:p w14:paraId="737B31ED" w14:textId="77777777" w:rsidR="00A17F91" w:rsidRDefault="00A17F91">
      <w:pPr>
        <w:jc w:val="center"/>
        <w:rPr>
          <w:rFonts w:eastAsia="黑体" w:hint="eastAsia"/>
          <w:sz w:val="30"/>
          <w:szCs w:val="30"/>
        </w:rPr>
      </w:pPr>
    </w:p>
    <w:p w14:paraId="58373520" w14:textId="77777777" w:rsidR="00A17F91" w:rsidRDefault="00A17F91">
      <w:pPr>
        <w:ind w:firstLineChars="50" w:firstLine="50"/>
        <w:jc w:val="center"/>
        <w:rPr>
          <w:rFonts w:eastAsia="黑体" w:hint="eastAsia"/>
          <w:sz w:val="10"/>
          <w:szCs w:val="10"/>
        </w:rPr>
      </w:pPr>
    </w:p>
    <w:p w14:paraId="58FDF958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24"/>
        </w:rPr>
        <w:t>课程名称：</w:t>
      </w:r>
      <w:r>
        <w:rPr>
          <w:rFonts w:ascii="黑体" w:eastAsia="黑体" w:hAnsi="宋体" w:hint="eastAsia"/>
          <w:sz w:val="24"/>
          <w:u w:val="single"/>
        </w:rPr>
        <w:t xml:space="preserve">    </w:t>
      </w:r>
      <w:r>
        <w:rPr>
          <w:rFonts w:ascii="黑体" w:eastAsia="黑体" w:hAnsi="宋体" w:hint="eastAsia"/>
          <w:sz w:val="24"/>
          <w:u w:val="single"/>
        </w:rPr>
        <w:t>《从傅立叶分析到小波分析》</w:t>
      </w:r>
      <w:r>
        <w:rPr>
          <w:rFonts w:ascii="黑体" w:eastAsia="黑体" w:hAnsi="宋体" w:hint="eastAsia"/>
          <w:sz w:val="24"/>
          <w:u w:val="single"/>
        </w:rPr>
        <w:t xml:space="preserve">    </w:t>
      </w:r>
      <w:r>
        <w:rPr>
          <w:rFonts w:ascii="黑体" w:eastAsia="黑体" w:hAnsi="宋体" w:hint="eastAsia"/>
          <w:sz w:val="24"/>
        </w:rPr>
        <w:t>课程编号：</w:t>
      </w:r>
      <w:r>
        <w:rPr>
          <w:rFonts w:ascii="黑体" w:eastAsia="黑体" w:hAnsi="宋体" w:hint="eastAsia"/>
          <w:sz w:val="24"/>
          <w:u w:val="single"/>
        </w:rPr>
        <w:t xml:space="preserve"> </w:t>
      </w:r>
      <w:r>
        <w:rPr>
          <w:b/>
          <w:sz w:val="24"/>
          <w:u w:val="single"/>
        </w:rPr>
        <w:t>0728SY01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22539450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  <w:u w:val="single"/>
        </w:rPr>
      </w:pPr>
    </w:p>
    <w:p w14:paraId="7B6D97C0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24"/>
        </w:rPr>
        <w:t>题目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                                      </w:t>
      </w:r>
    </w:p>
    <w:p w14:paraId="3663A706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  <w:u w:val="single"/>
        </w:rPr>
      </w:pPr>
    </w:p>
    <w:p w14:paraId="280B57D7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24"/>
        </w:rPr>
        <w:t>姓名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 </w:t>
      </w:r>
      <w:r>
        <w:rPr>
          <w:rFonts w:ascii="黑体" w:eastAsia="黑体" w:hAnsi="宋体" w:hint="eastAsia"/>
          <w:sz w:val="24"/>
        </w:rPr>
        <w:t xml:space="preserve">  </w:t>
      </w:r>
      <w:r>
        <w:rPr>
          <w:rFonts w:ascii="黑体" w:eastAsia="黑体" w:hAnsi="宋体" w:hint="eastAsia"/>
          <w:sz w:val="24"/>
        </w:rPr>
        <w:t>学号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>占比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>%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56359198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24"/>
        </w:rPr>
        <w:t>姓名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 </w:t>
      </w:r>
      <w:r>
        <w:rPr>
          <w:rFonts w:ascii="黑体" w:eastAsia="黑体" w:hAnsi="宋体" w:hint="eastAsia"/>
          <w:sz w:val="24"/>
        </w:rPr>
        <w:t xml:space="preserve">  </w:t>
      </w:r>
      <w:r>
        <w:rPr>
          <w:rFonts w:ascii="黑体" w:eastAsia="黑体" w:hAnsi="宋体" w:hint="eastAsia"/>
          <w:sz w:val="24"/>
        </w:rPr>
        <w:t>学号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>占比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>%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601F60CA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24"/>
        </w:rPr>
        <w:t>姓名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 </w:t>
      </w:r>
      <w:r>
        <w:rPr>
          <w:rFonts w:ascii="黑体" w:eastAsia="黑体" w:hAnsi="宋体" w:hint="eastAsia"/>
          <w:sz w:val="24"/>
        </w:rPr>
        <w:t xml:space="preserve">  </w:t>
      </w:r>
      <w:r>
        <w:rPr>
          <w:rFonts w:ascii="黑体" w:eastAsia="黑体" w:hAnsi="宋体" w:hint="eastAsia"/>
          <w:sz w:val="24"/>
        </w:rPr>
        <w:t>学号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>占比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>%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2ED106CA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24"/>
        </w:rPr>
        <w:t>姓名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 </w:t>
      </w:r>
      <w:r>
        <w:rPr>
          <w:rFonts w:ascii="黑体" w:eastAsia="黑体" w:hAnsi="宋体" w:hint="eastAsia"/>
          <w:sz w:val="24"/>
        </w:rPr>
        <w:t xml:space="preserve">  </w:t>
      </w:r>
      <w:r>
        <w:rPr>
          <w:rFonts w:ascii="黑体" w:eastAsia="黑体" w:hAnsi="宋体" w:hint="eastAsia"/>
          <w:sz w:val="24"/>
        </w:rPr>
        <w:t>学号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>占比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>%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23FE5252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24"/>
        </w:rPr>
        <w:t>姓名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 </w:t>
      </w:r>
      <w:r>
        <w:rPr>
          <w:rFonts w:ascii="黑体" w:eastAsia="黑体" w:hAnsi="宋体" w:hint="eastAsia"/>
          <w:sz w:val="24"/>
        </w:rPr>
        <w:t xml:space="preserve">  </w:t>
      </w:r>
      <w:r>
        <w:rPr>
          <w:rFonts w:ascii="黑体" w:eastAsia="黑体" w:hAnsi="宋体" w:hint="eastAsia"/>
          <w:sz w:val="24"/>
        </w:rPr>
        <w:t>学号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>占比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</w:t>
      </w:r>
      <w:r>
        <w:rPr>
          <w:rFonts w:ascii="黑体" w:eastAsia="黑体" w:hAnsi="宋体" w:hint="eastAsia"/>
          <w:sz w:val="24"/>
          <w:u w:val="single"/>
        </w:rPr>
        <w:t>%</w:t>
      </w:r>
      <w:r>
        <w:rPr>
          <w:rFonts w:ascii="黑体" w:eastAsia="黑体" w:hAnsi="宋体" w:hint="eastAsia"/>
          <w:sz w:val="24"/>
          <w:u w:val="single"/>
        </w:rPr>
        <w:t xml:space="preserve"> </w:t>
      </w:r>
    </w:p>
    <w:p w14:paraId="6EA8CC95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</w:rPr>
      </w:pPr>
    </w:p>
    <w:p w14:paraId="5CBD6431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/>
          <w:sz w:val="24"/>
          <w:u w:val="single"/>
        </w:rPr>
      </w:pPr>
      <w:r>
        <w:rPr>
          <w:rFonts w:ascii="黑体" w:eastAsia="黑体" w:hAnsi="宋体" w:hint="eastAsia"/>
          <w:sz w:val="24"/>
        </w:rPr>
        <w:t>全体组员签字：</w:t>
      </w:r>
      <w:r>
        <w:rPr>
          <w:rFonts w:ascii="黑体" w:eastAsia="黑体" w:hAnsi="宋体" w:hint="eastAsia"/>
          <w:sz w:val="24"/>
          <w:u w:val="single"/>
        </w:rPr>
        <w:t xml:space="preserve">                                             </w:t>
      </w:r>
    </w:p>
    <w:p w14:paraId="68B99393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</w:rPr>
      </w:pPr>
    </w:p>
    <w:p w14:paraId="325F5E32" w14:textId="77777777" w:rsidR="00A17F91" w:rsidRDefault="00A17F91">
      <w:pPr>
        <w:spacing w:line="360" w:lineRule="auto"/>
        <w:ind w:rightChars="219" w:right="460"/>
        <w:rPr>
          <w:rFonts w:ascii="黑体" w:eastAsia="黑体" w:hAnsi="宋体" w:hint="eastAsia"/>
          <w:sz w:val="24"/>
          <w:u w:val="single"/>
        </w:rPr>
      </w:pPr>
    </w:p>
    <w:p w14:paraId="0FAD7E4E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</w:rPr>
      </w:pPr>
    </w:p>
    <w:p w14:paraId="0DD33D85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评语</w:t>
      </w:r>
      <w:r>
        <w:rPr>
          <w:rFonts w:ascii="黑体" w:eastAsia="黑体" w:hAnsi="宋体" w:hint="eastAsia"/>
          <w:sz w:val="24"/>
        </w:rPr>
        <w:t>:</w:t>
      </w:r>
    </w:p>
    <w:p w14:paraId="7BEBE038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</w:rPr>
      </w:pPr>
    </w:p>
    <w:p w14:paraId="2305BA6F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</w:rPr>
      </w:pPr>
    </w:p>
    <w:p w14:paraId="2DCDF1FE" w14:textId="77777777" w:rsidR="00A17F91" w:rsidRDefault="00A17F91">
      <w:pPr>
        <w:spacing w:line="360" w:lineRule="auto"/>
        <w:ind w:rightChars="219" w:right="460"/>
        <w:rPr>
          <w:rFonts w:ascii="黑体" w:eastAsia="黑体" w:hAnsi="宋体" w:hint="eastAsia"/>
          <w:sz w:val="24"/>
        </w:rPr>
      </w:pPr>
    </w:p>
    <w:p w14:paraId="50C9638E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</w:rPr>
      </w:pPr>
    </w:p>
    <w:p w14:paraId="58FD26F6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</w:rPr>
      </w:pPr>
    </w:p>
    <w:p w14:paraId="02CC862F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</w:rPr>
      </w:pPr>
    </w:p>
    <w:p w14:paraId="7B44723E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  <w:u w:val="single"/>
        </w:rPr>
      </w:pPr>
      <w:r>
        <w:rPr>
          <w:rFonts w:ascii="黑体" w:eastAsia="黑体" w:hAnsi="宋体" w:hint="eastAsia"/>
          <w:sz w:val="24"/>
        </w:rPr>
        <w:t>成</w:t>
      </w:r>
      <w:r>
        <w:rPr>
          <w:rFonts w:ascii="黑体" w:eastAsia="黑体" w:hAnsi="宋体" w:hint="eastAsia"/>
          <w:sz w:val="24"/>
        </w:rPr>
        <w:t xml:space="preserve"> </w:t>
      </w:r>
      <w:r>
        <w:rPr>
          <w:rFonts w:ascii="黑体" w:eastAsia="黑体" w:hAnsi="宋体" w:hint="eastAsia"/>
          <w:sz w:val="24"/>
        </w:rPr>
        <w:t>绩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  </w:t>
      </w:r>
      <w:r>
        <w:rPr>
          <w:rFonts w:ascii="黑体" w:eastAsia="黑体" w:hAnsi="宋体" w:hint="eastAsia"/>
          <w:sz w:val="24"/>
        </w:rPr>
        <w:t xml:space="preserve">            </w:t>
      </w:r>
      <w:r>
        <w:rPr>
          <w:rFonts w:ascii="黑体" w:eastAsia="黑体" w:hAnsi="宋体" w:hint="eastAsia"/>
          <w:sz w:val="24"/>
        </w:rPr>
        <w:t>任课教师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</w:t>
      </w:r>
      <w:r>
        <w:rPr>
          <w:rFonts w:ascii="黑体" w:eastAsia="黑体" w:hAnsi="宋体" w:hint="eastAsia"/>
          <w:sz w:val="24"/>
          <w:u w:val="single"/>
        </w:rPr>
        <w:t>王</w:t>
      </w:r>
      <w:r>
        <w:rPr>
          <w:rFonts w:ascii="黑体" w:eastAsia="黑体" w:hAnsi="宋体" w:hint="eastAsia"/>
          <w:sz w:val="24"/>
          <w:u w:val="single"/>
        </w:rPr>
        <w:t>子驰</w:t>
      </w:r>
      <w:r>
        <w:rPr>
          <w:rFonts w:ascii="黑体" w:eastAsia="黑体" w:hAnsi="宋体" w:hint="eastAsia"/>
          <w:sz w:val="24"/>
          <w:u w:val="single"/>
        </w:rPr>
        <w:t xml:space="preserve">     </w:t>
      </w:r>
    </w:p>
    <w:p w14:paraId="0BDFA512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  <w:u w:val="single"/>
        </w:rPr>
      </w:pPr>
    </w:p>
    <w:p w14:paraId="1DCC675A" w14:textId="77777777" w:rsidR="00A17F91" w:rsidRDefault="00A17F91">
      <w:pPr>
        <w:spacing w:line="360" w:lineRule="auto"/>
        <w:ind w:leftChars="250" w:left="525" w:rightChars="219" w:right="460"/>
        <w:rPr>
          <w:rFonts w:ascii="黑体" w:eastAsia="黑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评阅日期</w:t>
      </w:r>
      <w:r>
        <w:rPr>
          <w:rFonts w:ascii="黑体" w:eastAsia="黑体" w:hAnsi="宋体" w:hint="eastAsia"/>
          <w:sz w:val="24"/>
        </w:rPr>
        <w:t xml:space="preserve">: </w:t>
      </w:r>
      <w:r>
        <w:rPr>
          <w:rFonts w:ascii="黑体" w:eastAsia="黑体" w:hAnsi="宋体" w:hint="eastAsia"/>
          <w:sz w:val="24"/>
          <w:u w:val="single"/>
        </w:rPr>
        <w:t xml:space="preserve">                </w:t>
      </w:r>
      <w:r>
        <w:rPr>
          <w:rFonts w:ascii="黑体" w:eastAsia="黑体" w:hAnsi="宋体" w:hint="eastAsia"/>
          <w:sz w:val="24"/>
        </w:rPr>
        <w:t xml:space="preserve">      </w:t>
      </w:r>
    </w:p>
    <w:p w14:paraId="45A5A9EF" w14:textId="77777777" w:rsidR="00A17F91" w:rsidRDefault="00A17F91">
      <w:pPr>
        <w:spacing w:line="360" w:lineRule="auto"/>
        <w:rPr>
          <w:rFonts w:ascii="黑体" w:eastAsia="黑体" w:hAnsi="宋体" w:hint="eastAsia"/>
          <w:sz w:val="24"/>
        </w:rPr>
      </w:pPr>
    </w:p>
    <w:p w14:paraId="7F74FF2D" w14:textId="77777777" w:rsidR="00A17F91" w:rsidRDefault="00A17F91">
      <w:pPr>
        <w:spacing w:line="360" w:lineRule="auto"/>
        <w:rPr>
          <w:rFonts w:ascii="黑体" w:eastAsia="黑体" w:hAnsi="宋体" w:hint="eastAsia"/>
          <w:sz w:val="24"/>
        </w:rPr>
      </w:pPr>
    </w:p>
    <w:p>
      <w:pPr>
        <w:pStyle w:val="Title"/>
        <w:keepNext/>
        <w:keepLines w:val="0"/>
        <w:pageBreakBefore/>
        <w:widowControl/>
        <w:spacing w:before="384" w:after="192" w:line="288" w:lineRule="auto"/>
        <w:ind w:firstLine="0"/>
        <w:snapToGrid w:val="0"/>
        <w:autoSpaceDE w:val="0"/>
        <w:autoSpaceDN w:val="0"/>
        <w:jc w:val="center"/>
      </w:pPr>
      <w:r>
        <w:rPr>
          <w:rFonts w:ascii="Times New Roman" w:hAnsi="Times New Roman" w:eastAsia="宋体"/>
          <w:b/>
          <w:sz w:val="32"/>
        </w:rPr>
        <w:t>基于二维傅里叶变换与相位支持的彩色图像边缘检测及实验分析</w:t>
      </w:r>
    </w:p>
    <w:p>
      <w:pPr>
        <w:keepNext w:val="0"/>
        <w:keepLines w:val="0"/>
        <w:widowControl/>
        <w:spacing w:before="90" w:after="90" w:line="240" w:lineRule="auto"/>
        <w:ind w:firstLine="360"/>
        <w:snapToGrid w:val="0"/>
        <w:autoSpaceDE w:val="0"/>
        <w:autoSpaceDN w:val="0"/>
      </w:pPr>
      <w:r>
        <w:rPr>
          <w:rFonts w:ascii="Times New Roman" w:hAnsi="Times New Roman" w:eastAsia="宋体"/>
          <w:b/>
          <w:sz w:val="18"/>
        </w:rPr>
        <w:t>摘要：</w:t>
      </w:r>
      <w:r>
        <w:rPr>
          <w:rFonts w:ascii="Times New Roman" w:hAnsi="Times New Roman" w:eastAsia="宋体"/>
          <w:b w:val="0"/>
          <w:sz w:val="18"/>
        </w:rPr>
        <w:t>自然图像中的轮廓、纹理和噪声均可能产生高频响应，单纯高通滤波难以兼顾边缘定位与误检控制。本文利用二维傅里叶变换的微分性质实现高斯导数，融合灰度与RGB梯度张量，并结合相位支持、非极大值抑制和双阈值连接提取细边缘。在BSDS500的200张测试图上，冻结配置的Precision、Recall和F1分别为55.38%、65.82%和60.15%，F1较灰度对照提高0.418个百分点。消融结果支持颜色融合与相位支持的固定工作点收益；额外弱连接门控主要改变查准率与查全率的取舍。10图高斯噪声实验中，主方法F1随噪声增强而下降，与灰度方法接近。结果说明普通二维FFT可构建可解释的彩色边缘检测流程，其性能仍受工作点、纹理干扰和评价范围限制。</w:t>
      </w:r>
    </w:p>
    <w:p>
      <w:pPr>
        <w:keepNext w:val="0"/>
        <w:keepLines w:val="0"/>
        <w:widowControl/>
        <w:spacing w:before="0" w:after="0" w:line="240" w:lineRule="auto"/>
        <w:ind w:firstLine="360"/>
        <w:snapToGrid w:val="0"/>
        <w:autoSpaceDE w:val="0"/>
        <w:autoSpaceDN w:val="0"/>
      </w:pPr>
      <w:r>
        <w:rPr>
          <w:rFonts w:ascii="Times New Roman" w:hAnsi="Times New Roman" w:eastAsia="宋体"/>
          <w:b/>
          <w:sz w:val="18"/>
        </w:rPr>
        <w:t>关键词：</w:t>
      </w:r>
      <w:r>
        <w:rPr>
          <w:rFonts w:ascii="Times New Roman" w:hAnsi="Times New Roman" w:eastAsia="宋体"/>
          <w:b w:val="0"/>
          <w:sz w:val="18"/>
        </w:rPr>
        <w:t>二维傅里叶变换；高斯导数；彩色边缘检测；相位一致性；消融实验</w:t>
      </w:r>
    </w:p>
    <w:p>
      <w:pPr>
        <w:keepNext/>
        <w:keepLines w:val="0"/>
        <w:widowControl/>
        <w:spacing w:before="126" w:after="0" w:line="288" w:lineRule="auto"/>
        <w:ind w:firstLine="0"/>
        <w:snapToGrid w:val="0"/>
        <w:autoSpaceDE w:val="0"/>
        <w:autoSpaceDN w:val="0"/>
        <w:outlineLvl w:val="0"/>
      </w:pPr>
      <w:r>
        <w:rPr>
          <w:rFonts w:ascii="Times New Roman" w:hAnsi="Times New Roman" w:eastAsia="宋体"/>
          <w:b/>
          <w:sz w:val="24"/>
        </w:rPr>
        <w:t>1引言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边缘检测需要从图像中提取有意义的强度或颜色变化。自然图像同时包含物体轮廓、表面纹理和光照变化，梯度较大并不意味着一定存在需要保留的轮廓。提高阈值虽然能够减少误检，却也可能使弱边缘消失或断裂。因此，评价边缘检测不能只看线条是否清晰，还要考察查准率与查全率之间的平衡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经典Canny方法将平滑、梯度、非极大值抑制和连接组织为完整检测流程[1]。对于彩色图像，DiZenzo的向量梯度通过张量描述多个通道沿同一方向的变化[2]；相位一致性则依据不同频率成分的相位关系表征局部特征，为单纯依赖梯度幅值提供补充[3]。近期的非深度学习研究仍在探索颜色与方向信息的融合。例如，Li等于2023年提出M²GF，在Lab空间融合多尺度、多方向Gabor响应[4]；Gao等于2026年结合Gabor、方向增强Sobel和局部一致性，并讨论FFT与可分离卷积的实现[5]。这些工作提供了滤波与融合的研究思路，但其论文成绩不能直接视为本项目统一条件下的对照结果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本文围绕课程中的卷积定理和微分性质，用普通二维FFT构建彩色边缘检测程序，并通过完整数据集比较、模块消融和有限噪声实验分析各环节的作用。研究重点是数学性质的实现与实验解释，不涉及语义类别预测或模型训练。</w:t>
      </w:r>
    </w:p>
    <w:p>
      <w:pPr>
        <w:keepNext/>
        <w:keepLines w:val="0"/>
        <w:widowControl/>
        <w:spacing w:before="126" w:after="0" w:line="288" w:lineRule="auto"/>
        <w:ind w:firstLine="0"/>
        <w:snapToGrid w:val="0"/>
        <w:autoSpaceDE w:val="0"/>
        <w:autoSpaceDN w:val="0"/>
        <w:outlineLvl w:val="0"/>
      </w:pPr>
      <w:r>
        <w:rPr>
          <w:rFonts w:ascii="Times New Roman" w:hAnsi="Times New Roman" w:eastAsia="宋体"/>
          <w:b/>
          <w:sz w:val="24"/>
        </w:rPr>
        <w:t>2原理与MATLAB实现</w:t>
      </w:r>
    </w:p>
    <w:p>
      <w:pPr>
        <w:keepNext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outlineLvl w:val="1"/>
      </w:pPr>
      <w:r>
        <w:rPr>
          <w:rFonts w:ascii="Times New Roman" w:hAnsi="Times New Roman" w:eastAsia="宋体"/>
          <w:b/>
          <w:sz w:val="21"/>
        </w:rPr>
        <w:t>2.1频域高斯导数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设图像为</w:t>
      </w:r>
      <m:oMath>
        <m:r>
          <w:rPr>
            <w:rFonts w:ascii="Cambria Math" w:hAnsi="Cambria Math" w:cs="Cambria Math"/>
            <w:sz w:val="21"/>
          </w:rPr>
          <m:t>I(y,x)</m:t>
        </m:r>
      </m:oMath>
      <w:r>
        <w:rPr>
          <w:rFonts w:ascii="Times New Roman" w:hAnsi="Times New Roman" w:eastAsia="宋体"/>
          <w:b w:val="0"/>
          <w:sz w:val="21"/>
        </w:rPr>
        <w:t>，大小为</w:t>
      </w:r>
      <m:oMath>
        <m:r>
          <w:rPr>
            <w:rFonts w:ascii="Cambria Math" w:hAnsi="Cambria Math" w:cs="Cambria Math"/>
            <w:sz w:val="21"/>
          </w:rPr>
          <m:t>M×N</m:t>
        </m:r>
      </m:oMath>
      <w:r>
        <w:rPr>
          <w:rFonts w:ascii="Times New Roman" w:hAnsi="Times New Roman" w:eastAsia="宋体"/>
          <w:b w:val="0"/>
          <w:sz w:val="21"/>
        </w:rPr>
        <w:t>，其二维离散傅里叶变换为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m:oMath>
        <m:acc>
          <m:accPr>
            <m:chr m:val="̂"/>
          </m:accPr>
          <m:e>
            <m:r>
              <w:rPr>
                <w:rFonts w:ascii="Cambria Math" w:hAnsi="Cambria Math" w:cs="Cambria Math"/>
                <w:sz w:val="21"/>
              </w:rPr>
              <m:t>I</m:t>
            </m:r>
          </m:e>
        </m:acc>
        <m:r>
          <w:rPr>
            <w:rFonts w:ascii="Cambria Math" w:hAnsi="Cambria Math" w:cs="Cambria Math"/>
            <w:sz w:val="21"/>
          </w:rPr>
          <m:t>(k,l)=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 w:cs="Cambria Math"/>
                <w:sz w:val="21"/>
              </w:rPr>
              <m:t>y=0</m:t>
            </m:r>
          </m:sub>
          <m:sup>
            <m:r>
              <w:rPr>
                <w:rFonts w:ascii="Cambria Math" w:hAnsi="Cambria Math" w:cs="Cambria Math"/>
                <w:sz w:val="21"/>
              </w:rPr>
              <m:t>M-1</m:t>
            </m:r>
          </m:sup>
          <m:e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w:rPr>
                    <w:rFonts w:ascii="Cambria Math" w:hAnsi="Cambria Math" w:cs="Cambria Math"/>
                    <w:sz w:val="21"/>
                  </w:rPr>
                  <m:t>x=0</m:t>
                </m:r>
              </m:sub>
              <m:sup>
                <m:r>
                  <w:rPr>
                    <w:rFonts w:ascii="Cambria Math" w:hAnsi="Cambria Math" w:cs="Cambria Math"/>
                    <w:sz w:val="21"/>
                  </w:rPr>
                  <m:t>N-1</m:t>
                </m:r>
              </m:sup>
              <m:e>
                <m:r>
                  <w:rPr>
                    <w:rFonts w:ascii="Cambria Math" w:hAnsi="Cambria Math" w:cs="Cambria Math"/>
                    <w:sz w:val="21"/>
                  </w:rPr>
                  <m:t>I(y,x)</m:t>
                </m:r>
                <m:r>
                  <w:rPr>
                    <w:rFonts w:ascii="Cambria Math" w:hAnsi="Cambria Math" w:cs="Cambria Math"/>
                    <w:sz w:val="21"/>
                  </w:rPr>
                  <m:rPr>
                    <m:sty m:val="p"/>
                  </m:rPr>
                  <m:t>exp</m:t>
                </m:r>
                <m:r>
                  <w:rPr>
                    <w:rFonts w:ascii="Cambria Math" w:hAnsi="Cambria Math" w:cs="Cambria Math"/>
                    <w:sz w:val="21"/>
                  </w:rPr>
                  <m:t>[-2π</m:t>
                </m:r>
              </m:e>
            </m:nary>
          </m:e>
        </m:nary>
        <m:r>
          <w:rPr>
            <w:rFonts w:ascii="Cambria Math" w:hAnsi="Cambria Math" w:cs="Cambria Math"/>
            <w:sz w:val="21"/>
          </w:rPr>
          <m:rPr>
            <m:sty m:val="p"/>
          </m:rPr>
          <m:t>i</m:t>
        </m:r>
        <m:r>
          <w:rPr>
            <w:rFonts w:ascii="Cambria Math" w:hAnsi="Cambria Math" w:cs="Cambria Math"/>
            <w:sz w:val="21"/>
          </w:rPr>
          <m:t>(</m:t>
        </m:r>
        <m:f>
          <m:fPr>
            <m:type m:val="bar"/>
          </m:fPr>
          <m:num>
            <m:r>
              <w:rPr>
                <w:rFonts w:ascii="Cambria Math" w:hAnsi="Cambria Math" w:cs="Cambria Math"/>
                <w:sz w:val="21"/>
              </w:rPr>
              <m:t>ky</m:t>
            </m:r>
          </m:num>
          <m:den>
            <m:r>
              <w:rPr>
                <w:rFonts w:ascii="Cambria Math" w:hAnsi="Cambria Math" w:cs="Cambria Math"/>
                <w:sz w:val="21"/>
              </w:rPr>
              <m:t>M</m:t>
            </m:r>
          </m:den>
        </m:f>
        <m:r>
          <w:rPr>
            <w:rFonts w:ascii="Cambria Math" w:hAnsi="Cambria Math" w:cs="Cambria Math"/>
            <w:sz w:val="21"/>
          </w:rPr>
          <m:t>+</m:t>
        </m:r>
        <m:f>
          <m:fPr>
            <m:type m:val="bar"/>
          </m:fPr>
          <m:num>
            <m:r>
              <w:rPr>
                <w:rFonts w:ascii="Cambria Math" w:hAnsi="Cambria Math" w:cs="Cambria Math"/>
                <w:sz w:val="21"/>
              </w:rPr>
              <m:t>lx</m:t>
            </m:r>
          </m:num>
          <m:den>
            <m:r>
              <w:rPr>
                <w:rFonts w:ascii="Cambria Math" w:hAnsi="Cambria Math" w:cs="Cambria Math"/>
                <w:sz w:val="21"/>
              </w:rPr>
              <m:t>N</m:t>
            </m:r>
          </m:den>
        </m:f>
        <m:r>
          <w:rPr>
            <w:rFonts w:ascii="Cambria Math" w:hAnsi="Cambria Math" w:cs="Cambria Math"/>
            <w:sz w:val="21"/>
          </w:rPr>
          <m:t>)].</m:t>
        </m:r>
      </m:oMath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FFT是计算DFT的快速算法[6]。卷积定理使空间滤波可以通过频谱相乘实现；微分性质则将方向导数转化为相应频率坐标的乘法。以</w:t>
      </w:r>
      <m:oMath>
        <m:r>
          <w:rPr>
            <w:rFonts w:ascii="Cambria Math" w:hAnsi="Cambria Math" w:cs="Cambria Math"/>
            <w:sz w:val="21"/>
          </w:rPr>
          <m:t>u,v</m:t>
        </m:r>
      </m:oMath>
      <w:r>
        <w:rPr>
          <w:rFonts w:ascii="Times New Roman" w:hAnsi="Times New Roman" w:eastAsia="宋体"/>
          <w:b w:val="0"/>
          <w:sz w:val="21"/>
        </w:rPr>
        <w:t>表示列、行方向的频率，单位为cycles/pixel，高斯频率响应与两个导数算子为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m:oMath>
        <m:sSub>
          <m:e>
            <m:r>
              <w:rPr>
                <w:rFonts w:ascii="Cambria Math" w:hAnsi="Cambria Math" w:cs="Cambria Math"/>
                <w:sz w:val="21"/>
              </w:rPr>
              <m:t>H</m:t>
            </m:r>
          </m:e>
          <m:sub>
            <m:r>
              <w:rPr>
                <w:rFonts w:ascii="Cambria Math" w:hAnsi="Cambria Math" w:cs="Cambria Math"/>
                <w:sz w:val="21"/>
              </w:rPr>
              <m:t>σ</m:t>
            </m:r>
          </m:sub>
        </m:sSub>
        <m:r>
          <w:rPr>
            <w:rFonts w:ascii="Cambria Math" w:hAnsi="Cambria Math" w:cs="Cambria Math"/>
            <w:sz w:val="21"/>
          </w:rPr>
          <m:t>(u,v)=</m:t>
        </m:r>
        <m:r>
          <w:rPr>
            <w:rFonts w:ascii="Cambria Math" w:hAnsi="Cambria Math" w:cs="Cambria Math"/>
            <w:sz w:val="21"/>
          </w:rPr>
          <m:rPr>
            <m:sty m:val="p"/>
          </m:rPr>
          <m:t>exp</m:t>
        </m:r>
        <m:r>
          <w:rPr>
            <w:rFonts w:ascii="Cambria Math" w:hAnsi="Cambria Math" w:cs="Cambria Math"/>
            <w:sz w:val="21"/>
          </w:rPr>
          <m:t>[-2</m:t>
        </m:r>
        <m:sSup>
          <m:e>
            <m:r>
              <w:rPr>
                <w:rFonts w:ascii="Cambria Math" w:hAnsi="Cambria Math" w:cs="Cambria Math"/>
                <w:sz w:val="21"/>
              </w:rPr>
              <m:t>π</m:t>
            </m:r>
          </m:e>
          <m:sup>
            <m:r>
              <w:rPr>
                <w:rFonts w:ascii="Cambria Math" w:hAnsi="Cambria Math" w:cs="Cambria Math"/>
                <w:sz w:val="21"/>
              </w:rPr>
              <m:t>2</m:t>
            </m:r>
          </m:sup>
        </m:sSup>
        <m:sSup>
          <m:e>
            <m:r>
              <w:rPr>
                <w:rFonts w:ascii="Cambria Math" w:hAnsi="Cambria Math" w:cs="Cambria Math"/>
                <w:sz w:val="21"/>
              </w:rPr>
              <m:t>σ</m:t>
            </m:r>
          </m:e>
          <m:sup>
            <m:r>
              <w:rPr>
                <w:rFonts w:ascii="Cambria Math" w:hAnsi="Cambria Math" w:cs="Cambria Math"/>
                <w:sz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</w:rPr>
          <m:t>(</m:t>
        </m:r>
        <m:sSup>
          <m:e>
            <m:r>
              <w:rPr>
                <w:rFonts w:ascii="Cambria Math" w:hAnsi="Cambria Math" w:cs="Cambria Math"/>
                <w:sz w:val="21"/>
              </w:rPr>
              <m:t>u</m:t>
            </m:r>
          </m:e>
          <m:sup>
            <m:r>
              <w:rPr>
                <w:rFonts w:ascii="Cambria Math" w:hAnsi="Cambria Math" w:cs="Cambria Math"/>
                <w:sz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</w:rPr>
          <m:t>+</m:t>
        </m:r>
        <m:sSup>
          <m:e>
            <m:r>
              <w:rPr>
                <w:rFonts w:ascii="Cambria Math" w:hAnsi="Cambria Math" w:cs="Cambria Math"/>
                <w:sz w:val="21"/>
              </w:rPr>
              <m:t>v</m:t>
            </m:r>
          </m:e>
          <m:sup>
            <m:r>
              <w:rPr>
                <w:rFonts w:ascii="Cambria Math" w:hAnsi="Cambria Math" w:cs="Cambria Math"/>
                <w:sz w:val="21"/>
              </w:rPr>
              <m:t>2</m:t>
            </m:r>
          </m:sup>
        </m:sSup>
        <m:r>
          <w:rPr>
            <w:rFonts w:ascii="Cambria Math" w:hAnsi="Cambria Math" w:cs="Cambria Math"/>
            <w:sz w:val="21"/>
          </w:rPr>
          <m:t>)],</m:t>
        </m:r>
        <m:sSub>
          <m:e>
            <m:r>
              <w:rPr>
                <w:rFonts w:ascii="Cambria Math" w:hAnsi="Cambria Math" w:cs="Cambria Math"/>
                <w:sz w:val="21"/>
              </w:rPr>
              <m:t>D</m:t>
            </m:r>
          </m:e>
          <m:sub>
            <m:r>
              <w:rPr>
                <w:rFonts w:ascii="Cambria Math" w:hAnsi="Cambria Math" w:cs="Cambria Math"/>
                <w:sz w:val="21"/>
              </w:rPr>
              <m:t>x</m:t>
            </m:r>
          </m:sub>
        </m:sSub>
        <m:r>
          <w:rPr>
            <w:rFonts w:ascii="Cambria Math" w:hAnsi="Cambria Math" w:cs="Cambria Math"/>
            <w:sz w:val="21"/>
          </w:rPr>
          <m:t>=2π</m:t>
        </m:r>
        <m:r>
          <w:rPr>
            <w:rFonts w:ascii="Cambria Math" w:hAnsi="Cambria Math" w:cs="Cambria Math"/>
            <w:sz w:val="21"/>
          </w:rPr>
          <m:rPr>
            <m:sty m:val="p"/>
          </m:rPr>
          <m:t>i</m:t>
        </m:r>
        <m:r>
          <w:rPr>
            <w:rFonts w:ascii="Cambria Math" w:hAnsi="Cambria Math" w:cs="Cambria Math"/>
            <w:sz w:val="21"/>
          </w:rPr>
          <m:t>u</m:t>
        </m:r>
        <m:sSub>
          <m:e>
            <m:r>
              <w:rPr>
                <w:rFonts w:ascii="Cambria Math" w:hAnsi="Cambria Math" w:cs="Cambria Math"/>
                <w:sz w:val="21"/>
              </w:rPr>
              <m:t>H</m:t>
            </m:r>
          </m:e>
          <m:sub>
            <m:r>
              <w:rPr>
                <w:rFonts w:ascii="Cambria Math" w:hAnsi="Cambria Math" w:cs="Cambria Math"/>
                <w:sz w:val="21"/>
              </w:rPr>
              <m:t>σ</m:t>
            </m:r>
          </m:sub>
        </m:sSub>
        <m:r>
          <w:rPr>
            <w:rFonts w:ascii="Cambria Math" w:hAnsi="Cambria Math" w:cs="Cambria Math"/>
            <w:sz w:val="21"/>
          </w:rPr>
          <m:t>,</m:t>
        </m:r>
        <m:sSub>
          <m:e>
            <m:r>
              <w:rPr>
                <w:rFonts w:ascii="Cambria Math" w:hAnsi="Cambria Math" w:cs="Cambria Math"/>
                <w:sz w:val="21"/>
              </w:rPr>
              <m:t>D</m:t>
            </m:r>
          </m:e>
          <m:sub>
            <m:r>
              <w:rPr>
                <w:rFonts w:ascii="Cambria Math" w:hAnsi="Cambria Math" w:cs="Cambria Math"/>
                <w:sz w:val="21"/>
              </w:rPr>
              <m:t>y</m:t>
            </m:r>
          </m:sub>
        </m:sSub>
        <m:r>
          <w:rPr>
            <w:rFonts w:ascii="Cambria Math" w:hAnsi="Cambria Math" w:cs="Cambria Math"/>
            <w:sz w:val="21"/>
          </w:rPr>
          <m:t>=2π</m:t>
        </m:r>
        <m:r>
          <w:rPr>
            <w:rFonts w:ascii="Cambria Math" w:hAnsi="Cambria Math" w:cs="Cambria Math"/>
            <w:sz w:val="21"/>
          </w:rPr>
          <m:rPr>
            <m:sty m:val="p"/>
          </m:rPr>
          <m:t>i</m:t>
        </m:r>
        <m:r>
          <w:rPr>
            <w:rFonts w:ascii="Cambria Math" w:hAnsi="Cambria Math" w:cs="Cambria Math"/>
            <w:sz w:val="21"/>
          </w:rPr>
          <m:t>v</m:t>
        </m:r>
        <m:sSub>
          <m:e>
            <m:r>
              <w:rPr>
                <w:rFonts w:ascii="Cambria Math" w:hAnsi="Cambria Math" w:cs="Cambria Math"/>
                <w:sz w:val="21"/>
              </w:rPr>
              <m:t>H</m:t>
            </m:r>
          </m:e>
          <m:sub>
            <m:r>
              <w:rPr>
                <w:rFonts w:ascii="Cambria Math" w:hAnsi="Cambria Math" w:cs="Cambria Math"/>
                <w:sz w:val="21"/>
              </w:rPr>
              <m:t>σ</m:t>
            </m:r>
          </m:sub>
        </m:sSub>
        <m:r>
          <w:rPr>
            <w:rFonts w:ascii="Cambria Math" w:hAnsi="Cambria Math" w:cs="Cambria Math"/>
            <w:sz w:val="21"/>
          </w:rPr>
          <m:t>.</m:t>
        </m:r>
      </m:oMath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对灰度分量及各颜色通道分别计算</w:t>
      </w:r>
      <m:oMath>
        <m:sSub>
          <m:e>
            <m:r>
              <w:rPr>
                <w:rFonts w:ascii="Cambria Math" w:hAnsi="Cambria Math" w:cs="Cambria Math"/>
                <w:sz w:val="21"/>
              </w:rPr>
              <m:t>g</m:t>
            </m:r>
          </m:e>
          <m:sub>
            <m:r>
              <w:rPr>
                <w:rFonts w:ascii="Cambria Math" w:hAnsi="Cambria Math" w:cs="Cambria Math"/>
                <w:sz w:val="21"/>
              </w:rPr>
              <m:t>x,c</m:t>
            </m:r>
          </m:sub>
        </m:sSub>
        <m:r>
          <w:rPr>
            <w:rFonts w:ascii="Cambria Math" w:hAnsi="Cambria Math" w:cs="Cambria Math"/>
            <w:sz w:val="21"/>
          </w:rPr>
          <m:t>=ℜ{</m:t>
        </m:r>
        <m:sSup>
          <m:e>
            <m:r>
              <w:rPr>
                <w:rFonts w:ascii="Cambria Math" w:hAnsi="Cambria Math" w:cs="Cambria Math"/>
                <w:sz w:val="21"/>
              </w:rPr>
              <m:rPr>
                <m:scr m:val="script"/>
              </m:rPr>
              <m:t>F</m:t>
            </m:r>
          </m:e>
          <m:sup>
            <m:r>
              <w:rPr>
                <w:rFonts w:ascii="Cambria Math" w:hAnsi="Cambria Math" w:cs="Cambria Math"/>
                <w:sz w:val="21"/>
              </w:rPr>
              <m:t>-1</m:t>
            </m:r>
          </m:sup>
        </m:sSup>
        <m:r>
          <w:rPr>
            <w:rFonts w:ascii="Cambria Math" w:hAnsi="Cambria Math" w:cs="Cambria Math"/>
            <w:sz w:val="21"/>
          </w:rPr>
          <m:t>(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cs="Cambria Math"/>
                    <w:sz w:val="21"/>
                  </w:rPr>
                  <m:t>I</m:t>
                </m:r>
              </m:e>
            </m:acc>
          </m:e>
          <m:sub>
            <m:r>
              <w:rPr>
                <w:rFonts w:ascii="Cambria Math" w:hAnsi="Cambria Math" w:cs="Cambria Math"/>
                <w:sz w:val="21"/>
              </w:rPr>
              <m:t>c</m:t>
            </m:r>
          </m:sub>
        </m:sSub>
        <m:sSub>
          <m:e>
            <m:r>
              <w:rPr>
                <w:rFonts w:ascii="Cambria Math" w:hAnsi="Cambria Math" w:cs="Cambria Math"/>
                <w:sz w:val="21"/>
              </w:rPr>
              <m:t>D</m:t>
            </m:r>
          </m:e>
          <m:sub>
            <m:r>
              <w:rPr>
                <w:rFonts w:ascii="Cambria Math" w:hAnsi="Cambria Math" w:cs="Cambria Math"/>
                <w:sz w:val="21"/>
              </w:rPr>
              <m:t>x</m:t>
            </m:r>
          </m:sub>
        </m:sSub>
        <m:r>
          <w:rPr>
            <w:rFonts w:ascii="Cambria Math" w:hAnsi="Cambria Math" w:cs="Cambria Math"/>
            <w:sz w:val="21"/>
          </w:rPr>
          <m:t>)}</m:t>
        </m:r>
      </m:oMath>
      <w:r>
        <w:rPr>
          <w:rFonts w:ascii="Times New Roman" w:hAnsi="Times New Roman" w:eastAsia="宋体"/>
          <w:b w:val="0"/>
          <w:sz w:val="21"/>
        </w:rPr>
        <w:t>和</w:t>
      </w:r>
      <m:oMath>
        <m:sSub>
          <m:e>
            <m:r>
              <w:rPr>
                <w:rFonts w:ascii="Cambria Math" w:hAnsi="Cambria Math" w:cs="Cambria Math"/>
                <w:sz w:val="21"/>
              </w:rPr>
              <m:t>g</m:t>
            </m:r>
          </m:e>
          <m:sub>
            <m:r>
              <w:rPr>
                <w:rFonts w:ascii="Cambria Math" w:hAnsi="Cambria Math" w:cs="Cambria Math"/>
                <w:sz w:val="21"/>
              </w:rPr>
              <m:t>y,c</m:t>
            </m:r>
          </m:sub>
        </m:sSub>
        <m:r>
          <w:rPr>
            <w:rFonts w:ascii="Cambria Math" w:hAnsi="Cambria Math" w:cs="Cambria Math"/>
            <w:sz w:val="21"/>
          </w:rPr>
          <m:t>=ℜ{</m:t>
        </m:r>
        <m:sSup>
          <m:e>
            <m:r>
              <w:rPr>
                <w:rFonts w:ascii="Cambria Math" w:hAnsi="Cambria Math" w:cs="Cambria Math"/>
                <w:sz w:val="21"/>
              </w:rPr>
              <m:rPr>
                <m:scr m:val="script"/>
              </m:rPr>
              <m:t>F</m:t>
            </m:r>
          </m:e>
          <m:sup>
            <m:r>
              <w:rPr>
                <w:rFonts w:ascii="Cambria Math" w:hAnsi="Cambria Math" w:cs="Cambria Math"/>
                <w:sz w:val="21"/>
              </w:rPr>
              <m:t>-1</m:t>
            </m:r>
          </m:sup>
        </m:sSup>
        <m:r>
          <w:rPr>
            <w:rFonts w:ascii="Cambria Math" w:hAnsi="Cambria Math" w:cs="Cambria Math"/>
            <w:sz w:val="21"/>
          </w:rPr>
          <m:t>(</m:t>
        </m:r>
        <m:sSub>
          <m:e>
            <m:acc>
              <m:accPr>
                <m:chr m:val="̂"/>
              </m:accPr>
              <m:e>
                <m:r>
                  <w:rPr>
                    <w:rFonts w:ascii="Cambria Math" w:hAnsi="Cambria Math" w:cs="Cambria Math"/>
                    <w:sz w:val="21"/>
                  </w:rPr>
                  <m:t>I</m:t>
                </m:r>
              </m:e>
            </m:acc>
          </m:e>
          <m:sub>
            <m:r>
              <w:rPr>
                <w:rFonts w:ascii="Cambria Math" w:hAnsi="Cambria Math" w:cs="Cambria Math"/>
                <w:sz w:val="21"/>
              </w:rPr>
              <m:t>c</m:t>
            </m:r>
          </m:sub>
        </m:sSub>
        <m:sSub>
          <m:e>
            <m:r>
              <w:rPr>
                <w:rFonts w:ascii="Cambria Math" w:hAnsi="Cambria Math" w:cs="Cambria Math"/>
                <w:sz w:val="21"/>
              </w:rPr>
              <m:t>D</m:t>
            </m:r>
          </m:e>
          <m:sub>
            <m:r>
              <w:rPr>
                <w:rFonts w:ascii="Cambria Math" w:hAnsi="Cambria Math" w:cs="Cambria Math"/>
                <w:sz w:val="21"/>
              </w:rPr>
              <m:t>y</m:t>
            </m:r>
          </m:sub>
        </m:sSub>
        <m:r>
          <w:rPr>
            <w:rFonts w:ascii="Cambria Math" w:hAnsi="Cambria Math" w:cs="Cambria Math"/>
            <w:sz w:val="21"/>
          </w:rPr>
          <m:t>)}</m:t>
        </m:r>
      </m:oMath>
      <w:r>
        <w:rPr>
          <w:rFonts w:ascii="Times New Roman" w:hAnsi="Times New Roman" w:eastAsia="宋体"/>
          <w:b w:val="0"/>
          <w:sz w:val="21"/>
        </w:rPr>
        <w:t>。其中，频率乘子突出变化，高斯因子抑制过高频率；</w:t>
      </w:r>
      <m:oMath>
        <m:r>
          <w:rPr>
            <w:rFonts w:ascii="Cambria Math" w:hAnsi="Cambria Math" w:cs="Cambria Math"/>
            <w:sz w:val="21"/>
          </w:rPr>
          <m:t>σ</m:t>
        </m:r>
      </m:oMath>
      <w:r>
        <w:rPr>
          <w:rFonts w:ascii="Times New Roman" w:hAnsi="Times New Roman" w:eastAsia="宋体"/>
          <w:b w:val="0"/>
          <w:sz w:val="21"/>
        </w:rPr>
        <w:t>越大，平滑越强，也越可能损失细节。相比直接保留全部高频，这一构造同时考虑了求导与噪声抑制。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程序采用</w:t>
      </w:r>
      <m:oMath>
        <m:r>
          <w:rPr>
            <w:rFonts w:ascii="Cambria Math" w:hAnsi="Cambria Math" w:cs="Cambria Math"/>
            <w:sz w:val="21"/>
          </w:rPr>
          <m:t>σ=1.8</m:t>
        </m:r>
      </m:oMath>
      <w:r>
        <w:rPr>
          <w:rFonts w:ascii="Times New Roman" w:hAnsi="Times New Roman" w:eastAsia="宋体"/>
          <w:b w:val="0"/>
          <w:sz w:val="21"/>
        </w:rPr>
        <w:t>像素、32像素对称补边，以</w:t>
      </w:r>
      <w:r>
        <w:rPr>
          <w:rFonts w:ascii="Times New Roman" w:hAnsi="Times New Roman" w:eastAsia="宋体"/>
          <w:b w:val="0"/>
          <w:sz w:val="21"/>
        </w:rPr>
        <w:t>fft2</w:t>
      </w:r>
      <w:r>
        <w:rPr>
          <w:rFonts w:ascii="Times New Roman" w:hAnsi="Times New Roman" w:eastAsia="宋体"/>
          <w:b w:val="0"/>
          <w:sz w:val="21"/>
        </w:rPr>
        <w:t>、</w:t>
      </w:r>
      <w:r>
        <w:rPr>
          <w:rFonts w:ascii="Times New Roman" w:hAnsi="Times New Roman" w:eastAsia="宋体"/>
          <w:b w:val="0"/>
          <w:sz w:val="21"/>
        </w:rPr>
        <w:t>fftshift</w:t>
      </w:r>
      <w:r>
        <w:rPr>
          <w:rFonts w:ascii="Times New Roman" w:hAnsi="Times New Roman" w:eastAsia="宋体"/>
          <w:b w:val="0"/>
          <w:sz w:val="21"/>
        </w:rPr>
        <w:t>及相应逆操作计算响应后裁回原尺寸[7]。偶数尺寸下，将导数方向的Nyquist项置零。该实现采用解析高斯频谱的离散采样，与任意截断空间高斯核并不必然逐像素相同。</w:t>
      </w:r>
    </w:p>
    <w:p>
      <w:pPr>
        <w:keepNext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outlineLvl w:val="1"/>
      </w:pPr>
      <w:r>
        <w:rPr>
          <w:rFonts w:ascii="Times New Roman" w:hAnsi="Times New Roman" w:eastAsia="宋体"/>
          <w:b/>
          <w:sz w:val="21"/>
        </w:rPr>
        <w:t>2.2灰度与颜色梯度融合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灰度化可能削弱亮度接近、颜色不同的边界，但直接合并三通道二值边缘又容易累积误检。本文在梯度张量层面融合信息。灰度分量</w:t>
      </w:r>
      <m:oMath>
        <m:r>
          <w:rPr>
            <w:rFonts w:ascii="Cambria Math" w:hAnsi="Cambria Math" w:cs="Cambria Math"/>
            <w:sz w:val="21"/>
          </w:rPr>
          <m:t>Y</m:t>
        </m:r>
      </m:oMath>
      <w:r>
        <w:rPr>
          <w:rFonts w:ascii="Times New Roman" w:hAnsi="Times New Roman" w:eastAsia="宋体"/>
          <w:b w:val="0"/>
          <w:sz w:val="21"/>
        </w:rPr>
        <w:t>由原uint8图像先</w:t>
      </w:r>
      <w:r>
        <w:rPr>
          <w:rFonts w:ascii="Times New Roman" w:hAnsi="Times New Roman" w:eastAsia="宋体"/>
          <w:b w:val="0"/>
          <w:sz w:val="21"/>
        </w:rPr>
        <w:t>rgb2gray</w:t>
      </w:r>
      <w:r>
        <w:rPr>
          <w:rFonts w:ascii="Times New Roman" w:hAnsi="Times New Roman" w:eastAsia="宋体"/>
          <w:b w:val="0"/>
          <w:sz w:val="21"/>
        </w:rPr>
        <w:t>再</w:t>
      </w:r>
      <w:r>
        <w:rPr>
          <w:rFonts w:ascii="Times New Roman" w:hAnsi="Times New Roman" w:eastAsia="宋体"/>
          <w:b w:val="0"/>
          <w:sz w:val="21"/>
        </w:rPr>
        <w:t>im2double</w:t>
      </w:r>
      <w:r>
        <w:rPr>
          <w:rFonts w:ascii="Times New Roman" w:hAnsi="Times New Roman" w:eastAsia="宋体"/>
          <w:b w:val="0"/>
          <w:sz w:val="21"/>
        </w:rPr>
        <w:t>得到，颜色通道转换至0—1。令</w:t>
      </w:r>
      <m:oMath>
        <m:sSub>
          <m:e>
            <m:r>
              <w:rPr>
                <w:rFonts w:ascii="Cambria Math" w:hAnsi="Cambria Math" w:cs="Cambria Math"/>
                <w:sz w:val="21"/>
              </w:rPr>
              <m:rPr>
                <m:sty m:val="b"/>
              </m:rPr>
              <m:t>g</m:t>
            </m:r>
          </m:e>
          <m:sub>
            <m:r>
              <w:rPr>
                <w:rFonts w:ascii="Cambria Math" w:hAnsi="Cambria Math" w:cs="Cambria Math"/>
                <w:sz w:val="21"/>
              </w:rPr>
              <m:t>c</m:t>
            </m:r>
          </m:sub>
        </m:sSub>
        <m:r>
          <w:rPr>
            <w:rFonts w:ascii="Cambria Math" w:hAnsi="Cambria Math" w:cs="Cambria Math"/>
            <w:sz w:val="21"/>
          </w:rPr>
          <m:t>=(</m:t>
        </m:r>
        <m:sSub>
          <m:e>
            <m:r>
              <w:rPr>
                <w:rFonts w:ascii="Cambria Math" w:hAnsi="Cambria Math" w:cs="Cambria Math"/>
                <w:sz w:val="21"/>
              </w:rPr>
              <m:t>g</m:t>
            </m:r>
          </m:e>
          <m:sub>
            <m:r>
              <w:rPr>
                <w:rFonts w:ascii="Cambria Math" w:hAnsi="Cambria Math" w:cs="Cambria Math"/>
                <w:sz w:val="21"/>
              </w:rPr>
              <m:t>x,c</m:t>
            </m:r>
          </m:sub>
        </m:sSub>
        <m:r>
          <w:rPr>
            <w:rFonts w:ascii="Cambria Math" w:hAnsi="Cambria Math" w:cs="Cambria Math"/>
            <w:sz w:val="21"/>
          </w:rPr>
          <m:t>,</m:t>
        </m:r>
        <m:sSub>
          <m:e>
            <m:r>
              <w:rPr>
                <w:rFonts w:ascii="Cambria Math" w:hAnsi="Cambria Math" w:cs="Cambria Math"/>
                <w:sz w:val="21"/>
              </w:rPr>
              <m:t>g</m:t>
            </m:r>
          </m:e>
          <m:sub>
            <m:r>
              <w:rPr>
                <w:rFonts w:ascii="Cambria Math" w:hAnsi="Cambria Math" w:cs="Cambria Math"/>
                <w:sz w:val="21"/>
              </w:rPr>
              <m:t>y,c</m:t>
            </m:r>
          </m:sub>
        </m:sSub>
        <m:sSup>
          <m:e>
            <m:r>
              <w:rPr>
                <w:rFonts w:ascii="Cambria Math" w:hAnsi="Cambria Math" w:cs="Cambria Math"/>
                <w:sz w:val="21"/>
              </w:rPr>
              <m:t>)</m:t>
            </m:r>
          </m:e>
          <m:sup>
            <m:r>
              <w:rPr>
                <w:rFonts w:ascii="Cambria Math" w:hAnsi="Cambria Math" w:cs="Cambria Math"/>
                <w:sz w:val="21"/>
              </w:rPr>
              <m:t>T</m:t>
            </m:r>
          </m:sup>
        </m:sSup>
      </m:oMath>
      <w:r>
        <w:rPr>
          <w:rFonts w:ascii="Times New Roman" w:hAnsi="Times New Roman" w:eastAsia="宋体"/>
          <w:b w:val="0"/>
          <w:sz w:val="21"/>
        </w:rPr>
        <w:t>，定义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m:oMath>
        <m:sSub>
          <m:e>
            <m:r>
              <w:rPr>
                <w:rFonts w:ascii="Cambria Math" w:hAnsi="Cambria Math" w:cs="Cambria Math"/>
                <w:sz w:val="21"/>
              </w:rPr>
              <m:t>J</m:t>
            </m:r>
          </m:e>
          <m:sub>
            <m:r>
              <w:rPr>
                <w:rFonts w:ascii="Cambria Math" w:hAnsi="Cambria Math" w:cs="Cambria Math"/>
                <w:sz w:val="21"/>
              </w:rPr>
              <m:t>RGB</m:t>
            </m:r>
          </m:sub>
        </m:sSub>
        <m:r>
          <w:rPr>
            <w:rFonts w:ascii="Cambria Math" w:hAnsi="Cambria Math" w:cs="Cambria Math"/>
            <w:sz w:val="21"/>
          </w:rPr>
          <m:t>=</m:t>
        </m:r>
        <m:f>
          <m:fPr>
            <m:type m:val="bar"/>
          </m:fPr>
          <m:num>
            <m:r>
              <w:rPr>
                <w:rFonts w:ascii="Cambria Math" w:hAnsi="Cambria Math" w:cs="Cambria Math"/>
                <w:sz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</w:rPr>
              <m:t>3</m:t>
            </m:r>
          </m:den>
        </m:f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 w:cs="Cambria Math"/>
                <w:sz w:val="21"/>
              </w:rPr>
              <m:t>c∈{R,G,B}</m:t>
            </m:r>
          </m:sub>
          <m:sup/>
          <m:e>
            <m:sSub>
              <m:e>
                <m:r>
                  <w:rPr>
                    <w:rFonts w:ascii="Cambria Math" w:hAnsi="Cambria Math" w:cs="Cambria Math"/>
                    <w:sz w:val="21"/>
                  </w:rPr>
                  <m:rPr>
                    <m:sty m:val="b"/>
                  </m:rPr>
                  <m:t>g</m:t>
                </m:r>
              </m:e>
              <m:sub>
                <m:r>
                  <w:rPr>
                    <w:rFonts w:ascii="Cambria Math" w:hAnsi="Cambria Math" w:cs="Cambria Math"/>
                    <w:sz w:val="21"/>
                  </w:rPr>
                  <m:t>c</m:t>
                </m:r>
              </m:sub>
            </m:sSub>
          </m:e>
        </m:nary>
        <m:sSubSup>
          <m:e>
            <m:r>
              <w:rPr>
                <w:rFonts w:ascii="Cambria Math" w:hAnsi="Cambria Math" w:cs="Cambria Math"/>
                <w:sz w:val="21"/>
              </w:rPr>
              <m:rPr>
                <m:sty m:val="b"/>
              </m:rPr>
              <m:t>g</m:t>
            </m:r>
          </m:e>
          <m:sub>
            <m:r>
              <w:rPr>
                <w:rFonts w:ascii="Cambria Math" w:hAnsi="Cambria Math" w:cs="Cambria Math"/>
                <w:sz w:val="21"/>
              </w:rPr>
              <m:t>c</m:t>
            </m:r>
          </m:sub>
          <m:sup>
            <m:r>
              <w:rPr>
                <w:rFonts w:ascii="Cambria Math" w:hAnsi="Cambria Math" w:cs="Cambria Math"/>
                <w:sz w:val="21"/>
              </w:rPr>
              <m:t>T</m:t>
            </m:r>
          </m:sup>
        </m:sSubSup>
        <m:r>
          <w:rPr>
            <w:rFonts w:ascii="Cambria Math" w:hAnsi="Cambria Math" w:cs="Cambria Math"/>
            <w:sz w:val="21"/>
          </w:rPr>
          <m:t>,</m:t>
        </m:r>
        <m:sSub>
          <m:e>
            <m:r>
              <w:rPr>
                <w:rFonts w:ascii="Cambria Math" w:hAnsi="Cambria Math" w:cs="Cambria Math"/>
                <w:sz w:val="21"/>
              </w:rPr>
              <m:t>J</m:t>
            </m:r>
          </m:e>
          <m:sub>
            <m:r>
              <w:rPr>
                <w:rFonts w:ascii="Cambria Math" w:hAnsi="Cambria Math" w:cs="Cambria Math"/>
                <w:sz w:val="21"/>
              </w:rPr>
              <m:t>Y</m:t>
            </m:r>
          </m:sub>
        </m:sSub>
        <m:r>
          <w:rPr>
            <w:rFonts w:ascii="Cambria Math" w:hAnsi="Cambria Math" w:cs="Cambria Math"/>
            <w:sz w:val="21"/>
          </w:rPr>
          <m:t>=</m:t>
        </m:r>
        <m:sSub>
          <m:e>
            <m:r>
              <w:rPr>
                <w:rFonts w:ascii="Cambria Math" w:hAnsi="Cambria Math" w:cs="Cambria Math"/>
                <w:sz w:val="21"/>
              </w:rPr>
              <m:rPr>
                <m:sty m:val="b"/>
              </m:rPr>
              <m:t>g</m:t>
            </m:r>
          </m:e>
          <m:sub>
            <m:r>
              <w:rPr>
                <w:rFonts w:ascii="Cambria Math" w:hAnsi="Cambria Math" w:cs="Cambria Math"/>
                <w:sz w:val="21"/>
              </w:rPr>
              <m:t>Y</m:t>
            </m:r>
          </m:sub>
        </m:sSub>
        <m:sSubSup>
          <m:e>
            <m:r>
              <w:rPr>
                <w:rFonts w:ascii="Cambria Math" w:hAnsi="Cambria Math" w:cs="Cambria Math"/>
                <w:sz w:val="21"/>
              </w:rPr>
              <m:rPr>
                <m:sty m:val="b"/>
              </m:rPr>
              <m:t>g</m:t>
            </m:r>
          </m:e>
          <m:sub>
            <m:r>
              <w:rPr>
                <w:rFonts w:ascii="Cambria Math" w:hAnsi="Cambria Math" w:cs="Cambria Math"/>
                <w:sz w:val="21"/>
              </w:rPr>
              <m:t>Y</m:t>
            </m:r>
          </m:sub>
          <m:sup>
            <m:r>
              <w:rPr>
                <w:rFonts w:ascii="Cambria Math" w:hAnsi="Cambria Math" w:cs="Cambria Math"/>
                <w:sz w:val="21"/>
              </w:rPr>
              <m:t>T</m:t>
            </m:r>
          </m:sup>
        </m:sSubSup>
        <m:r>
          <w:rPr>
            <w:rFonts w:ascii="Cambria Math" w:hAnsi="Cambria Math" w:cs="Cambria Math"/>
            <w:sz w:val="21"/>
          </w:rPr>
          <m:t>,</m:t>
        </m:r>
        <m:r>
          <w:rPr>
            <w:rFonts w:ascii="Cambria Math" w:hAnsi="Cambria Math" w:cs="Cambria Math"/>
            <w:sz w:val="21"/>
          </w:rPr>
          <m:t>J=0.75</m:t>
        </m:r>
        <m:sSub>
          <m:e>
            <m:r>
              <w:rPr>
                <w:rFonts w:ascii="Cambria Math" w:hAnsi="Cambria Math" w:cs="Cambria Math"/>
                <w:sz w:val="21"/>
              </w:rPr>
              <m:t>J</m:t>
            </m:r>
          </m:e>
          <m:sub>
            <m:r>
              <w:rPr>
                <w:rFonts w:ascii="Cambria Math" w:hAnsi="Cambria Math" w:cs="Cambria Math"/>
                <w:sz w:val="21"/>
              </w:rPr>
              <m:t>Y</m:t>
            </m:r>
          </m:sub>
        </m:sSub>
        <m:r>
          <w:rPr>
            <w:rFonts w:ascii="Cambria Math" w:hAnsi="Cambria Math" w:cs="Cambria Math"/>
            <w:sz w:val="21"/>
          </w:rPr>
          <m:t>+0.25</m:t>
        </m:r>
        <m:sSub>
          <m:e>
            <m:r>
              <w:rPr>
                <w:rFonts w:ascii="Cambria Math" w:hAnsi="Cambria Math" w:cs="Cambria Math"/>
                <w:sz w:val="21"/>
              </w:rPr>
              <m:t>J</m:t>
            </m:r>
          </m:e>
          <m:sub>
            <m:r>
              <w:rPr>
                <w:rFonts w:ascii="Cambria Math" w:hAnsi="Cambria Math" w:cs="Cambria Math"/>
                <w:sz w:val="21"/>
              </w:rPr>
              <m:t>RGB</m:t>
            </m:r>
          </m:sub>
        </m:sSub>
        <m:r>
          <w:rPr>
            <w:rFonts w:ascii="Cambria Math" w:hAnsi="Cambria Math" w:cs="Cambria Math"/>
            <w:sz w:val="21"/>
          </w:rPr>
          <m:t>.</m:t>
        </m:r>
      </m:oMath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对</w:t>
      </w:r>
      <m:oMath>
        <m:r>
          <w:rPr>
            <w:rFonts w:ascii="Cambria Math" w:hAnsi="Cambria Math" w:cs="Cambria Math"/>
            <w:sz w:val="21"/>
          </w:rPr>
          <m:t>J=(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w:rPr>
                  <w:rFonts w:ascii="Cambria Math" w:hAnsi="Cambria Math" w:cs="Cambria Math"/>
                  <w:sz w:val="21"/>
                </w:rPr>
                <m:t>A</m:t>
              </m:r>
            </m:e>
            <m:e>
              <m:r>
                <w:rPr>
                  <w:rFonts w:ascii="Cambria Math" w:hAnsi="Cambria Math" w:cs="Cambria Math"/>
                  <w:sz w:val="21"/>
                </w:rPr>
                <m:t>B</m:t>
              </m:r>
            </m:e>
          </m:mr>
          <m:mr>
            <m:e>
              <m:r>
                <w:rPr>
                  <w:rFonts w:ascii="Cambria Math" w:hAnsi="Cambria Math" w:cs="Cambria Math"/>
                  <w:sz w:val="21"/>
                </w:rPr>
                <m:t>B</m:t>
              </m:r>
            </m:e>
            <m:e>
              <m:r>
                <w:rPr>
                  <w:rFonts w:ascii="Cambria Math" w:hAnsi="Cambria Math" w:cs="Cambria Math"/>
                  <w:sz w:val="21"/>
                </w:rPr>
                <m:t>C</m:t>
              </m:r>
            </m:e>
          </m:mr>
        </m:m>
        <m:r>
          <w:rPr>
            <w:rFonts w:ascii="Cambria Math" w:hAnsi="Cambria Math" w:cs="Cambria Math"/>
            <w:sz w:val="21"/>
          </w:rPr>
          <m:t>)</m:t>
        </m:r>
      </m:oMath>
      <w:r>
        <w:rPr>
          <w:rFonts w:ascii="Times New Roman" w:hAnsi="Times New Roman" w:eastAsia="宋体"/>
          <w:b w:val="0"/>
          <w:sz w:val="21"/>
        </w:rPr>
        <w:t>，取最大特征值的平方根为边缘幅值，主方向为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m:oMath>
        <m:r>
          <w:rPr>
            <w:rFonts w:ascii="Cambria Math" w:hAnsi="Cambria Math" w:cs="Cambria Math"/>
            <w:sz w:val="21"/>
          </w:rPr>
          <m:t>m=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w:rPr>
                    <w:rFonts w:ascii="Cambria Math" w:hAnsi="Cambria Math" w:cs="Cambria Math"/>
                    <w:sz w:val="21"/>
                  </w:rPr>
                  <m:t>A+C+</m:t>
                </m:r>
                <m:rad>
                  <m:radPr>
                    <m:degHide m:val="on"/>
                  </m:radPr>
                  <m:deg/>
                  <m:e>
                    <m:d>
                      <m:dPr>
                        <m:sepChr m:val=""/>
                        <m:endChr m:val=""/>
                      </m:dPr>
                      <m:e>
                        <m:r>
                          <w:rPr>
                            <w:rFonts w:ascii="Cambria Math" w:hAnsi="Cambria Math" w:cs="Cambria Math"/>
                            <w:sz w:val="21"/>
                          </w:rPr>
                          <m:t>A</m:t>
                        </m:r>
                        <m:r>
                          <w:rPr>
                            <w:rFonts w:ascii="Cambria Math" w:hAnsi="Cambria Math" w:cs="Cambria Math"/>
                            <w:sz w:val="21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  <w:sz w:val="21"/>
                          </w:rPr>
                          <m:t>C</m:t>
                        </m:r>
                        <m:sSup>
                          <m:e>
                            <m:r>
                              <w:rPr>
                                <w:rFonts w:ascii="Cambria Math" w:hAnsi="Cambria Math" w:cs="Cambria Math"/>
                                <w:sz w:val="21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1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Cambria Math"/>
                            <w:sz w:val="21"/>
                          </w:rPr>
                          <m:t>+</m:t>
                        </m:r>
                        <m:r>
                          <w:rPr>
                            <w:rFonts w:ascii="Cambria Math" w:hAnsi="Cambria Math" w:cs="Cambria Math"/>
                            <w:sz w:val="21"/>
                          </w:rPr>
                          <m:t>4</m:t>
                        </m:r>
                        <m:sSup>
                          <m:e>
                            <m:r>
                              <w:rPr>
                                <w:rFonts w:ascii="Cambria Math" w:hAnsi="Cambria Math" w:cs="Cambria Math"/>
                                <w:sz w:val="21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Cambria Math"/>
                                <w:sz w:val="21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num>
              <m:den>
                <m:r>
                  <w:rPr>
                    <w:rFonts w:ascii="Cambria Math" w:hAnsi="Cambria Math" w:cs="Cambria Math"/>
                    <w:sz w:val="21"/>
                  </w:rPr>
                  <m:t>2</m:t>
                </m:r>
              </m:den>
            </m:f>
          </m:e>
        </m:rad>
        <m:r>
          <w:rPr>
            <w:rFonts w:ascii="Cambria Math" w:hAnsi="Cambria Math" w:cs="Cambria Math"/>
            <w:sz w:val="21"/>
          </w:rPr>
          <m:t>,</m:t>
        </m:r>
        <m:r>
          <w:rPr>
            <w:rFonts w:ascii="Cambria Math" w:hAnsi="Cambria Math" w:cs="Cambria Math"/>
            <w:sz w:val="21"/>
          </w:rPr>
          <m:t>θ=</m:t>
        </m:r>
        <m:f>
          <m:fPr>
            <m:type m:val="bar"/>
          </m:fPr>
          <m:num>
            <m:r>
              <w:rPr>
                <w:rFonts w:ascii="Cambria Math" w:hAnsi="Cambria Math" w:cs="Cambria Math"/>
                <w:sz w:val="21"/>
              </w:rPr>
              <m:t>1</m:t>
            </m:r>
          </m:num>
          <m:den>
            <m:r>
              <w:rPr>
                <w:rFonts w:ascii="Cambria Math" w:hAnsi="Cambria Math" w:cs="Cambria Math"/>
                <w:sz w:val="21"/>
              </w:rPr>
              <m:t>2</m:t>
            </m:r>
          </m:den>
        </m:f>
        <m:r>
          <w:rPr>
            <w:rFonts w:ascii="Cambria Math" w:hAnsi="Cambria Math" w:cs="Cambria Math"/>
            <w:sz w:val="21"/>
          </w:rPr>
          <m:rPr>
            <m:sty m:val="p"/>
          </m:rPr>
          <m:t>atan2</m:t>
        </m:r>
        <m:r>
          <w:rPr>
            <w:rFonts w:ascii="Cambria Math" w:hAnsi="Cambria Math" w:cs="Cambria Math"/>
            <w:sz w:val="21"/>
          </w:rPr>
          <m:t>(2B,A-C).</m:t>
        </m:r>
      </m:oMath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这一构造保留了通道之间的方向关系[2]。程序将方向符号与灰度梯度对齐，沿该方向双线性插值执行非极大值抑制（NMS），保留幅值不小于前向采样、严格大于后向采样的像素，再除以全图原始幅值最大值，得到归一化响应</w:t>
      </w:r>
      <m:oMath>
        <m:r>
          <w:rPr>
            <w:rFonts w:ascii="Cambria Math" w:hAnsi="Cambria Math" w:cs="Cambria Math"/>
            <w:sz w:val="21"/>
          </w:rPr>
          <m:t>N</m:t>
        </m:r>
      </m:oMath>
      <w:r>
        <w:rPr>
          <w:rFonts w:ascii="Times New Roman" w:hAnsi="Times New Roman" w:eastAsia="宋体"/>
          <w:b w:val="0"/>
          <w:sz w:val="21"/>
        </w:rPr>
        <w:t>。全零响应输出零图。当前RGB方法仍包含75%的灰度张量分量。</w:t>
      </w:r>
    </w:p>
    <w:p>
      <w:pPr>
        <w:keepNext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outlineLvl w:val="1"/>
      </w:pPr>
      <w:r>
        <w:rPr>
          <w:rFonts w:ascii="Times New Roman" w:hAnsi="Times New Roman" w:eastAsia="宋体"/>
          <w:b/>
          <w:sz w:val="21"/>
        </w:rPr>
        <w:t>2.3相位支持与弱连接门控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相位一致性关注不同尺度成分在局部特征处的相位关系，而非直接使用原图频谱相角。本文复用Kovesi公开的</w:t>
      </w:r>
      <w:r>
        <w:rPr>
          <w:rFonts w:ascii="Times New Roman" w:hAnsi="Times New Roman" w:eastAsia="宋体"/>
          <w:b w:val="0"/>
          <w:sz w:val="21"/>
        </w:rPr>
        <w:t>phasecong3</w:t>
      </w:r>
      <w:r>
        <w:rPr>
          <w:rFonts w:ascii="Times New Roman" w:hAnsi="Times New Roman" w:eastAsia="宋体"/>
          <w:b w:val="0"/>
          <w:sz w:val="21"/>
        </w:rPr>
        <w:t>，通过多尺度Log-Gabor频域滤波计算最大相位一致性矩</w:t>
      </w:r>
      <m:oMath>
        <m:sSub>
          <m:e>
            <m:r>
              <w:rPr>
                <w:rFonts w:ascii="Cambria Math" w:hAnsi="Cambria Math" w:cs="Cambria Math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 w:val="21"/>
              </w:rPr>
              <m:t>c</m:t>
            </m:r>
          </m:sub>
        </m:sSub>
      </m:oMath>
      <w:r>
        <w:rPr>
          <w:rFonts w:ascii="Times New Roman" w:hAnsi="Times New Roman" w:eastAsia="宋体"/>
          <w:b w:val="0"/>
          <w:sz w:val="21"/>
        </w:rPr>
        <w:t>[3,8]。设置为4尺度、6方向，最小波长3、尺度倍率2.1、带宽参数0.55、噪声阈值参数4、频率扩展截止0.5、增益10，噪声估计模式为−1。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将灰度及各通道的支持限制在0—1，并用梯度能量融合颜色支持：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m:oMath>
        <m:sSub>
          <m:e>
            <m:r>
              <w:rPr>
                <w:rFonts w:ascii="Cambria Math" w:hAnsi="Cambria Math" w:cs="Cambria Math"/>
                <w:sz w:val="21"/>
              </w:rPr>
              <m:t>Q</m:t>
            </m:r>
          </m:e>
          <m:sub>
            <m:r>
              <w:rPr>
                <w:rFonts w:ascii="Cambria Math" w:hAnsi="Cambria Math" w:cs="Cambria Math"/>
                <w:sz w:val="21"/>
              </w:rPr>
              <m:t>c</m:t>
            </m:r>
          </m:sub>
        </m:sSub>
        <m:r>
          <w:rPr>
            <w:rFonts w:ascii="Cambria Math" w:hAnsi="Cambria Math" w:cs="Cambria Math"/>
            <w:sz w:val="21"/>
          </w:rPr>
          <m:t>=</m:t>
        </m:r>
        <m:r>
          <w:rPr>
            <w:rFonts w:ascii="Cambria Math" w:hAnsi="Cambria Math" w:cs="Cambria Math"/>
            <w:sz w:val="21"/>
          </w:rPr>
          <m:rPr>
            <m:sty m:val="p"/>
          </m:rPr>
          <m:t>min</m:t>
        </m:r>
        <m:r>
          <w:rPr>
            <w:rFonts w:ascii="Cambria Math" w:hAnsi="Cambria Math" w:cs="Cambria Math"/>
            <w:sz w:val="21"/>
          </w:rPr>
          <m:t>(</m:t>
        </m:r>
        <m:sSub>
          <m:e>
            <m:r>
              <w:rPr>
                <w:rFonts w:ascii="Cambria Math" w:hAnsi="Cambria Math" w:cs="Cambria Math"/>
                <w:sz w:val="21"/>
              </w:rPr>
              <m:t>M</m:t>
            </m:r>
          </m:e>
          <m:sub>
            <m:r>
              <w:rPr>
                <w:rFonts w:ascii="Cambria Math" w:hAnsi="Cambria Math" w:cs="Cambria Math"/>
                <w:sz w:val="21"/>
              </w:rPr>
              <m:t>c</m:t>
            </m:r>
          </m:sub>
        </m:sSub>
        <m:r>
          <w:rPr>
            <w:rFonts w:ascii="Cambria Math" w:hAnsi="Cambria Math" w:cs="Cambria Math"/>
            <w:sz w:val="21"/>
          </w:rPr>
          <m:t>/0.15,1),</m:t>
        </m:r>
        <m:sSub>
          <m:e>
            <m:r>
              <w:rPr>
                <w:rFonts w:ascii="Cambria Math" w:hAnsi="Cambria Math" w:cs="Cambria Math"/>
                <w:sz w:val="21"/>
              </w:rPr>
              <m:t>w</m:t>
            </m:r>
          </m:e>
          <m:sub>
            <m:r>
              <w:rPr>
                <w:rFonts w:ascii="Cambria Math" w:hAnsi="Cambria Math" w:cs="Cambria Math"/>
                <w:sz w:val="21"/>
              </w:rPr>
              <m:t>c</m:t>
            </m:r>
          </m:sub>
        </m:sSub>
        <m:r>
          <w:rPr>
            <w:rFonts w:ascii="Cambria Math" w:hAnsi="Cambria Math" w:cs="Cambria Math"/>
            <w:sz w:val="21"/>
          </w:rPr>
          <m:t>=</m:t>
        </m:r>
        <m:sSubSup>
          <m:e>
            <m:r>
              <w:rPr>
                <w:rFonts w:ascii="Cambria Math" w:hAnsi="Cambria Math" w:cs="Cambria Math"/>
                <w:sz w:val="21"/>
              </w:rPr>
              <m:t>g</m:t>
            </m:r>
          </m:e>
          <m:sub>
            <m:r>
              <w:rPr>
                <w:rFonts w:ascii="Cambria Math" w:hAnsi="Cambria Math" w:cs="Cambria Math"/>
                <w:sz w:val="21"/>
              </w:rPr>
              <m:t>x,c</m:t>
            </m:r>
          </m:sub>
          <m:sup>
            <m:r>
              <w:rPr>
                <w:rFonts w:ascii="Cambria Math" w:hAnsi="Cambria Math" w:cs="Cambria Math"/>
                <w:sz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</w:rPr>
          <m:t>+</m:t>
        </m:r>
        <m:sSubSup>
          <m:e>
            <m:r>
              <w:rPr>
                <w:rFonts w:ascii="Cambria Math" w:hAnsi="Cambria Math" w:cs="Cambria Math"/>
                <w:sz w:val="21"/>
              </w:rPr>
              <m:t>g</m:t>
            </m:r>
          </m:e>
          <m:sub>
            <m:r>
              <w:rPr>
                <w:rFonts w:ascii="Cambria Math" w:hAnsi="Cambria Math" w:cs="Cambria Math"/>
                <w:sz w:val="21"/>
              </w:rPr>
              <m:t>y,c</m:t>
            </m:r>
          </m:sub>
          <m:sup>
            <m:r>
              <w:rPr>
                <w:rFonts w:ascii="Cambria Math" w:hAnsi="Cambria Math" w:cs="Cambria Math"/>
                <w:sz w:val="21"/>
              </w:rPr>
              <m:t>2</m:t>
            </m:r>
          </m:sup>
        </m:sSubSup>
        <m:r>
          <w:rPr>
            <w:rFonts w:ascii="Cambria Math" w:hAnsi="Cambria Math" w:cs="Cambria Math"/>
            <w:sz w:val="21"/>
          </w:rPr>
          <m:t>,</m:t>
        </m:r>
        <m:sSub>
          <m:e>
            <m:r>
              <w:rPr>
                <w:rFonts w:ascii="Cambria Math" w:hAnsi="Cambria Math" w:cs="Cambria Math"/>
                <w:sz w:val="21"/>
              </w:rPr>
              <m:t>Q</m:t>
            </m:r>
          </m:e>
          <m:sub>
            <m:r>
              <w:rPr>
                <w:rFonts w:ascii="Cambria Math" w:hAnsi="Cambria Math" w:cs="Cambria Math"/>
                <w:sz w:val="21"/>
              </w:rPr>
              <m:t>RGB</m:t>
            </m:r>
          </m:sub>
        </m:sSub>
        <m:r>
          <w:rPr>
            <w:rFonts w:ascii="Cambria Math" w:hAnsi="Cambria Math" w:cs="Cambria Math"/>
            <w:sz w:val="21"/>
          </w:rPr>
          <m:t>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w:rPr>
                    <w:rFonts w:ascii="Cambria Math" w:hAnsi="Cambria Math" w:cs="Cambria Math"/>
                    <w:sz w:val="21"/>
                  </w:rPr>
                  <m:t>c</m:t>
                </m:r>
              </m:sub>
              <m:sup/>
              <m:e>
                <m:sSub>
                  <m:e>
                    <m:r>
                      <w:rPr>
                        <w:rFonts w:ascii="Cambria Math" w:hAnsi="Cambria Math" w:cs="Cambria Math"/>
                        <w:sz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</w:rPr>
                      <m:t>c</m:t>
                    </m:r>
                  </m:sub>
                </m:sSub>
              </m:e>
            </m:nary>
            <m:sSub>
              <m:e>
                <m:r>
                  <w:rPr>
                    <w:rFonts w:ascii="Cambria Math" w:hAnsi="Cambria Math" w:cs="Cambria Math"/>
                    <w:sz w:val="21"/>
                  </w:rPr>
                  <m:t>Q</m:t>
                </m:r>
              </m:e>
              <m:sub>
                <m:r>
                  <w:rPr>
                    <w:rFonts w:ascii="Cambria Math" w:hAnsi="Cambria Math" w:cs="Cambria Math"/>
                    <w:sz w:val="21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="Cambria Math"/>
                <w:sz w:val="21"/>
              </w:rPr>
              <m:rPr>
                <m:sty m:val="p"/>
              </m:rPr>
              <m:t>max</m:t>
            </m:r>
            <m:r>
              <w:rPr>
                <w:rFonts w:ascii="Cambria Math" w:hAnsi="Cambria Math" w:cs="Cambria Math"/>
                <w:sz w:val="21"/>
              </w:rPr>
              <m:t>(</m:t>
            </m:r>
            <m:nary>
              <m:naryPr>
                <m:chr m:val="∑"/>
                <m:limLoc m:val="subSup"/>
                <m:grow m:val="1"/>
                <m:subHide m:val="off"/>
                <m:supHide m:val="on"/>
              </m:naryPr>
              <m:sub>
                <m:r>
                  <w:rPr>
                    <w:rFonts w:ascii="Cambria Math" w:hAnsi="Cambria Math" w:cs="Cambria Math"/>
                    <w:sz w:val="21"/>
                  </w:rPr>
                  <m:t>c</m:t>
                </m:r>
              </m:sub>
              <m:sup/>
              <m:e>
                <m:sSub>
                  <m:e>
                    <m:r>
                      <w:rPr>
                        <w:rFonts w:ascii="Cambria Math" w:hAnsi="Cambria Math" w:cs="Cambria Math"/>
                        <w:sz w:val="21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1"/>
                      </w:rPr>
                      <m:t>c</m:t>
                    </m:r>
                  </m:sub>
                </m:sSub>
              </m:e>
            </m:nary>
            <m:r>
              <w:rPr>
                <w:rFonts w:ascii="Cambria Math" w:hAnsi="Cambria Math" w:cs="Cambria Math"/>
                <w:sz w:val="21"/>
              </w:rPr>
              <m:t>,ε)</m:t>
            </m:r>
          </m:den>
        </m:f>
        <m:r>
          <w:rPr>
            <w:rFonts w:ascii="Cambria Math" w:hAnsi="Cambria Math" w:cs="Cambria Math"/>
            <w:sz w:val="21"/>
          </w:rPr>
          <m:t>,</m:t>
        </m:r>
        <m:r>
          <w:rPr>
            <w:rFonts w:ascii="Cambria Math" w:hAnsi="Cambria Math" w:cs="Cambria Math"/>
            <w:sz w:val="21"/>
          </w:rPr>
          <m:t>Q=0.75</m:t>
        </m:r>
        <m:sSub>
          <m:e>
            <m:r>
              <w:rPr>
                <w:rFonts w:ascii="Cambria Math" w:hAnsi="Cambria Math" w:cs="Cambria Math"/>
                <w:sz w:val="21"/>
              </w:rPr>
              <m:t>Q</m:t>
            </m:r>
          </m:e>
          <m:sub>
            <m:r>
              <w:rPr>
                <w:rFonts w:ascii="Cambria Math" w:hAnsi="Cambria Math" w:cs="Cambria Math"/>
                <w:sz w:val="21"/>
              </w:rPr>
              <m:t>Y</m:t>
            </m:r>
          </m:sub>
        </m:sSub>
        <m:r>
          <w:rPr>
            <w:rFonts w:ascii="Cambria Math" w:hAnsi="Cambria Math" w:cs="Cambria Math"/>
            <w:sz w:val="21"/>
          </w:rPr>
          <m:t>+0.25</m:t>
        </m:r>
        <m:sSub>
          <m:e>
            <m:r>
              <w:rPr>
                <w:rFonts w:ascii="Cambria Math" w:hAnsi="Cambria Math" w:cs="Cambria Math"/>
                <w:sz w:val="21"/>
              </w:rPr>
              <m:t>Q</m:t>
            </m:r>
          </m:e>
          <m:sub>
            <m:r>
              <w:rPr>
                <w:rFonts w:ascii="Cambria Math" w:hAnsi="Cambria Math" w:cs="Cambria Math"/>
                <w:sz w:val="21"/>
              </w:rPr>
              <m:t>RGB</m:t>
            </m:r>
          </m:sub>
        </m:sSub>
        <m:r>
          <w:rPr>
            <w:rFonts w:ascii="Cambria Math" w:hAnsi="Cambria Math" w:cs="Cambria Math"/>
            <w:sz w:val="21"/>
          </w:rPr>
          <m:t>.</m:t>
        </m:r>
      </m:oMath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颜色求和仅包含R、G、B，零能量处令</w:t>
      </w:r>
      <m:oMath>
        <m:sSub>
          <m:e>
            <m:r>
              <w:rPr>
                <w:rFonts w:ascii="Cambria Math" w:hAnsi="Cambria Math" w:cs="Cambria Math"/>
                <w:sz w:val="21"/>
              </w:rPr>
              <m:t>Q</m:t>
            </m:r>
          </m:e>
          <m:sub>
            <m:r>
              <w:rPr>
                <w:rFonts w:ascii="Cambria Math" w:hAnsi="Cambria Math" w:cs="Cambria Math"/>
                <w:sz w:val="21"/>
              </w:rPr>
              <m:t>RGB</m:t>
            </m:r>
          </m:sub>
        </m:sSub>
        <m:r>
          <w:rPr>
            <w:rFonts w:ascii="Cambria Math" w:hAnsi="Cambria Math" w:cs="Cambria Math"/>
            <w:sz w:val="21"/>
          </w:rPr>
          <m:t>=0</m:t>
        </m:r>
      </m:oMath>
      <w:r>
        <w:rPr>
          <w:rFonts w:ascii="Times New Roman" w:hAnsi="Times New Roman" w:eastAsia="宋体"/>
          <w:b w:val="0"/>
          <w:sz w:val="21"/>
        </w:rPr>
        <w:t>。共同相位支持及弱连接响应为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m:oMath>
        <m:r>
          <w:rPr>
            <w:rFonts w:ascii="Cambria Math" w:hAnsi="Cambria Math" w:cs="Cambria Math"/>
            <w:sz w:val="21"/>
          </w:rPr>
          <m:t>S=N(0.75+0.25Q),</m:t>
        </m:r>
        <m:sSub>
          <m:e>
            <m:r>
              <w:rPr>
                <w:rFonts w:ascii="Cambria Math" w:hAnsi="Cambria Math" w:cs="Cambria Math"/>
                <w:sz w:val="21"/>
              </w:rPr>
              <m:t>S</m:t>
            </m:r>
          </m:e>
          <m:sub>
            <m:r>
              <w:rPr>
                <w:rFonts w:ascii="Cambria Math" w:hAnsi="Cambria Math" w:cs="Cambria Math"/>
                <w:sz w:val="21"/>
              </w:rPr>
              <m:t>seed</m:t>
            </m:r>
          </m:sub>
        </m:sSub>
        <m:r>
          <w:rPr>
            <w:rFonts w:ascii="Cambria Math" w:hAnsi="Cambria Math" w:cs="Cambria Math"/>
            <w:sz w:val="21"/>
          </w:rPr>
          <m:t>=S,</m:t>
        </m:r>
        <m:sSub>
          <m:e>
            <m:r>
              <w:rPr>
                <w:rFonts w:ascii="Cambria Math" w:hAnsi="Cambria Math" w:cs="Cambria Math"/>
                <w:sz w:val="21"/>
              </w:rPr>
              <m:t>S</m:t>
            </m:r>
          </m:e>
          <m:sub>
            <m:r>
              <w:rPr>
                <w:rFonts w:ascii="Cambria Math" w:hAnsi="Cambria Math" w:cs="Cambria Math"/>
                <w:sz w:val="21"/>
              </w:rPr>
              <m:t>link</m:t>
            </m:r>
          </m:sub>
        </m:sSub>
        <m:r>
          <w:rPr>
            <w:rFonts w:ascii="Cambria Math" w:hAnsi="Cambria Math" w:cs="Cambria Math"/>
            <w:sz w:val="21"/>
          </w:rPr>
          <m:t>=S[1-0.125(1-Q)].</m:t>
        </m:r>
      </m:oMath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强种子由</w:t>
      </w:r>
      <m:oMath>
        <m:sSub>
          <m:e>
            <m:r>
              <w:rPr>
                <w:rFonts w:ascii="Cambria Math" w:hAnsi="Cambria Math" w:cs="Cambria Math"/>
                <w:sz w:val="21"/>
              </w:rPr>
              <m:t>S</m:t>
            </m:r>
          </m:e>
          <m:sub>
            <m:r>
              <w:rPr>
                <w:rFonts w:ascii="Cambria Math" w:hAnsi="Cambria Math" w:cs="Cambria Math"/>
                <w:sz w:val="21"/>
              </w:rPr>
              <m:t>seed</m:t>
            </m:r>
          </m:sub>
        </m:sSub>
        <m:r>
          <w:rPr>
            <w:rFonts w:ascii="Cambria Math" w:hAnsi="Cambria Math" w:cs="Cambria Math"/>
            <w:sz w:val="21"/>
          </w:rPr>
          <m:t>≥0.32</m:t>
        </m:r>
      </m:oMath>
      <w:r>
        <w:rPr>
          <w:rFonts w:ascii="Times New Roman" w:hAnsi="Times New Roman" w:eastAsia="宋体"/>
          <w:b w:val="0"/>
          <w:sz w:val="21"/>
        </w:rPr>
        <w:t>确定，弱图由</w:t>
      </w:r>
      <m:oMath>
        <m:sSub>
          <m:e>
            <m:r>
              <w:rPr>
                <w:rFonts w:ascii="Cambria Math" w:hAnsi="Cambria Math" w:cs="Cambria Math"/>
                <w:sz w:val="21"/>
              </w:rPr>
              <m:t>S</m:t>
            </m:r>
          </m:e>
          <m:sub>
            <m:r>
              <w:rPr>
                <w:rFonts w:ascii="Cambria Math" w:hAnsi="Cambria Math" w:cs="Cambria Math"/>
                <w:sz w:val="21"/>
              </w:rPr>
              <m:t>link</m:t>
            </m:r>
          </m:sub>
        </m:sSub>
        <m:r>
          <w:rPr>
            <w:rFonts w:ascii="Cambria Math" w:hAnsi="Cambria Math" w:cs="Cambria Math"/>
            <w:sz w:val="21"/>
          </w:rPr>
          <m:t>≥0.096</m:t>
        </m:r>
      </m:oMath>
      <w:r>
        <w:rPr>
          <w:rFonts w:ascii="Times New Roman" w:hAnsi="Times New Roman" w:eastAsia="宋体"/>
          <w:b w:val="0"/>
          <w:sz w:val="21"/>
        </w:rPr>
        <w:t>确定，低高阈值比为0.3。随后用8邻接重建保留与强种子连通的弱响应，再细化至收敛，并将最外一圈置零。所谓保护强种子，是不对其施加额外门控；种子此前仍经过共同相位支持。门控越严格，越可能同时删除误检与真实弱边，因此需要消融判断其实际收益。</w:t>
      </w:r>
    </w:p>
    <w:p>
      <w:pPr>
        <w:keepNext/>
        <w:keepLines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16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test200_rgb_spectra_and_respon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16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w:r>
        <w:rPr>
          <w:rFonts w:ascii="Times New Roman" w:hAnsi="Times New Roman" w:eastAsia="宋体"/>
          <w:b/>
          <w:sz w:val="21"/>
        </w:rPr>
        <w:t>图1RGB频谱与中间响应。</w:t>
      </w:r>
      <w:r>
        <w:rPr>
          <w:rFonts w:ascii="Times New Roman" w:hAnsi="Times New Roman" w:eastAsia="宋体"/>
          <w:b w:val="0"/>
          <w:sz w:val="21"/>
        </w:rPr>
        <w:t>固定示例bsds_2018，上行为R、G、B的对数幅度谱，各通道分别归一化，不能据显示亮度比较绝对能量；下行为强种子响应、弱连接门控响应和最终边缘。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全部实验使用MATLAB R2026b与Image Processing Toolbox，无需GPU。主入口</w:t>
      </w:r>
      <w:r>
        <w:rPr>
          <w:rFonts w:ascii="Times New Roman" w:hAnsi="Times New Roman" w:eastAsia="宋体"/>
          <w:b w:val="0"/>
          <w:sz w:val="21"/>
        </w:rPr>
        <w:t>course_fourier_edges</w:t>
      </w:r>
      <w:r>
        <w:rPr>
          <w:rFonts w:ascii="Times New Roman" w:hAnsi="Times New Roman" w:eastAsia="宋体"/>
          <w:b w:val="0"/>
          <w:sz w:val="21"/>
        </w:rPr>
        <w:t>依次完成频域导数、张量融合、NMS、相位支持与连接；</w:t>
      </w:r>
      <w:r>
        <w:rPr>
          <w:rFonts w:ascii="Times New Roman" w:hAnsi="Times New Roman" w:eastAsia="宋体"/>
          <w:b w:val="0"/>
          <w:sz w:val="21"/>
        </w:rPr>
        <w:t>run_natural_demo</w:t>
      </w:r>
      <w:r>
        <w:rPr>
          <w:rFonts w:ascii="Times New Roman" w:hAnsi="Times New Roman" w:eastAsia="宋体"/>
          <w:b w:val="0"/>
          <w:sz w:val="21"/>
        </w:rPr>
        <w:t>提供程序演示入口。</w:t>
      </w:r>
    </w:p>
    <w:p>
      <w:pPr>
        <w:keepNext/>
        <w:keepLines w:val="0"/>
        <w:widowControl/>
        <w:spacing w:before="126" w:after="0" w:line="288" w:lineRule="auto"/>
        <w:ind w:firstLine="0"/>
        <w:snapToGrid w:val="0"/>
        <w:autoSpaceDE w:val="0"/>
        <w:autoSpaceDN w:val="0"/>
        <w:outlineLvl w:val="0"/>
      </w:pPr>
      <w:r>
        <w:rPr>
          <w:rFonts w:ascii="Times New Roman" w:hAnsi="Times New Roman" w:eastAsia="宋体"/>
          <w:b/>
          <w:sz w:val="24"/>
        </w:rPr>
        <w:t>3实验设置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采用BSDS500完整200张官方测试图，保留原生321×481或481×321尺寸及全部多人标注[9]。100张验证图在历史实验中已观察，其中12张用于本轮配置选择、88张用于补充验证；200张测试图此前也已观察。因此，以下实验属于冻结配置后的回归与补充分析，不能作为新的盲测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比较RGB主方法、灰度FFT＋相位、Sobel、Canny、理想高通和高斯高通。灰度对照采用相同导数尺度、相位权重及双阈值，不含颜色融合或额外弱连接门控。Sobel自动阈值乘0.75；Canny的高斯尺度为1.8，低、高阈值为0.096、0.24；两种高通截止频率为0.06cycles/pixel，Otsu阈值乘1.25。Sobel、Canny通过MATLAB接口实现[10]。各方法沿用已冻结配置，历史选参指标和预算存在差异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评分采用官方匹配器，容差为图像对角线的0.0075倍，</w:t>
      </w:r>
      <w:r>
        <w:rPr>
          <w:rFonts w:ascii="Times New Roman" w:hAnsi="Times New Roman" w:eastAsia="宋体"/>
          <w:b w:val="0"/>
          <w:sz w:val="21"/>
        </w:rPr>
        <w:t>thin=1</w:t>
      </w:r>
      <w:r>
        <w:rPr>
          <w:rFonts w:ascii="Times New Roman" w:hAnsi="Times New Roman" w:eastAsia="宋体"/>
          <w:b w:val="0"/>
          <w:sz w:val="21"/>
        </w:rPr>
        <w:t>，不另裁评分边框。Precision的预测匹配支持取各标注结果并集，Recall则汇总全部标注的匹配计数。设逐图计数为</w:t>
      </w:r>
      <m:oMath>
        <m:sSubSup>
          <m:e>
            <m:r>
              <w:rPr>
                <w:rFonts w:ascii="Cambria Math" w:hAnsi="Cambria Math" w:cs="Cambria Math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 w:val="21"/>
              </w:rPr>
              <m:t>i</m:t>
            </m:r>
          </m:sub>
          <m:sup>
            <m:r>
              <w:rPr>
                <w:rFonts w:ascii="Cambria Math" w:hAnsi="Cambria Math" w:cs="Cambria Math"/>
                <w:sz w:val="21"/>
              </w:rPr>
              <m:t>P</m:t>
            </m:r>
          </m:sup>
        </m:sSubSup>
        <m:r>
          <w:rPr>
            <w:rFonts w:ascii="Cambria Math" w:hAnsi="Cambria Math" w:cs="Cambria Math"/>
            <w:sz w:val="21"/>
          </w:rPr>
          <m:t>,</m:t>
        </m:r>
        <m:sSubSup>
          <m:e>
            <m:r>
              <w:rPr>
                <w:rFonts w:ascii="Cambria Math" w:hAnsi="Cambria Math" w:cs="Cambria Math"/>
                <w:sz w:val="21"/>
              </w:rPr>
              <m:t>n</m:t>
            </m:r>
          </m:e>
          <m:sub>
            <m:r>
              <w:rPr>
                <w:rFonts w:ascii="Cambria Math" w:hAnsi="Cambria Math" w:cs="Cambria Math"/>
                <w:sz w:val="21"/>
              </w:rPr>
              <m:t>i</m:t>
            </m:r>
          </m:sub>
          <m:sup>
            <m:r>
              <w:rPr>
                <w:rFonts w:ascii="Cambria Math" w:hAnsi="Cambria Math" w:cs="Cambria Math"/>
                <w:sz w:val="21"/>
              </w:rPr>
              <m:t>P</m:t>
            </m:r>
          </m:sup>
        </m:sSubSup>
        <m:r>
          <w:rPr>
            <w:rFonts w:ascii="Cambria Math" w:hAnsi="Cambria Math" w:cs="Cambria Math"/>
            <w:sz w:val="21"/>
          </w:rPr>
          <m:t>,</m:t>
        </m:r>
        <m:sSubSup>
          <m:e>
            <m:r>
              <w:rPr>
                <w:rFonts w:ascii="Cambria Math" w:hAnsi="Cambria Math" w:cs="Cambria Math"/>
                <w:sz w:val="21"/>
              </w:rPr>
              <m:t>c</m:t>
            </m:r>
          </m:e>
          <m:sub>
            <m:r>
              <w:rPr>
                <w:rFonts w:ascii="Cambria Math" w:hAnsi="Cambria Math" w:cs="Cambria Math"/>
                <w:sz w:val="21"/>
              </w:rPr>
              <m:t>i</m:t>
            </m:r>
          </m:sub>
          <m:sup>
            <m:r>
              <w:rPr>
                <w:rFonts w:ascii="Cambria Math" w:hAnsi="Cambria Math" w:cs="Cambria Math"/>
                <w:sz w:val="21"/>
              </w:rPr>
              <m:t>R</m:t>
            </m:r>
          </m:sup>
        </m:sSubSup>
        <m:r>
          <w:rPr>
            <w:rFonts w:ascii="Cambria Math" w:hAnsi="Cambria Math" w:cs="Cambria Math"/>
            <w:sz w:val="21"/>
          </w:rPr>
          <m:t>,</m:t>
        </m:r>
        <m:sSubSup>
          <m:e>
            <m:r>
              <w:rPr>
                <w:rFonts w:ascii="Cambria Math" w:hAnsi="Cambria Math" w:cs="Cambria Math"/>
                <w:sz w:val="21"/>
              </w:rPr>
              <m:t>n</m:t>
            </m:r>
          </m:e>
          <m:sub>
            <m:r>
              <w:rPr>
                <w:rFonts w:ascii="Cambria Math" w:hAnsi="Cambria Math" w:cs="Cambria Math"/>
                <w:sz w:val="21"/>
              </w:rPr>
              <m:t>i</m:t>
            </m:r>
          </m:sub>
          <m:sup>
            <m:r>
              <w:rPr>
                <w:rFonts w:ascii="Cambria Math" w:hAnsi="Cambria Math" w:cs="Cambria Math"/>
                <w:sz w:val="21"/>
              </w:rPr>
              <m:t>R</m:t>
            </m:r>
          </m:sup>
        </m:sSubSup>
      </m:oMath>
      <w:r>
        <w:rPr>
          <w:rFonts w:ascii="Times New Roman" w:hAnsi="Times New Roman" w:eastAsia="宋体"/>
          <w:b w:val="0"/>
          <w:sz w:val="21"/>
        </w:rPr>
        <w:t>，则</w:t>
      </w:r>
      <m:oMath>
        <m:r>
          <w:rPr>
            <w:rFonts w:ascii="Cambria Math" w:hAnsi="Cambria Math" w:cs="Cambria Math"/>
            <w:sz w:val="21"/>
          </w:rPr>
          <m:t>P=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 w:cs="Cambria Math"/>
                <w:sz w:val="21"/>
              </w:rPr>
              <m:t>i</m:t>
            </m:r>
          </m:sub>
          <m:sup/>
          <m:e>
            <m:sSubSup>
              <m:e>
                <m:r>
                  <w:rPr>
                    <w:rFonts w:ascii="Cambria Math" w:hAnsi="Cambria Math" w:cs="Cambria Math"/>
                    <w:sz w:val="21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  <w:sz w:val="21"/>
                  </w:rPr>
                  <m:t>i</m:t>
                </m:r>
              </m:sub>
              <m:sup>
                <m:r>
                  <w:rPr>
                    <w:rFonts w:ascii="Cambria Math" w:hAnsi="Cambria Math" w:cs="Cambria Math"/>
                    <w:sz w:val="21"/>
                  </w:rPr>
                  <m:t>P</m:t>
                </m:r>
              </m:sup>
            </m:sSubSup>
          </m:e>
        </m:nary>
        <m:r>
          <w:rPr>
            <w:rFonts w:ascii="Cambria Math" w:hAnsi="Cambria Math" w:cs="Cambria Math"/>
            <w:sz w:val="21"/>
          </w:rPr>
          <m:t>/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 w:cs="Cambria Math"/>
                <w:sz w:val="21"/>
              </w:rPr>
              <m:t>i</m:t>
            </m:r>
          </m:sub>
          <m:sup/>
          <m:e>
            <m:sSubSup>
              <m:e>
                <m:r>
                  <w:rPr>
                    <w:rFonts w:ascii="Cambria Math" w:hAnsi="Cambria Math" w:cs="Cambria Math"/>
                    <w:sz w:val="21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  <w:sz w:val="21"/>
                  </w:rPr>
                  <m:t>i</m:t>
                </m:r>
              </m:sub>
              <m:sup>
                <m:r>
                  <w:rPr>
                    <w:rFonts w:ascii="Cambria Math" w:hAnsi="Cambria Math" w:cs="Cambria Math"/>
                    <w:sz w:val="21"/>
                  </w:rPr>
                  <m:t>P</m:t>
                </m:r>
              </m:sup>
            </m:sSubSup>
          </m:e>
        </m:nary>
      </m:oMath>
      <w:r>
        <w:rPr>
          <w:rFonts w:ascii="Times New Roman" w:hAnsi="Times New Roman" w:eastAsia="宋体"/>
          <w:b w:val="0"/>
          <w:sz w:val="21"/>
        </w:rPr>
        <w:t>、</w:t>
      </w:r>
      <m:oMath>
        <m:r>
          <w:rPr>
            <w:rFonts w:ascii="Cambria Math" w:hAnsi="Cambria Math" w:cs="Cambria Math"/>
            <w:sz w:val="21"/>
          </w:rPr>
          <m:t>R=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 w:cs="Cambria Math"/>
                <w:sz w:val="21"/>
              </w:rPr>
              <m:t>i</m:t>
            </m:r>
          </m:sub>
          <m:sup/>
          <m:e>
            <m:sSubSup>
              <m:e>
                <m:r>
                  <w:rPr>
                    <w:rFonts w:ascii="Cambria Math" w:hAnsi="Cambria Math" w:cs="Cambria Math"/>
                    <w:sz w:val="21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  <w:sz w:val="21"/>
                  </w:rPr>
                  <m:t>i</m:t>
                </m:r>
              </m:sub>
              <m:sup>
                <m:r>
                  <w:rPr>
                    <w:rFonts w:ascii="Cambria Math" w:hAnsi="Cambria Math" w:cs="Cambria Math"/>
                    <w:sz w:val="21"/>
                  </w:rPr>
                  <m:t>R</m:t>
                </m:r>
              </m:sup>
            </m:sSubSup>
          </m:e>
        </m:nary>
        <m:r>
          <w:rPr>
            <w:rFonts w:ascii="Cambria Math" w:hAnsi="Cambria Math" w:cs="Cambria Math"/>
            <w:sz w:val="21"/>
          </w:rPr>
          <m:t>/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 w:cs="Cambria Math"/>
                <w:sz w:val="21"/>
              </w:rPr>
              <m:t>i</m:t>
            </m:r>
          </m:sub>
          <m:sup/>
          <m:e>
            <m:sSubSup>
              <m:e>
                <m:r>
                  <w:rPr>
                    <w:rFonts w:ascii="Cambria Math" w:hAnsi="Cambria Math" w:cs="Cambria Math"/>
                    <w:sz w:val="21"/>
                  </w:rPr>
                  <m:t>n</m:t>
                </m:r>
              </m:e>
              <m:sub>
                <m:r>
                  <w:rPr>
                    <w:rFonts w:ascii="Cambria Math" w:hAnsi="Cambria Math" w:cs="Cambria Math"/>
                    <w:sz w:val="21"/>
                  </w:rPr>
                  <m:t>i</m:t>
                </m:r>
              </m:sub>
              <m:sup>
                <m:r>
                  <w:rPr>
                    <w:rFonts w:ascii="Cambria Math" w:hAnsi="Cambria Math" w:cs="Cambria Math"/>
                    <w:sz w:val="21"/>
                  </w:rPr>
                  <m:t>R</m:t>
                </m:r>
              </m:sup>
            </m:sSubSup>
          </m:e>
        </m:nary>
      </m:oMath>
      <w:r>
        <w:rPr>
          <w:rFonts w:ascii="Times New Roman" w:hAnsi="Times New Roman" w:eastAsia="宋体"/>
          <w:b w:val="0"/>
          <w:sz w:val="21"/>
        </w:rPr>
        <w:t>，</w:t>
      </w:r>
      <m:oMath>
        <m:sSub>
          <m:e>
            <m:r>
              <w:rPr>
                <w:rFonts w:ascii="Cambria Math" w:hAnsi="Cambria Math" w:cs="Cambria Math"/>
                <w:sz w:val="21"/>
              </w:rPr>
              <m:t>F</m:t>
            </m:r>
          </m:e>
          <m:sub>
            <m:r>
              <w:rPr>
                <w:rFonts w:ascii="Cambria Math" w:hAnsi="Cambria Math" w:cs="Cambria Math"/>
                <w:sz w:val="21"/>
              </w:rPr>
              <m:t>1</m:t>
            </m:r>
          </m:sub>
        </m:sSub>
        <m:r>
          <w:rPr>
            <w:rFonts w:ascii="Cambria Math" w:hAnsi="Cambria Math" w:cs="Cambria Math"/>
            <w:sz w:val="21"/>
          </w:rPr>
          <m:t>=2PR/(P+R)</m:t>
        </m:r>
      </m:oMath>
      <w:r>
        <w:rPr>
          <w:rFonts w:ascii="Times New Roman" w:hAnsi="Times New Roman" w:eastAsia="宋体"/>
          <w:b w:val="0"/>
          <w:sz w:val="21"/>
        </w:rPr>
        <w:t>。另报逐图F1的宏平均。此处Precision表示预测边缘的查准率，不等同于像素准确率；人工边缘并集仅用于显示。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采用20000次按图配对bootstrap。主比较中，RGB对5种对照的P/F1共10项使用99.5%双侧区间作Bonferroni校正；消融的5个预定对比×P/F1另作同样校正。Recall及宏平均差值用95%描述区间。噪声比较单独对RGB减灰度/Canny的三档F1共6项使用99.1667%区间，各比较族分别校正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消融在200张图上设置灰度/RGB与相位关/开的2×2配置，再加入最终门控，统一使用高阈值0.32、低高比0.3。噪声实验固定取测试清单数值ID排序前10张，对0—1的RGB通道独立添加标准差0.02、0.05、0.10的零均值高斯噪声，截断后量化为uint8。种子为42、137、2026加每图固定偏移，同图同种子跨强度共享标准噪声场；所有方法处理同一输入。三个种子的匹配计数先在图内平均，再汇总和重采样，统计单位是10张图，不是30张图。</w:t>
      </w:r>
    </w:p>
    <w:p>
      <w:pPr>
        <w:keepNext/>
        <w:keepLines w:val="0"/>
        <w:widowControl/>
        <w:spacing w:before="126" w:after="0" w:line="288" w:lineRule="auto"/>
        <w:ind w:firstLine="0"/>
        <w:snapToGrid w:val="0"/>
        <w:autoSpaceDE w:val="0"/>
        <w:autoSpaceDN w:val="0"/>
        <w:outlineLvl w:val="0"/>
      </w:pPr>
      <w:r>
        <w:rPr>
          <w:rFonts w:ascii="Times New Roman" w:hAnsi="Times New Roman" w:eastAsia="宋体"/>
          <w:b/>
          <w:sz w:val="24"/>
        </w:rPr>
        <w:t>4结果与分析</w:t>
      </w:r>
    </w:p>
    <w:p>
      <w:pPr>
        <w:keepNext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outlineLvl w:val="1"/>
      </w:pPr>
      <w:r>
        <w:rPr>
          <w:rFonts w:ascii="Times New Roman" w:hAnsi="Times New Roman" w:eastAsia="宋体"/>
          <w:b/>
          <w:sz w:val="21"/>
        </w:rPr>
        <w:t>4.1完整200图对比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表1显示，RGB主方法在六种固定配置中取得最高的Precision和F1，而Canny保留了更高的Recall。RGB主方法P/R/F1的边际95%区间分别为[52.319,58.481]%、[63.914,67.647]%和[58.031,62.228]%。</w:t>
      </w:r>
    </w:p>
    <w:p>
      <w:pPr>
        <w:keepNext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w:r>
        <w:rPr>
          <w:rFonts w:ascii="Times New Roman" w:hAnsi="Times New Roman" w:eastAsia="宋体"/>
          <w:b/>
          <w:sz w:val="21"/>
        </w:rPr>
        <w:t>表1完整200图固定工作点结果，单位：%。</w:t>
      </w:r>
      <w:r>
        <w:rPr>
          <w:rFonts w:ascii="Times New Roman" w:hAnsi="Times New Roman" w:eastAsia="宋体"/>
          <w:b w:val="0"/>
          <w:sz w:val="21"/>
        </w:rPr>
        <w:t>P/R/F1按匹配计数汇总，宏平均F1为逐图平均。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417"/>
        <w:gridCol w:w="1417"/>
        <w:gridCol w:w="1417"/>
        <w:gridCol w:w="1417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Precision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Recall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F1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宏平均F1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RGB主方法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55.381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65.816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60.149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59.771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灰度FFT＋相位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54.503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66.069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59.731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59.394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Sobel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40.154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74.211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52.112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51.900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Canny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46.840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78.097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58.558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58.969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理想高通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37.137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70.161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48.567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48.847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高斯高通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35.833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71.140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47.660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48.110</w:t>
            </w:r>
          </w:p>
        </w:tc>
      </w:tr>
    </w:tbl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相对灰度，RGB主方法Precision增加0.877个百分点，99.5%配对区间为[0.682,1.087]；F1增加0.418个百分点，区间为[0.235,0.603]；Recall下降0.252个百分点。相对Canny，Precision增加8.541个百分点，F1增加1.591个百分点，后者区间为[0.462,2.741]，同时Recall低12.281个百分点。因此，本方法的优势表现为更高查准率下的F1平衡，并非全面提高所有指标。</w:t>
      </w:r>
    </w:p>
    <w:p>
      <w:pPr>
        <w:keepNext/>
        <w:keepLines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194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bsds_3063_six_metho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94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w:r>
        <w:rPr>
          <w:rFonts w:ascii="Times New Roman" w:hAnsi="Times New Roman" w:eastAsia="宋体"/>
          <w:b/>
          <w:sz w:val="21"/>
        </w:rPr>
        <w:t>图2固定示例bsds_3063的原图、人工边界显示并集与六方法结果。</w:t>
      </w:r>
      <w:r>
        <w:rPr>
          <w:rFonts w:ascii="Times New Roman" w:hAnsi="Times New Roman" w:eastAsia="宋体"/>
          <w:b w:val="0"/>
          <w:sz w:val="21"/>
        </w:rPr>
        <w:t>所有面板保留原生图幅；评分使用各位标注者的原始边界，并集不作为单一评分标签。该图按数值ID固定，不按性能筛选。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图2中RGB与灰度结果均保留飞机主要外轮廓，但遗漏部分人工标出的云层边界和机体细节。RGB单图F1约76.8%，低于灰度的77.3%，说明数据集总体收益不保证每图都改善。Canny保留更多边缘的同时也包含更多云层与局部细节响应。该例还表明，“线条更少、更干净”不能单独作为质量更好的依据。</w:t>
      </w:r>
    </w:p>
    <w:p>
      <w:pPr>
        <w:keepNext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outlineLvl w:val="1"/>
      </w:pPr>
      <w:r>
        <w:rPr>
          <w:rFonts w:ascii="Times New Roman" w:hAnsi="Times New Roman" w:eastAsia="宋体"/>
          <w:b/>
          <w:sz w:val="21"/>
        </w:rPr>
        <w:t>4.2模块消融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表2表明，颜色融合与相位支持在当前工作点分别有F1收益。无相位时，加入颜色使F1增加0.346个百分点；有相位时增加0.397个百分点。灰度和RGB路径加入相位后分别增加0.662、0.713个百分点，四项99.5%配对区间均高于0。</w:t>
      </w:r>
    </w:p>
    <w:p>
      <w:pPr>
        <w:keepNext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w:r>
        <w:rPr>
          <w:rFonts w:ascii="Times New Roman" w:hAnsi="Times New Roman" w:eastAsia="宋体"/>
          <w:b/>
          <w:sz w:val="21"/>
        </w:rPr>
        <w:t>表2完整200图模块消融，单位：%。</w:t>
      </w:r>
      <w:r>
        <w:rPr>
          <w:rFonts w:ascii="Times New Roman" w:hAnsi="Times New Roman" w:eastAsia="宋体"/>
          <w:b w:val="0"/>
          <w:sz w:val="21"/>
        </w:rPr>
        <w:t>尺度及阈值固定，RGB配置的颜色权重均为0.25。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890"/>
        <w:gridCol w:w="1890"/>
        <w:gridCol w:w="1890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Precision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Recall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  <w:shd w:fill="F2F2F2"/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F1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灰度FFT，无相位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51.107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69.969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59.068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灰度FFT＋相位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54.501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66.069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59.730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RGB融合，无相位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51.292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70.593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59.414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RGB融合＋相位，无额外门控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54.724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66.713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60.127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RGB主方法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55.375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65.818</w:t>
            </w:r>
          </w:p>
        </w:tc>
        <w:tc>
          <w:tcPr>
            <w:tcW w:type="dxa" w:w="18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keepNext w:val="0"/>
              <w:keepLines w:val="0"/>
              <w:widowControl/>
              <w:spacing w:before="0" w:after="0" w:line="288" w:lineRule="auto"/>
              <w:ind w:firstLine="0"/>
              <w:snapToGrid w:val="0"/>
              <w:autoSpaceDE w:val="0"/>
              <w:autoSpaceDN w:val="0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  <w:t>60.147</w:t>
            </w:r>
          </w:p>
        </w:tc>
      </w:tr>
    </w:tbl>
    <w:p>
      <w:pPr>
        <w:keepNext/>
        <w:keepLines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77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ablation200_module_chan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w:r>
        <w:rPr>
          <w:rFonts w:ascii="Times New Roman" w:hAnsi="Times New Roman" w:eastAsia="宋体"/>
          <w:b/>
          <w:sz w:val="21"/>
        </w:rPr>
        <w:t>图3预定模块对比的配对差值，单位：百分点。</w:t>
      </w:r>
      <w:r>
        <w:rPr>
          <w:rFonts w:ascii="Times New Roman" w:hAnsi="Times New Roman" w:eastAsia="宋体"/>
          <w:b w:val="0"/>
          <w:sz w:val="21"/>
        </w:rPr>
        <w:t>依次为无相位时加颜色、有相位时加颜色、灰度加相位、RGB加相位、额外弱连接门控。P/F1为99.5%校正区间，Recall为95%描述区间。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额外门控的效果更接近工作点调整：Precision增加0.651个百分点，Recall下降0.895个百分点，F1仅增加0.020个百分点，其99.5%区间[−0.111,0.148]跨0。不能据此认定门控独立提高或稳定维持F1。相位支持本身同样使响应衰减，移除模块会改变有效阈值，因而消融只说明固定工作点的差异，不代表每个配置独立调优后的全阈值优势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主比较与消融中相同掩膜的末位分数略有不同，来自原生匹配器等价匹配选择的微小计数波动，算法及参数未变。表1、表2分别保留本轮原始评分，不能将末位差异解释为算法改进。</w:t>
      </w:r>
    </w:p>
    <w:p>
      <w:pPr>
        <w:keepNext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outlineLvl w:val="1"/>
      </w:pPr>
      <w:r>
        <w:rPr>
          <w:rFonts w:ascii="Times New Roman" w:hAnsi="Times New Roman" w:eastAsia="宋体"/>
          <w:b/>
          <w:sz w:val="21"/>
        </w:rPr>
        <w:t>4.3高斯噪声实验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同10张图上，RGB主方法在干净、0.02、0.05、0.10噪声条件下的F1依次为65.153%、65.035%、64.425%、63.046%，最高噪声档较干净图下降约2.108个百分点。Precision由65.762%升至67.128%，但Recall由64.556%降至59.431%，反映的是检出减少带来的取舍。</w:t>
      </w:r>
    </w:p>
    <w:p>
      <w:pPr>
        <w:keepNext/>
        <w:keepLines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42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2_noise10_f1_and_paired_chang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42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pacing w:before="0" w:after="0" w:line="288" w:lineRule="auto"/>
        <w:ind w:firstLine="0"/>
        <w:snapToGrid w:val="0"/>
        <w:autoSpaceDE w:val="0"/>
        <w:autoSpaceDN w:val="0"/>
        <w:jc w:val="center"/>
      </w:pPr>
      <w:r>
        <w:rPr>
          <w:rFonts w:ascii="Times New Roman" w:hAnsi="Times New Roman" w:eastAsia="宋体"/>
          <w:b/>
          <w:sz w:val="21"/>
        </w:rPr>
        <w:t>图4六方法在固定10图上的噪声表现。</w:t>
      </w:r>
      <w:r>
        <w:rPr>
          <w:rFonts w:ascii="Times New Roman" w:hAnsi="Times New Roman" w:eastAsia="宋体"/>
          <w:b w:val="0"/>
          <w:sz w:val="21"/>
        </w:rPr>
        <w:t>左图为F1曲线，仅RGB主方法显示边际95%区间带；右图为RGB减灰度/Canny的F1差值及99.1667%校正区间。每图三个种子先平均，bootstrap以图为单位。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RGB相对灰度的三档F1差值区间均跨0；相对Canny，仅0.02档区间[0.809,3.173]个百分点整体高于0，其余两档跨0。因此，现有实验不支持RGB普遍优于灰度的抗噪结论。两种高通方法在0.10档下降较大，显示仅保留高频容易受到该类退化影响。灰度由同一噪声RGB转换，其实际噪声强度不等于RGB单通道标准差。此外，10图干净F1高于全200图结果是图像范围不同，不能解释为噪声带来提升。</w:t>
      </w:r>
    </w:p>
    <w:p>
      <w:pPr>
        <w:keepNext/>
        <w:keepLines w:val="0"/>
        <w:widowControl/>
        <w:spacing w:before="126" w:after="0" w:line="288" w:lineRule="auto"/>
        <w:ind w:firstLine="0"/>
        <w:snapToGrid w:val="0"/>
        <w:autoSpaceDE w:val="0"/>
        <w:autoSpaceDN w:val="0"/>
        <w:outlineLvl w:val="0"/>
      </w:pPr>
      <w:r>
        <w:rPr>
          <w:rFonts w:ascii="Times New Roman" w:hAnsi="Times New Roman" w:eastAsia="宋体"/>
          <w:b/>
          <w:sz w:val="24"/>
        </w:rPr>
        <w:t>5讨论与结论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本实验用微分乘子求梯度、高斯频响控制尺度，再以颜色张量、相位支持和连接构成检测流程。纹理同样可能具有梯度和相位支持，弱轮廓也可能在平滑或连接中丢失。因此，继续加强筛选可能提高Precision，却未必提高F1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数据此前已观察，区间不覆盖历史多轮选参的不确定性；旧88图验证未满足全部F1稳定性与Recall要求，后续比较不改变该判断。各对照选参预算不同，当前RGB尚无完整PR/ODS/OIS/AP、全200图噪声、参数敏感性及严格速度基准，故结果仅适用于所列配置，不与异口径文献直接排名。</w:t>
      </w:r>
    </w:p>
    <w:p>
      <w:pPr>
        <w:keepNext w:val="0"/>
        <w:keepLines w:val="0"/>
        <w:widowControl/>
        <w:spacing w:before="0" w:after="0" w:line="288" w:lineRule="auto"/>
        <w:ind w:firstLine="42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普通二维FFT可结合彩色联合梯度与相位信息提取自然图边缘。当前200图的Precision、Recall、F1为55.38%、65.82%、60.15%，消融支持颜色融合与相位支持的收益，门控的独立F1收益尚未确认。本文将频域理论与MATLAB实验相联系，后续需以独立数据和全阈值评价检验泛化。</w:t>
      </w:r>
    </w:p>
    <w:p>
      <w:pPr>
        <w:keepNext/>
        <w:keepLines w:val="0"/>
        <w:widowControl/>
        <w:spacing w:before="126" w:after="0" w:line="288" w:lineRule="auto"/>
        <w:ind w:firstLine="0"/>
        <w:snapToGrid w:val="0"/>
        <w:autoSpaceDE w:val="0"/>
        <w:autoSpaceDN w:val="0"/>
        <w:outlineLvl w:val="0"/>
      </w:pPr>
      <w:r>
        <w:rPr>
          <w:rFonts w:ascii="Times New Roman" w:hAnsi="Times New Roman" w:eastAsia="宋体"/>
          <w:b/>
          <w:sz w:val="24"/>
        </w:rPr>
        <w:t>参考文献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 xml:space="preserve">[1]CANNY J. A computational approach to edge detection[J]. IEEE Transactions on Pattern Analysis and Machine Intelligence, 1986, PAMI-8(6): 679–698. </w:t>
      </w:r>
      <w:hyperlink r:id="rId15">
        <w:r>
          <w:rPr>
            <w:rFonts w:ascii="Times New Roman" w:hAnsi="Times New Roman" w:eastAsia="宋体"/>
            <w:b w:val="0"/>
            <w:sz w:val="21"/>
          </w:rPr>
          <w:t>DOI:10.1109/TPAMI.1986.4767851</w:t>
        </w:r>
      </w:hyperlink>
      <w:r>
        <w:rPr>
          <w:rFonts w:ascii="Times New Roman" w:hAnsi="Times New Roman" w:eastAsia="宋体"/>
          <w:b w:val="0"/>
          <w:sz w:val="21"/>
        </w:rPr>
        <w:t>.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简要介绍：介绍多阶段边缘检测的原理，作为本文Canny对照及边缘连接分析的依据。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 xml:space="preserve">[2]DI ZENZO S. A note on the gradient of a multi-image[J]. Computer Vision, Graphics, and Image Processing, 1986, 33(1): 116–125. </w:t>
      </w:r>
      <w:hyperlink r:id="rId16">
        <w:r>
          <w:rPr>
            <w:rFonts w:ascii="Times New Roman" w:hAnsi="Times New Roman" w:eastAsia="宋体"/>
            <w:b w:val="0"/>
            <w:sz w:val="21"/>
          </w:rPr>
          <w:t>DOI:10.1016/0734-189X(86)90223-9</w:t>
        </w:r>
      </w:hyperlink>
      <w:r>
        <w:rPr>
          <w:rFonts w:ascii="Times New Roman" w:hAnsi="Times New Roman" w:eastAsia="宋体"/>
          <w:b w:val="0"/>
          <w:sz w:val="21"/>
        </w:rPr>
        <w:t>90223-9).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简要介绍：给出多通道张量梯度与最大变化方向，支撑本文灰度和颜色梯度的联合描述。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 xml:space="preserve">[3]KOVESI P. Phase congruency detects corners and edges[C]//Digital Image Computing: Techniques and Applications 2003. CSIRO Publishing, 2003: 309–318. </w:t>
      </w:r>
      <w:hyperlink r:id="rId17">
        <w:r>
          <w:rPr>
            <w:rFonts w:ascii="Times New Roman" w:hAnsi="Times New Roman" w:eastAsia="宋体"/>
            <w:b w:val="0"/>
            <w:sz w:val="21"/>
          </w:rPr>
          <w:t>作者原稿</w:t>
        </w:r>
      </w:hyperlink>
      <w:r>
        <w:rPr>
          <w:rFonts w:ascii="Times New Roman" w:hAnsi="Times New Roman" w:eastAsia="宋体"/>
          <w:b w:val="0"/>
          <w:sz w:val="21"/>
        </w:rPr>
        <w:t>.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简要介绍：利用相位一致性主矩检测边缘与角点，支撑本文相位支持的构造。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 xml:space="preserve">[4]LI Y, BI Y, ZHANG W, et al. M²GF: Multi-scale and multi-directional Gabor filters for image edge detection[J]. Applied Sciences, 2023, 13(16): 9409. </w:t>
      </w:r>
      <w:hyperlink r:id="rId18">
        <w:r>
          <w:rPr>
            <w:rFonts w:ascii="Times New Roman" w:hAnsi="Times New Roman" w:eastAsia="宋体"/>
            <w:b w:val="0"/>
            <w:sz w:val="21"/>
          </w:rPr>
          <w:t>DOI:10.3390/app13169409</w:t>
        </w:r>
      </w:hyperlink>
      <w:r>
        <w:rPr>
          <w:rFonts w:ascii="Times New Roman" w:hAnsi="Times New Roman" w:eastAsia="宋体"/>
          <w:b w:val="0"/>
          <w:sz w:val="21"/>
        </w:rPr>
        <w:t>.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简要介绍：2023年的非深度学习方法，在Lab空间融合多尺度、多方向Gabor响应；本文借鉴颜色与方向互补的思路，未完整复现。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 xml:space="preserve">[5]GAO X, GAO S. Research on real-time edge detection algorithm for video frames based on Gabor filtering and directional enhanced Sobel operator[J]. Discover Computing, 2026, 29: 137. </w:t>
      </w:r>
      <w:hyperlink r:id="rId19">
        <w:r>
          <w:rPr>
            <w:rFonts w:ascii="Times New Roman" w:hAnsi="Times New Roman" w:eastAsia="宋体"/>
            <w:b w:val="0"/>
            <w:sz w:val="21"/>
          </w:rPr>
          <w:t>DOI:10.1007/s10791-026-10008-0</w:t>
        </w:r>
      </w:hyperlink>
      <w:r>
        <w:rPr>
          <w:rFonts w:ascii="Times New Roman" w:hAnsi="Times New Roman" w:eastAsia="宋体"/>
          <w:b w:val="0"/>
          <w:sz w:val="21"/>
        </w:rPr>
        <w:t>.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简要介绍：2026年的非深度学习研究，结合Gabor、增强Sobel与局部一致性，并讨论FFT实现；仅作相关工作，不作同场分数排名。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 xml:space="preserve">[6]COOLEY J W, TUKEY J W. An algorithm for the machine calculation of complex Fourier series[J]. Mathematics of Computation, 1965, 19(90): 297–301. </w:t>
      </w:r>
      <w:hyperlink r:id="rId20">
        <w:r>
          <w:rPr>
            <w:rFonts w:ascii="Times New Roman" w:hAnsi="Times New Roman" w:eastAsia="宋体"/>
            <w:b w:val="0"/>
            <w:sz w:val="21"/>
          </w:rPr>
          <w:t>DOI:10.1090/S0025-5718-1965-0178586-1</w:t>
        </w:r>
      </w:hyperlink>
      <w:r>
        <w:rPr>
          <w:rFonts w:ascii="Times New Roman" w:hAnsi="Times New Roman" w:eastAsia="宋体"/>
          <w:b w:val="0"/>
          <w:sz w:val="21"/>
        </w:rPr>
        <w:t>.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简要介绍：给出DFT的快速计算算法，为本文FFT实现提供基础。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 xml:space="preserve">[7]MATHWORKS. fft2: 2-D fast Fourier transform[EB/OL]. [2026-10-27]. </w:t>
      </w:r>
      <w:hyperlink r:id="rId21">
        <w:r>
          <w:rPr>
            <w:rFonts w:ascii="Times New Roman" w:hAnsi="Times New Roman" w:eastAsia="宋体"/>
            <w:b w:val="0"/>
            <w:sz w:val="21"/>
          </w:rPr>
          <w:t>官方文档</w:t>
        </w:r>
      </w:hyperlink>
      <w:r>
        <w:rPr>
          <w:rFonts w:ascii="Times New Roman" w:hAnsi="Times New Roman" w:eastAsia="宋体"/>
          <w:b w:val="0"/>
          <w:sz w:val="21"/>
        </w:rPr>
        <w:t>.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简要介绍：说明MATLAB二维FFT的接口与计算约定，用于核对程序实现。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 xml:space="preserve">[8]KOVESI P. MATLAB and Octave Functions for Computer Vision and Image Processing[EB/OL]. [2026-10-27]. </w:t>
      </w:r>
      <w:hyperlink r:id="rId22">
        <w:r>
          <w:rPr>
            <w:rFonts w:ascii="Times New Roman" w:hAnsi="Times New Roman" w:eastAsia="宋体"/>
            <w:b w:val="0"/>
            <w:sz w:val="21"/>
          </w:rPr>
          <w:t>作者软件页</w:t>
        </w:r>
      </w:hyperlink>
      <w:r>
        <w:rPr>
          <w:rFonts w:ascii="Times New Roman" w:hAnsi="Times New Roman" w:eastAsia="宋体"/>
          <w:b w:val="0"/>
          <w:sz w:val="21"/>
        </w:rPr>
        <w:t>.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简要介绍：提供本文实际调用的phasecong3及其依赖代码，原代码版权与许可予以保留。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 xml:space="preserve">[9]ARBELÁEZ P, MAIRE M, FOWLKES C, et al. Contour detection and hierarchical image segmentation[J]. IEEE Transactions on Pattern Analysis and Machine Intelligence, 2011, 33(5): 898–916. </w:t>
      </w:r>
      <w:hyperlink r:id="rId23">
        <w:r>
          <w:rPr>
            <w:rFonts w:ascii="Times New Roman" w:hAnsi="Times New Roman" w:eastAsia="宋体"/>
            <w:b w:val="0"/>
            <w:sz w:val="21"/>
          </w:rPr>
          <w:t>DOI:10.1109/TPAMI.2010.161</w:t>
        </w:r>
      </w:hyperlink>
      <w:r>
        <w:rPr>
          <w:rFonts w:ascii="Times New Roman" w:hAnsi="Times New Roman" w:eastAsia="宋体"/>
          <w:b w:val="0"/>
          <w:sz w:val="21"/>
        </w:rPr>
        <w:t>.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简要介绍：介绍BSDS数据与轮廓评价，是本文自然图、多人标注及官方匹配评价的来源。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 xml:space="preserve">[10]MATHWORKS. edge: Find edges in 2-D grayscale image[EB/OL]. [2026-10-27]. </w:t>
      </w:r>
      <w:hyperlink r:id="rId24">
        <w:r>
          <w:rPr>
            <w:rFonts w:ascii="Times New Roman" w:hAnsi="Times New Roman" w:eastAsia="宋体"/>
            <w:b w:val="0"/>
            <w:sz w:val="21"/>
          </w:rPr>
          <w:t>官方文档</w:t>
        </w:r>
      </w:hyperlink>
      <w:r>
        <w:rPr>
          <w:rFonts w:ascii="Times New Roman" w:hAnsi="Times New Roman" w:eastAsia="宋体"/>
          <w:b w:val="0"/>
          <w:sz w:val="21"/>
        </w:rPr>
        <w:t>.</w:t>
      </w:r>
    </w:p>
    <w:p>
      <w:pPr>
        <w:keepNext w:val="0"/>
        <w:keepLines/>
        <w:widowControl/>
        <w:spacing w:before="0" w:after="0" w:line="288" w:lineRule="auto"/>
        <w:ind w:firstLine="0"/>
        <w:snapToGrid w:val="0"/>
        <w:autoSpaceDE w:val="0"/>
        <w:autoSpaceDN w:val="0"/>
      </w:pPr>
      <w:r>
        <w:rPr>
          <w:rFonts w:ascii="Times New Roman" w:hAnsi="Times New Roman" w:eastAsia="宋体"/>
          <w:b w:val="0"/>
          <w:sz w:val="21"/>
        </w:rPr>
        <w:t>简要介绍：说明Sobel、Canny等边缘算子的MATLAB接口和参数，用于核对传统对照。</w:t>
      </w:r>
    </w:p>
    <w:sectPr w:rsidR="00A17F91">
      <w:footerReference w:type="even" r:id="rId7"/>
      <w:footerReference w:type="default" r:id="rId8"/>
      <w:pgSz w:w="11906" w:h="16838"/>
      <w:pgMar w:top="1247" w:right="1304" w:bottom="1134" w:left="1531" w:header="680" w:footer="68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93B95" w14:textId="77777777" w:rsidR="00A17F91" w:rsidRDefault="00A17F91">
      <w:r>
        <w:separator/>
      </w:r>
    </w:p>
  </w:endnote>
  <w:endnote w:type="continuationSeparator" w:id="0">
    <w:p w14:paraId="0796B115" w14:textId="77777777" w:rsidR="00A17F91" w:rsidRDefault="00A17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A463" w14:textId="77777777" w:rsidR="00A17F91" w:rsidRDefault="00A17F91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257B0ED5" w14:textId="77777777" w:rsidR="00A17F91" w:rsidRDefault="00A17F9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76EEB" w14:textId="77777777" w:rsidR="00A17F91" w:rsidRDefault="00A17F91">
    <w:pPr>
      <w:pStyle w:val="a3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lang w:val="en-US" w:eastAsia="zh-CN"/>
      </w:rPr>
      <w:t>4</w:t>
    </w:r>
    <w:r>
      <w:rPr>
        <w:rStyle w:val="a7"/>
      </w:rPr>
      <w:fldChar w:fldCharType="end"/>
    </w:r>
  </w:p>
  <w:p w14:paraId="4D96FF6B" w14:textId="77777777" w:rsidR="00A17F91" w:rsidRDefault="00A17F9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414AD" w14:textId="77777777" w:rsidR="00A17F91" w:rsidRDefault="00A17F91">
      <w:r>
        <w:separator/>
      </w:r>
    </w:p>
  </w:footnote>
  <w:footnote w:type="continuationSeparator" w:id="0">
    <w:p w14:paraId="068E4CE3" w14:textId="77777777" w:rsidR="00A17F91" w:rsidRDefault="00A17F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E14D5"/>
    <w:multiLevelType w:val="multilevel"/>
    <w:tmpl w:val="561E14D5"/>
    <w:lvl w:ilvl="0">
      <w:start w:val="1"/>
      <w:numFmt w:val="decimal"/>
      <w:lvlText w:val="[%1]"/>
      <w:lvlJc w:val="right"/>
      <w:pPr>
        <w:tabs>
          <w:tab w:val="num" w:pos="780"/>
        </w:tabs>
        <w:ind w:left="780" w:hanging="360"/>
      </w:pPr>
      <w:rPr>
        <w:rFonts w:hAnsi="Times New Roman" w:hint="default"/>
      </w:rPr>
    </w:lvl>
    <w:lvl w:ilvl="1">
      <w:start w:val="1"/>
      <w:numFmt w:val="decimal"/>
      <w:lvlText w:val="[%2]"/>
      <w:lvlJc w:val="righ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129"/>
        </w:tabs>
        <w:ind w:left="1129" w:hanging="709"/>
      </w:pPr>
    </w:lvl>
    <w:lvl w:ilvl="3">
      <w:start w:val="1"/>
      <w:numFmt w:val="decimal"/>
      <w:lvlText w:val="%1.%2.%3.%4."/>
      <w:lvlJc w:val="left"/>
      <w:pPr>
        <w:tabs>
          <w:tab w:val="num" w:pos="1271"/>
        </w:tabs>
        <w:ind w:left="1271" w:hanging="851"/>
      </w:pPr>
    </w:lvl>
    <w:lvl w:ilvl="4">
      <w:start w:val="1"/>
      <w:numFmt w:val="decimal"/>
      <w:lvlText w:val="%1.%2.%3.%4.%5."/>
      <w:lvlJc w:val="left"/>
      <w:pPr>
        <w:tabs>
          <w:tab w:val="num" w:pos="1412"/>
        </w:tabs>
        <w:ind w:left="1412" w:hanging="992"/>
      </w:pPr>
    </w:lvl>
    <w:lvl w:ilvl="5">
      <w:start w:val="1"/>
      <w:numFmt w:val="decimal"/>
      <w:lvlText w:val="%1.%2.%3.%4.%5.%6."/>
      <w:lvlJc w:val="left"/>
      <w:pPr>
        <w:tabs>
          <w:tab w:val="num" w:pos="1554"/>
        </w:tabs>
        <w:ind w:left="155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696"/>
        </w:tabs>
        <w:ind w:left="169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838"/>
        </w:tabs>
        <w:ind w:left="183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979"/>
        </w:tabs>
        <w:ind w:left="1979" w:hanging="1559"/>
      </w:pPr>
    </w:lvl>
  </w:abstractNum>
  <w:num w:numId="1" w16cid:durableId="72398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mU4OWUzOGJiZGIxMjI0ZTNiNmRkMDY4YjkwMmFmNTIifQ=="/>
  </w:docVars>
  <w:rsids>
    <w:rsidRoot w:val="00C41AAC"/>
    <w:rsid w:val="000074E9"/>
    <w:rsid w:val="00023B94"/>
    <w:rsid w:val="00031E57"/>
    <w:rsid w:val="00046F7C"/>
    <w:rsid w:val="00085E30"/>
    <w:rsid w:val="000A3FD5"/>
    <w:rsid w:val="000A4037"/>
    <w:rsid w:val="000D2E84"/>
    <w:rsid w:val="000E373F"/>
    <w:rsid w:val="000F366F"/>
    <w:rsid w:val="00101E28"/>
    <w:rsid w:val="001168E2"/>
    <w:rsid w:val="00124140"/>
    <w:rsid w:val="00164C62"/>
    <w:rsid w:val="0017354F"/>
    <w:rsid w:val="00182907"/>
    <w:rsid w:val="00182AE5"/>
    <w:rsid w:val="001A31C3"/>
    <w:rsid w:val="001A5177"/>
    <w:rsid w:val="001E128C"/>
    <w:rsid w:val="00201548"/>
    <w:rsid w:val="00206108"/>
    <w:rsid w:val="002317E2"/>
    <w:rsid w:val="002577F0"/>
    <w:rsid w:val="00273E81"/>
    <w:rsid w:val="002A0413"/>
    <w:rsid w:val="002F243B"/>
    <w:rsid w:val="002F5AD1"/>
    <w:rsid w:val="002F7D31"/>
    <w:rsid w:val="0034492F"/>
    <w:rsid w:val="00364297"/>
    <w:rsid w:val="0036469F"/>
    <w:rsid w:val="0039125D"/>
    <w:rsid w:val="00393B94"/>
    <w:rsid w:val="003C14E6"/>
    <w:rsid w:val="003D0104"/>
    <w:rsid w:val="003D3F9B"/>
    <w:rsid w:val="00416FAF"/>
    <w:rsid w:val="00421BCA"/>
    <w:rsid w:val="00445B46"/>
    <w:rsid w:val="00447CB3"/>
    <w:rsid w:val="004827CD"/>
    <w:rsid w:val="004B4046"/>
    <w:rsid w:val="004B555F"/>
    <w:rsid w:val="004C0165"/>
    <w:rsid w:val="004D2743"/>
    <w:rsid w:val="004E0828"/>
    <w:rsid w:val="004F3CE0"/>
    <w:rsid w:val="005079F0"/>
    <w:rsid w:val="005103EA"/>
    <w:rsid w:val="0051401F"/>
    <w:rsid w:val="00546D4B"/>
    <w:rsid w:val="00575241"/>
    <w:rsid w:val="00587F92"/>
    <w:rsid w:val="005A56DA"/>
    <w:rsid w:val="005C0018"/>
    <w:rsid w:val="005D3BF6"/>
    <w:rsid w:val="00615488"/>
    <w:rsid w:val="00636D9B"/>
    <w:rsid w:val="00643DD7"/>
    <w:rsid w:val="006872D3"/>
    <w:rsid w:val="00690B1C"/>
    <w:rsid w:val="006C474C"/>
    <w:rsid w:val="006C6B34"/>
    <w:rsid w:val="006D5B2A"/>
    <w:rsid w:val="006E7135"/>
    <w:rsid w:val="006F2F1D"/>
    <w:rsid w:val="00717173"/>
    <w:rsid w:val="00726036"/>
    <w:rsid w:val="00756AD2"/>
    <w:rsid w:val="00761761"/>
    <w:rsid w:val="007717FA"/>
    <w:rsid w:val="00774315"/>
    <w:rsid w:val="00775C88"/>
    <w:rsid w:val="00795F58"/>
    <w:rsid w:val="007969F8"/>
    <w:rsid w:val="007A4DA6"/>
    <w:rsid w:val="007B1CE9"/>
    <w:rsid w:val="007B3081"/>
    <w:rsid w:val="007B4A73"/>
    <w:rsid w:val="007C644B"/>
    <w:rsid w:val="00802C71"/>
    <w:rsid w:val="00833CFB"/>
    <w:rsid w:val="00874E90"/>
    <w:rsid w:val="00885DCF"/>
    <w:rsid w:val="008A30DA"/>
    <w:rsid w:val="008B32C8"/>
    <w:rsid w:val="008C1526"/>
    <w:rsid w:val="008E7F02"/>
    <w:rsid w:val="0091636D"/>
    <w:rsid w:val="00916F66"/>
    <w:rsid w:val="00936131"/>
    <w:rsid w:val="0093796D"/>
    <w:rsid w:val="00941733"/>
    <w:rsid w:val="00944273"/>
    <w:rsid w:val="00982BB7"/>
    <w:rsid w:val="00983FFB"/>
    <w:rsid w:val="009A4AE0"/>
    <w:rsid w:val="009D3937"/>
    <w:rsid w:val="009D55D0"/>
    <w:rsid w:val="009D7831"/>
    <w:rsid w:val="009D7D0F"/>
    <w:rsid w:val="009F557D"/>
    <w:rsid w:val="00A12A31"/>
    <w:rsid w:val="00A15E13"/>
    <w:rsid w:val="00A17F91"/>
    <w:rsid w:val="00A2220B"/>
    <w:rsid w:val="00A357B9"/>
    <w:rsid w:val="00A5490B"/>
    <w:rsid w:val="00A67CAC"/>
    <w:rsid w:val="00AB7A24"/>
    <w:rsid w:val="00B051DB"/>
    <w:rsid w:val="00B136C4"/>
    <w:rsid w:val="00B30B7F"/>
    <w:rsid w:val="00B317CF"/>
    <w:rsid w:val="00B31B70"/>
    <w:rsid w:val="00B57F45"/>
    <w:rsid w:val="00B649D2"/>
    <w:rsid w:val="00B7211C"/>
    <w:rsid w:val="00BB3DF1"/>
    <w:rsid w:val="00BB6FC8"/>
    <w:rsid w:val="00BD0CDE"/>
    <w:rsid w:val="00BD4003"/>
    <w:rsid w:val="00BF3BCA"/>
    <w:rsid w:val="00BF733F"/>
    <w:rsid w:val="00C14427"/>
    <w:rsid w:val="00C23C2D"/>
    <w:rsid w:val="00C30225"/>
    <w:rsid w:val="00C34C23"/>
    <w:rsid w:val="00C41AAC"/>
    <w:rsid w:val="00C45D0F"/>
    <w:rsid w:val="00C90433"/>
    <w:rsid w:val="00C959DA"/>
    <w:rsid w:val="00CA034F"/>
    <w:rsid w:val="00CA6549"/>
    <w:rsid w:val="00CA68D4"/>
    <w:rsid w:val="00CC7FB6"/>
    <w:rsid w:val="00CE5063"/>
    <w:rsid w:val="00D04F49"/>
    <w:rsid w:val="00D05457"/>
    <w:rsid w:val="00D4102C"/>
    <w:rsid w:val="00D478BE"/>
    <w:rsid w:val="00D60B07"/>
    <w:rsid w:val="00D7209A"/>
    <w:rsid w:val="00D75291"/>
    <w:rsid w:val="00DB1B99"/>
    <w:rsid w:val="00E0779F"/>
    <w:rsid w:val="00E42468"/>
    <w:rsid w:val="00E47D17"/>
    <w:rsid w:val="00E55907"/>
    <w:rsid w:val="00E6077F"/>
    <w:rsid w:val="00E67831"/>
    <w:rsid w:val="00E70CCB"/>
    <w:rsid w:val="00E86C88"/>
    <w:rsid w:val="00E9233F"/>
    <w:rsid w:val="00EA5606"/>
    <w:rsid w:val="00EB1FC5"/>
    <w:rsid w:val="00EB60D5"/>
    <w:rsid w:val="00EE405D"/>
    <w:rsid w:val="00F02F7D"/>
    <w:rsid w:val="00F125D2"/>
    <w:rsid w:val="00F218AF"/>
    <w:rsid w:val="00F31B6C"/>
    <w:rsid w:val="00F45B8C"/>
    <w:rsid w:val="00F53DC4"/>
    <w:rsid w:val="00F56EA6"/>
    <w:rsid w:val="00F74BD7"/>
    <w:rsid w:val="00F76AA0"/>
    <w:rsid w:val="00F94127"/>
    <w:rsid w:val="00F96DF2"/>
    <w:rsid w:val="00FA1527"/>
    <w:rsid w:val="00FA33F6"/>
    <w:rsid w:val="00FC4615"/>
    <w:rsid w:val="00FD19A8"/>
    <w:rsid w:val="110901A0"/>
    <w:rsid w:val="15DD0556"/>
    <w:rsid w:val="23717C27"/>
    <w:rsid w:val="334A64A3"/>
    <w:rsid w:val="35E843DA"/>
    <w:rsid w:val="467F0CF9"/>
    <w:rsid w:val="519531C9"/>
    <w:rsid w:val="54CE4645"/>
    <w:rsid w:val="55C149C2"/>
    <w:rsid w:val="57947A7F"/>
    <w:rsid w:val="5F223248"/>
    <w:rsid w:val="71C62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079C41"/>
  <w15:chartTrackingRefBased/>
  <w15:docId w15:val="{E869AF2F-261A-4867-9C1A-B18926EA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rPr>
      <w:kern w:val="2"/>
      <w:sz w:val="18"/>
      <w:szCs w:val="18"/>
    </w:rPr>
  </w:style>
  <w:style w:type="character" w:styleId="a6">
    <w:name w:val="Strong"/>
    <w:qFormat/>
    <w:rPr>
      <w:b/>
      <w:bCs/>
    </w:rPr>
  </w:style>
  <w:style w:type="character" w:styleId="a7">
    <w:name w:val="page number"/>
    <w:basedOn w:val="a0"/>
  </w:style>
  <w:style w:type="character" w:styleId="a8">
    <w:name w:val="Hyperlink"/>
    <w:rPr>
      <w:color w:val="0000FF"/>
      <w:u w:val="single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Title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doi.org/10.1109/TPAMI.1986.4767851" TargetMode="External"/><Relationship Id="rId16" Type="http://schemas.openxmlformats.org/officeDocument/2006/relationships/hyperlink" Target="https://doi.org/10.1016/0734-189X(86" TargetMode="External"/><Relationship Id="rId17" Type="http://schemas.openxmlformats.org/officeDocument/2006/relationships/hyperlink" Target="https://www.peterkovesi.com/papers/phasecorners.pdf" TargetMode="External"/><Relationship Id="rId18" Type="http://schemas.openxmlformats.org/officeDocument/2006/relationships/hyperlink" Target="https://doi.org/10.3390/app13169409" TargetMode="External"/><Relationship Id="rId19" Type="http://schemas.openxmlformats.org/officeDocument/2006/relationships/hyperlink" Target="https://doi.org/10.1007/s10791-026-10008-0" TargetMode="External"/><Relationship Id="rId20" Type="http://schemas.openxmlformats.org/officeDocument/2006/relationships/hyperlink" Target="https://doi.org/10.1090/S0025-5718-1965-0178586-1" TargetMode="External"/><Relationship Id="rId21" Type="http://schemas.openxmlformats.org/officeDocument/2006/relationships/hyperlink" Target="https://www.mathworks.com/help/matlab/ref/fft2.html" TargetMode="External"/><Relationship Id="rId22" Type="http://schemas.openxmlformats.org/officeDocument/2006/relationships/hyperlink" Target="https://www.peterkovesi.com/matlabfns/" TargetMode="External"/><Relationship Id="rId23" Type="http://schemas.openxmlformats.org/officeDocument/2006/relationships/hyperlink" Target="https://doi.org/10.1109/TPAMI.2010.161" TargetMode="External"/><Relationship Id="rId24" Type="http://schemas.openxmlformats.org/officeDocument/2006/relationships/hyperlink" Target="https://www.mathworks.com/help/images/ref/edge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1046</Words>
  <Characters>1493</Characters>
  <Application>Microsoft Office Word</Application>
  <DocSecurity>4</DocSecurity>
  <Lines>72</Lines>
  <Paragraphs>39</Paragraphs>
  <ScaleCrop>false</ScaleCrop>
  <Company>SU</Company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上海大学2010～2011学年冬季学期研究生课程考试</dc:title>
  <dc:subject/>
  <dc:creator>Shuozhong Wang</dc:creator>
  <cp:keywords/>
  <cp:lastModifiedBy>yijie lu</cp:lastModifiedBy>
  <cp:revision>2</cp:revision>
  <cp:lastPrinted>2008-05-05T05:07:00Z</cp:lastPrinted>
  <dcterms:created xsi:type="dcterms:W3CDTF">2026-10-27T14:01:00Z</dcterms:created>
  <dcterms:modified xsi:type="dcterms:W3CDTF">2026-10-27T14:01:00Z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084C98F448D94AC3B71EF4379E4BCE48_12</vt:lpwstr>
  </property>
  <property fmtid="{D5CDD505-2E9C-101B-9397-08002B2CF9AE}" pid="4" name="KSOTemplateDocerSaveRecord">
    <vt:lpwstr>eyJoZGlkIjoiZmU4OWUzOGJiZGIxMjI0ZTNiNmRkMDY4YjkwMmFmNTIiLCJ1c2VySWQiOiIyNjk2NTg1NzMifQ==</vt:lpwstr>
  </property>
</Properties>
</file>