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CC8C" w14:textId="77777777" w:rsidR="00A17F91" w:rsidRDefault="00A17F91">
      <w:pPr>
        <w:jc w:val="center"/>
        <w:rPr>
          <w:rFonts w:eastAsia="SimHei"/>
          <w:b/>
          <w:sz w:val="32"/>
          <w:szCs w:val="32"/>
        </w:rPr>
      </w:pPr>
      <w:r>
        <w:rPr>
          <w:rFonts w:eastAsia="SimHei" w:hint="eastAsia"/>
          <w:b/>
          <w:sz w:val="32"/>
          <w:szCs w:val="32"/>
        </w:rPr>
        <w:t>上海大学</w:t>
      </w:r>
      <w:r>
        <w:rPr>
          <w:rFonts w:eastAsia="SimHei" w:hint="eastAsia"/>
          <w:b/>
          <w:sz w:val="32"/>
          <w:szCs w:val="32"/>
        </w:rPr>
        <w:t>2026</w:t>
      </w:r>
      <w:r>
        <w:rPr>
          <w:rFonts w:ascii="SimHei" w:eastAsia="SimHei" w:hint="eastAsia"/>
          <w:b/>
          <w:sz w:val="32"/>
          <w:szCs w:val="32"/>
        </w:rPr>
        <w:t>～</w:t>
      </w:r>
      <w:r>
        <w:rPr>
          <w:rFonts w:eastAsia="SimHei" w:hint="eastAsia"/>
          <w:b/>
          <w:sz w:val="32"/>
          <w:szCs w:val="32"/>
        </w:rPr>
        <w:t>2027</w:t>
      </w:r>
      <w:r>
        <w:rPr>
          <w:rFonts w:eastAsia="SimHei" w:hint="eastAsia"/>
          <w:b/>
          <w:sz w:val="32"/>
          <w:szCs w:val="32"/>
        </w:rPr>
        <w:t>学年秋季学期本科生</w:t>
      </w:r>
    </w:p>
    <w:p w14:paraId="181EDFC4" w14:textId="77777777" w:rsidR="00A17F91" w:rsidRDefault="00A17F91">
      <w:pPr>
        <w:jc w:val="center"/>
        <w:rPr>
          <w:rFonts w:eastAsia="SimHei"/>
          <w:sz w:val="30"/>
          <w:szCs w:val="30"/>
        </w:rPr>
      </w:pPr>
      <w:r>
        <w:rPr>
          <w:rFonts w:eastAsia="SimHei" w:hint="eastAsia"/>
          <w:sz w:val="30"/>
          <w:szCs w:val="30"/>
        </w:rPr>
        <w:t>课程报告</w:t>
      </w:r>
    </w:p>
    <w:p w14:paraId="737B31ED" w14:textId="77777777" w:rsidR="00A17F91" w:rsidRDefault="00A17F91">
      <w:pPr>
        <w:jc w:val="center"/>
        <w:rPr>
          <w:rFonts w:eastAsia="SimHei"/>
          <w:sz w:val="30"/>
          <w:szCs w:val="30"/>
        </w:rPr>
      </w:pPr>
    </w:p>
    <w:p w14:paraId="58373520" w14:textId="77777777" w:rsidR="00A17F91" w:rsidRDefault="00A17F91">
      <w:pPr>
        <w:ind w:firstLineChars="50" w:firstLine="50"/>
        <w:jc w:val="center"/>
        <w:rPr>
          <w:rFonts w:eastAsia="SimHei"/>
          <w:sz w:val="10"/>
          <w:szCs w:val="10"/>
        </w:rPr>
      </w:pPr>
    </w:p>
    <w:p w14:paraId="58FDF958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>课程名称：</w:t>
      </w:r>
      <w:r>
        <w:rPr>
          <w:rFonts w:ascii="SimHei" w:eastAsia="SimHei" w:hAnsi="SimSun" w:hint="eastAsia"/>
          <w:sz w:val="24"/>
          <w:u w:val="single"/>
        </w:rPr>
        <w:t xml:space="preserve">    《从傅立叶分析到小波分析》    </w:t>
      </w:r>
      <w:r>
        <w:rPr>
          <w:rFonts w:ascii="SimHei" w:eastAsia="SimHei" w:hAnsi="SimSun" w:hint="eastAsia"/>
          <w:sz w:val="24"/>
        </w:rPr>
        <w:t>课程编号：</w:t>
      </w:r>
      <w:r>
        <w:rPr>
          <w:rFonts w:ascii="SimHei" w:eastAsia="SimHei" w:hAnsi="SimSun" w:hint="eastAsia"/>
          <w:sz w:val="24"/>
          <w:u w:val="single"/>
        </w:rPr>
        <w:t xml:space="preserve"> </w:t>
      </w:r>
      <w:r>
        <w:rPr>
          <w:b/>
          <w:sz w:val="24"/>
          <w:u w:val="single"/>
        </w:rPr>
        <w:t>0728SY01</w:t>
      </w:r>
      <w:r>
        <w:rPr>
          <w:rFonts w:ascii="SimHei" w:eastAsia="SimHei" w:hAnsi="SimSun" w:hint="eastAsia"/>
          <w:sz w:val="24"/>
          <w:u w:val="single"/>
        </w:rPr>
        <w:t xml:space="preserve"> </w:t>
      </w:r>
    </w:p>
    <w:p w14:paraId="22539450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</w:p>
    <w:p w14:paraId="7B6D97C0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题目: </w:t>
      </w:r>
      <w:r>
        <w:rPr>
          <w:rFonts w:ascii="SimHei" w:eastAsia="SimHei" w:hAnsi="SimSun" w:hint="eastAsia"/>
          <w:sz w:val="24"/>
          <w:u w:val="single"/>
        </w:rPr>
        <w:t xml:space="preserve">                                                    </w:t>
      </w:r>
    </w:p>
    <w:p w14:paraId="3663A706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</w:p>
    <w:p w14:paraId="280B57D7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姓名: </w:t>
      </w:r>
      <w:r>
        <w:rPr>
          <w:rFonts w:ascii="SimHei" w:eastAsia="SimHei" w:hAnsi="SimSun" w:hint="eastAsia"/>
          <w:sz w:val="24"/>
          <w:u w:val="single"/>
        </w:rPr>
        <w:t xml:space="preserve">               </w:t>
      </w:r>
      <w:r>
        <w:rPr>
          <w:rFonts w:ascii="SimHei" w:eastAsia="SimHei" w:hAnsi="SimSun" w:hint="eastAsia"/>
          <w:sz w:val="24"/>
        </w:rPr>
        <w:t xml:space="preserve">  学号: </w:t>
      </w:r>
      <w:r>
        <w:rPr>
          <w:rFonts w:ascii="SimHei" w:eastAsia="SimHei" w:hAnsi="SimSun" w:hint="eastAsia"/>
          <w:sz w:val="24"/>
          <w:u w:val="single"/>
        </w:rPr>
        <w:t xml:space="preserve">              </w:t>
      </w:r>
      <w:r>
        <w:rPr>
          <w:rFonts w:ascii="SimHei" w:eastAsia="SimHei" w:hAnsi="SimSun" w:hint="eastAsia"/>
          <w:sz w:val="24"/>
        </w:rPr>
        <w:t xml:space="preserve">  占比: </w:t>
      </w:r>
      <w:r>
        <w:rPr>
          <w:rFonts w:ascii="SimHei" w:eastAsia="SimHei" w:hAnsi="SimSun" w:hint="eastAsia"/>
          <w:sz w:val="24"/>
          <w:u w:val="single"/>
        </w:rPr>
        <w:t xml:space="preserve">      % </w:t>
      </w:r>
    </w:p>
    <w:p w14:paraId="56359198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姓名: </w:t>
      </w:r>
      <w:r>
        <w:rPr>
          <w:rFonts w:ascii="SimHei" w:eastAsia="SimHei" w:hAnsi="SimSun" w:hint="eastAsia"/>
          <w:sz w:val="24"/>
          <w:u w:val="single"/>
        </w:rPr>
        <w:t xml:space="preserve">               </w:t>
      </w:r>
      <w:r>
        <w:rPr>
          <w:rFonts w:ascii="SimHei" w:eastAsia="SimHei" w:hAnsi="SimSun" w:hint="eastAsia"/>
          <w:sz w:val="24"/>
        </w:rPr>
        <w:t xml:space="preserve">  学号: </w:t>
      </w:r>
      <w:r>
        <w:rPr>
          <w:rFonts w:ascii="SimHei" w:eastAsia="SimHei" w:hAnsi="SimSun" w:hint="eastAsia"/>
          <w:sz w:val="24"/>
          <w:u w:val="single"/>
        </w:rPr>
        <w:t xml:space="preserve">              </w:t>
      </w:r>
      <w:r>
        <w:rPr>
          <w:rFonts w:ascii="SimHei" w:eastAsia="SimHei" w:hAnsi="SimSun" w:hint="eastAsia"/>
          <w:sz w:val="24"/>
        </w:rPr>
        <w:t xml:space="preserve">  占比: </w:t>
      </w:r>
      <w:r>
        <w:rPr>
          <w:rFonts w:ascii="SimHei" w:eastAsia="SimHei" w:hAnsi="SimSun" w:hint="eastAsia"/>
          <w:sz w:val="24"/>
          <w:u w:val="single"/>
        </w:rPr>
        <w:t xml:space="preserve">      % </w:t>
      </w:r>
    </w:p>
    <w:p w14:paraId="601F60CA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姓名: </w:t>
      </w:r>
      <w:r>
        <w:rPr>
          <w:rFonts w:ascii="SimHei" w:eastAsia="SimHei" w:hAnsi="SimSun" w:hint="eastAsia"/>
          <w:sz w:val="24"/>
          <w:u w:val="single"/>
        </w:rPr>
        <w:t xml:space="preserve">               </w:t>
      </w:r>
      <w:r>
        <w:rPr>
          <w:rFonts w:ascii="SimHei" w:eastAsia="SimHei" w:hAnsi="SimSun" w:hint="eastAsia"/>
          <w:sz w:val="24"/>
        </w:rPr>
        <w:t xml:space="preserve">  学号: </w:t>
      </w:r>
      <w:r>
        <w:rPr>
          <w:rFonts w:ascii="SimHei" w:eastAsia="SimHei" w:hAnsi="SimSun" w:hint="eastAsia"/>
          <w:sz w:val="24"/>
          <w:u w:val="single"/>
        </w:rPr>
        <w:t xml:space="preserve">              </w:t>
      </w:r>
      <w:r>
        <w:rPr>
          <w:rFonts w:ascii="SimHei" w:eastAsia="SimHei" w:hAnsi="SimSun" w:hint="eastAsia"/>
          <w:sz w:val="24"/>
        </w:rPr>
        <w:t xml:space="preserve">  占比: </w:t>
      </w:r>
      <w:r>
        <w:rPr>
          <w:rFonts w:ascii="SimHei" w:eastAsia="SimHei" w:hAnsi="SimSun" w:hint="eastAsia"/>
          <w:sz w:val="24"/>
          <w:u w:val="single"/>
        </w:rPr>
        <w:t xml:space="preserve">      % </w:t>
      </w:r>
    </w:p>
    <w:p w14:paraId="2ED106CA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姓名: </w:t>
      </w:r>
      <w:r>
        <w:rPr>
          <w:rFonts w:ascii="SimHei" w:eastAsia="SimHei" w:hAnsi="SimSun" w:hint="eastAsia"/>
          <w:sz w:val="24"/>
          <w:u w:val="single"/>
        </w:rPr>
        <w:t xml:space="preserve">               </w:t>
      </w:r>
      <w:r>
        <w:rPr>
          <w:rFonts w:ascii="SimHei" w:eastAsia="SimHei" w:hAnsi="SimSun" w:hint="eastAsia"/>
          <w:sz w:val="24"/>
        </w:rPr>
        <w:t xml:space="preserve">  学号: </w:t>
      </w:r>
      <w:r>
        <w:rPr>
          <w:rFonts w:ascii="SimHei" w:eastAsia="SimHei" w:hAnsi="SimSun" w:hint="eastAsia"/>
          <w:sz w:val="24"/>
          <w:u w:val="single"/>
        </w:rPr>
        <w:t xml:space="preserve">              </w:t>
      </w:r>
      <w:r>
        <w:rPr>
          <w:rFonts w:ascii="SimHei" w:eastAsia="SimHei" w:hAnsi="SimSun" w:hint="eastAsia"/>
          <w:sz w:val="24"/>
        </w:rPr>
        <w:t xml:space="preserve">  占比: </w:t>
      </w:r>
      <w:r>
        <w:rPr>
          <w:rFonts w:ascii="SimHei" w:eastAsia="SimHei" w:hAnsi="SimSun" w:hint="eastAsia"/>
          <w:sz w:val="24"/>
          <w:u w:val="single"/>
        </w:rPr>
        <w:t xml:space="preserve">      % </w:t>
      </w:r>
    </w:p>
    <w:p w14:paraId="23FE5252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姓名: </w:t>
      </w:r>
      <w:r>
        <w:rPr>
          <w:rFonts w:ascii="SimHei" w:eastAsia="SimHei" w:hAnsi="SimSun" w:hint="eastAsia"/>
          <w:sz w:val="24"/>
          <w:u w:val="single"/>
        </w:rPr>
        <w:t xml:space="preserve">               </w:t>
      </w:r>
      <w:r>
        <w:rPr>
          <w:rFonts w:ascii="SimHei" w:eastAsia="SimHei" w:hAnsi="SimSun" w:hint="eastAsia"/>
          <w:sz w:val="24"/>
        </w:rPr>
        <w:t xml:space="preserve">  学号: </w:t>
      </w:r>
      <w:r>
        <w:rPr>
          <w:rFonts w:ascii="SimHei" w:eastAsia="SimHei" w:hAnsi="SimSun" w:hint="eastAsia"/>
          <w:sz w:val="24"/>
          <w:u w:val="single"/>
        </w:rPr>
        <w:t xml:space="preserve">              </w:t>
      </w:r>
      <w:r>
        <w:rPr>
          <w:rFonts w:ascii="SimHei" w:eastAsia="SimHei" w:hAnsi="SimSun" w:hint="eastAsia"/>
          <w:sz w:val="24"/>
        </w:rPr>
        <w:t xml:space="preserve">  占比: </w:t>
      </w:r>
      <w:r>
        <w:rPr>
          <w:rFonts w:ascii="SimHei" w:eastAsia="SimHei" w:hAnsi="SimSun" w:hint="eastAsia"/>
          <w:sz w:val="24"/>
          <w:u w:val="single"/>
        </w:rPr>
        <w:t xml:space="preserve">      % </w:t>
      </w:r>
    </w:p>
    <w:p w14:paraId="6EA8CC95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5CBD6431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>全体组员签字：</w:t>
      </w:r>
      <w:r>
        <w:rPr>
          <w:rFonts w:ascii="SimHei" w:eastAsia="SimHei" w:hAnsi="SimSun" w:hint="eastAsia"/>
          <w:sz w:val="24"/>
          <w:u w:val="single"/>
        </w:rPr>
        <w:t xml:space="preserve">                                             </w:t>
      </w:r>
    </w:p>
    <w:p w14:paraId="68B99393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325F5E32" w14:textId="77777777" w:rsidR="00A17F91" w:rsidRDefault="00A17F91">
      <w:pPr>
        <w:spacing w:line="360" w:lineRule="auto"/>
        <w:ind w:rightChars="219" w:right="460"/>
        <w:rPr>
          <w:rFonts w:ascii="SimHei" w:eastAsia="SimHei" w:hAnsi="SimSun"/>
          <w:sz w:val="24"/>
          <w:u w:val="single"/>
        </w:rPr>
      </w:pPr>
    </w:p>
    <w:p w14:paraId="0FAD7E4E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0DD33D85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  <w:r>
        <w:rPr>
          <w:rFonts w:ascii="SimHei" w:eastAsia="SimHei" w:hAnsi="SimSun" w:hint="eastAsia"/>
          <w:sz w:val="24"/>
        </w:rPr>
        <w:t>评语:</w:t>
      </w:r>
    </w:p>
    <w:p w14:paraId="7BEBE038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2305BA6F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2DCDF1FE" w14:textId="77777777" w:rsidR="00A17F91" w:rsidRDefault="00A17F91">
      <w:pPr>
        <w:spacing w:line="360" w:lineRule="auto"/>
        <w:ind w:rightChars="219" w:right="460"/>
        <w:rPr>
          <w:rFonts w:ascii="SimHei" w:eastAsia="SimHei" w:hAnsi="SimSun"/>
          <w:sz w:val="24"/>
        </w:rPr>
      </w:pPr>
    </w:p>
    <w:p w14:paraId="50C9638E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58FD26F6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02CC862F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</w:p>
    <w:p w14:paraId="7B44723E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  <w:r>
        <w:rPr>
          <w:rFonts w:ascii="SimHei" w:eastAsia="SimHei" w:hAnsi="SimSun" w:hint="eastAsia"/>
          <w:sz w:val="24"/>
        </w:rPr>
        <w:t xml:space="preserve">成 绩: </w:t>
      </w:r>
      <w:r>
        <w:rPr>
          <w:rFonts w:ascii="SimHei" w:eastAsia="SimHei" w:hAnsi="SimSun" w:hint="eastAsia"/>
          <w:sz w:val="24"/>
          <w:u w:val="single"/>
        </w:rPr>
        <w:t xml:space="preserve">                </w:t>
      </w:r>
      <w:r>
        <w:rPr>
          <w:rFonts w:ascii="SimHei" w:eastAsia="SimHei" w:hAnsi="SimSun" w:hint="eastAsia"/>
          <w:sz w:val="24"/>
        </w:rPr>
        <w:t xml:space="preserve">            任课教师: </w:t>
      </w:r>
      <w:r>
        <w:rPr>
          <w:rFonts w:ascii="SimHei" w:eastAsia="SimHei" w:hAnsi="SimSun" w:hint="eastAsia"/>
          <w:sz w:val="24"/>
          <w:u w:val="single"/>
        </w:rPr>
        <w:t xml:space="preserve">    王子驰     </w:t>
      </w:r>
    </w:p>
    <w:p w14:paraId="0BDFA512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  <w:u w:val="single"/>
        </w:rPr>
      </w:pPr>
    </w:p>
    <w:p w14:paraId="1DCC675A" w14:textId="77777777" w:rsidR="00A17F91" w:rsidRDefault="00A17F91">
      <w:pPr>
        <w:spacing w:line="360" w:lineRule="auto"/>
        <w:ind w:leftChars="250" w:left="525" w:rightChars="219" w:right="460"/>
        <w:rPr>
          <w:rFonts w:ascii="SimHei" w:eastAsia="SimHei" w:hAnsi="SimSun"/>
          <w:sz w:val="24"/>
        </w:rPr>
      </w:pPr>
      <w:r>
        <w:rPr>
          <w:rFonts w:ascii="SimHei" w:eastAsia="SimHei" w:hAnsi="SimSun" w:hint="eastAsia"/>
          <w:sz w:val="24"/>
        </w:rPr>
        <w:t xml:space="preserve">评阅日期: </w:t>
      </w:r>
      <w:r>
        <w:rPr>
          <w:rFonts w:ascii="SimHei" w:eastAsia="SimHei" w:hAnsi="SimSun" w:hint="eastAsia"/>
          <w:sz w:val="24"/>
          <w:u w:val="single"/>
        </w:rPr>
        <w:t xml:space="preserve">                </w:t>
      </w:r>
      <w:r>
        <w:rPr>
          <w:rFonts w:ascii="SimHei" w:eastAsia="SimHei" w:hAnsi="SimSun" w:hint="eastAsia"/>
          <w:sz w:val="24"/>
        </w:rPr>
        <w:t xml:space="preserve">      </w:t>
      </w:r>
    </w:p>
    <w:p w14:paraId="45A5A9EF" w14:textId="77777777" w:rsidR="00A17F91" w:rsidRDefault="00A17F91">
      <w:pPr>
        <w:spacing w:line="360" w:lineRule="auto"/>
        <w:rPr>
          <w:rFonts w:ascii="SimHei" w:eastAsia="SimHei" w:hAnsi="SimSun"/>
          <w:sz w:val="24"/>
        </w:rPr>
      </w:pPr>
    </w:p>
    <w:p w14:paraId="7F74FF2D" w14:textId="77777777" w:rsidR="00A17F91" w:rsidRDefault="00A17F91">
      <w:pPr>
        <w:spacing w:line="360" w:lineRule="auto"/>
        <w:rPr>
          <w:rFonts w:ascii="SimHei" w:eastAsia="SimHei" w:hAnsi="SimSun"/>
          <w:sz w:val="24"/>
        </w:rPr>
      </w:pPr>
    </w:p>
    <w:p w14:paraId="537E57F3" w14:textId="77777777" w:rsidR="0062037C" w:rsidRDefault="003946E5">
      <w:pPr>
        <w:pStyle w:val="Title1"/>
        <w:keepNext/>
        <w:pageBreakBefore/>
        <w:autoSpaceDE w:val="0"/>
        <w:autoSpaceDN w:val="0"/>
        <w:snapToGrid w:val="0"/>
        <w:spacing w:before="384" w:after="192" w:line="288" w:lineRule="auto"/>
        <w:jc w:val="center"/>
      </w:pPr>
      <w:r>
        <w:rPr>
          <w:b/>
          <w:sz w:val="32"/>
        </w:rPr>
        <w:lastRenderedPageBreak/>
        <w:t>基于二维傅里叶变换与相位支持的彩色图像边缘检测及实验分析</w:t>
      </w:r>
    </w:p>
    <w:p w14:paraId="3100EFD4" w14:textId="77777777" w:rsidR="0062037C" w:rsidRDefault="003946E5">
      <w:pPr>
        <w:widowControl/>
        <w:autoSpaceDE w:val="0"/>
        <w:autoSpaceDN w:val="0"/>
        <w:snapToGrid w:val="0"/>
        <w:spacing w:before="90" w:after="90"/>
        <w:ind w:firstLine="360"/>
      </w:pPr>
      <w:r>
        <w:rPr>
          <w:b/>
          <w:sz w:val="18"/>
        </w:rPr>
        <w:t>摘要：</w:t>
      </w:r>
      <w:r>
        <w:rPr>
          <w:sz w:val="18"/>
        </w:rPr>
        <w:t>自然图像中的轮廓、纹理和噪声均可能产生高频响应，单纯高通滤波难以兼顾边缘定位与误检控制。本文利用二维傅里叶变换的微分性质实现高斯导数，融合灰度与</w:t>
      </w:r>
      <w:r>
        <w:rPr>
          <w:sz w:val="18"/>
        </w:rPr>
        <w:t>RGB</w:t>
      </w:r>
      <w:r>
        <w:rPr>
          <w:sz w:val="18"/>
        </w:rPr>
        <w:t>梯度张量，并结合相位支持、非极大值抑制和双阈值连接提取细边缘。在</w:t>
      </w:r>
      <w:r>
        <w:rPr>
          <w:sz w:val="18"/>
        </w:rPr>
        <w:t>BSDS500</w:t>
      </w:r>
      <w:r>
        <w:rPr>
          <w:sz w:val="18"/>
        </w:rPr>
        <w:t>的</w:t>
      </w:r>
      <w:r>
        <w:rPr>
          <w:sz w:val="18"/>
        </w:rPr>
        <w:t>200</w:t>
      </w:r>
      <w:r>
        <w:rPr>
          <w:sz w:val="18"/>
        </w:rPr>
        <w:t>张测试图上，冻结配置的</w:t>
      </w:r>
      <w:r>
        <w:rPr>
          <w:sz w:val="18"/>
        </w:rPr>
        <w:t>Precision</w:t>
      </w:r>
      <w:r>
        <w:rPr>
          <w:sz w:val="18"/>
        </w:rPr>
        <w:t>、</w:t>
      </w:r>
      <w:r>
        <w:rPr>
          <w:sz w:val="18"/>
        </w:rPr>
        <w:t>Recall</w:t>
      </w:r>
      <w:r>
        <w:rPr>
          <w:sz w:val="18"/>
        </w:rPr>
        <w:t>和</w:t>
      </w:r>
      <w:r>
        <w:rPr>
          <w:sz w:val="18"/>
        </w:rPr>
        <w:t>F1</w:t>
      </w:r>
      <w:r>
        <w:rPr>
          <w:sz w:val="18"/>
        </w:rPr>
        <w:t>分别为</w:t>
      </w:r>
      <w:r>
        <w:rPr>
          <w:sz w:val="18"/>
        </w:rPr>
        <w:t>55.38%</w:t>
      </w:r>
      <w:r>
        <w:rPr>
          <w:sz w:val="18"/>
        </w:rPr>
        <w:t>、</w:t>
      </w:r>
      <w:r>
        <w:rPr>
          <w:sz w:val="18"/>
        </w:rPr>
        <w:t>65.82%</w:t>
      </w:r>
      <w:r>
        <w:rPr>
          <w:sz w:val="18"/>
        </w:rPr>
        <w:t>和</w:t>
      </w:r>
      <w:r>
        <w:rPr>
          <w:sz w:val="18"/>
        </w:rPr>
        <w:t>60.15%</w:t>
      </w:r>
      <w:r>
        <w:rPr>
          <w:sz w:val="18"/>
        </w:rPr>
        <w:t>，</w:t>
      </w:r>
      <w:r>
        <w:rPr>
          <w:sz w:val="18"/>
        </w:rPr>
        <w:t>F1</w:t>
      </w:r>
      <w:r>
        <w:rPr>
          <w:sz w:val="18"/>
        </w:rPr>
        <w:t>较灰度对照提高</w:t>
      </w:r>
      <w:r>
        <w:rPr>
          <w:sz w:val="18"/>
        </w:rPr>
        <w:t>0.418</w:t>
      </w:r>
      <w:r>
        <w:rPr>
          <w:sz w:val="18"/>
        </w:rPr>
        <w:t>个百分点。消融结果支持颜色融合与相位支持的固定工作点收益；额外弱连接门控主要改变查准率与查全率的取舍。</w:t>
      </w:r>
      <w:r>
        <w:rPr>
          <w:sz w:val="18"/>
        </w:rPr>
        <w:t>10</w:t>
      </w:r>
      <w:r>
        <w:rPr>
          <w:sz w:val="18"/>
        </w:rPr>
        <w:t>图高斯噪声实验中，主方法</w:t>
      </w:r>
      <w:r>
        <w:rPr>
          <w:sz w:val="18"/>
        </w:rPr>
        <w:t>F1</w:t>
      </w:r>
      <w:r>
        <w:rPr>
          <w:sz w:val="18"/>
        </w:rPr>
        <w:t>随噪声增强而下降，与灰度方法接近。结果说明普通二维</w:t>
      </w:r>
      <w:r>
        <w:rPr>
          <w:sz w:val="18"/>
        </w:rPr>
        <w:t>FFT</w:t>
      </w:r>
      <w:r>
        <w:rPr>
          <w:sz w:val="18"/>
        </w:rPr>
        <w:t>可构建可解释的彩色边缘检测流程，其性能仍受工作点、纹理干扰和评价范围限制。</w:t>
      </w:r>
    </w:p>
    <w:p w14:paraId="0BFD56BC" w14:textId="77777777" w:rsidR="0062037C" w:rsidRDefault="003946E5">
      <w:pPr>
        <w:widowControl/>
        <w:autoSpaceDE w:val="0"/>
        <w:autoSpaceDN w:val="0"/>
        <w:snapToGrid w:val="0"/>
        <w:ind w:firstLine="360"/>
      </w:pPr>
      <w:r>
        <w:rPr>
          <w:b/>
          <w:sz w:val="18"/>
        </w:rPr>
        <w:t>关键词：</w:t>
      </w:r>
      <w:r>
        <w:rPr>
          <w:sz w:val="18"/>
        </w:rPr>
        <w:t>二维傅里叶变换；高斯导数；彩色边缘检测；相位一致性；消融实验</w:t>
      </w:r>
    </w:p>
    <w:p w14:paraId="10F51F0D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t>1</w:t>
      </w:r>
      <w:r>
        <w:rPr>
          <w:b/>
          <w:sz w:val="24"/>
        </w:rPr>
        <w:t>引言</w:t>
      </w:r>
    </w:p>
    <w:p w14:paraId="26B4E468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边缘检测需要从图像中提取有意义的强度或颜色变化。自然图像同时包含物体轮廓、表面纹理和光照变化，梯度较大并不意味着一定存在需要保留的轮廓。提高阈值虽然能够减少误检，却也可能使弱边缘消失或断裂。因此，评价边缘检测不能只看线条是否清晰，还要考察查准率与查全率之间的平衡。</w:t>
      </w:r>
    </w:p>
    <w:p w14:paraId="04AB237B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经典</w:t>
      </w:r>
      <w:r>
        <w:t>Canny</w:t>
      </w:r>
      <w:r>
        <w:t>方法将平滑、梯度、非极大值抑制和连接组织为完整检测流程</w:t>
      </w:r>
      <w:r>
        <w:t>[1]</w:t>
      </w:r>
      <w:r>
        <w:t>。对于彩色图像，</w:t>
      </w:r>
      <w:r>
        <w:t>DiZenzo</w:t>
      </w:r>
      <w:r>
        <w:t>的向量梯度通过张量描述多个通道沿同一方向的变化</w:t>
      </w:r>
      <w:r>
        <w:t>[2]</w:t>
      </w:r>
      <w:r>
        <w:t>；相位一致性则依据不同频率成分的相位关系表征局部特征，为单纯依赖梯度幅值提供补充</w:t>
      </w:r>
      <w:r>
        <w:t>[3]</w:t>
      </w:r>
      <w:r>
        <w:t>。近期的非深度学习研究仍在探索颜色与方向信息的融合。例如，</w:t>
      </w:r>
      <w:r>
        <w:t>Li</w:t>
      </w:r>
      <w:r>
        <w:t>等于</w:t>
      </w:r>
      <w:r>
        <w:t>2023</w:t>
      </w:r>
      <w:r>
        <w:t>年提出</w:t>
      </w:r>
      <w:r>
        <w:t>M²GF</w:t>
      </w:r>
      <w:r>
        <w:t>，在</w:t>
      </w:r>
      <w:r>
        <w:t>Lab</w:t>
      </w:r>
      <w:r>
        <w:t>空间融合多尺度、多方向</w:t>
      </w:r>
      <w:r>
        <w:t>Gabor</w:t>
      </w:r>
      <w:r>
        <w:t>响应</w:t>
      </w:r>
      <w:r>
        <w:t>[4]</w:t>
      </w:r>
      <w:r>
        <w:t>；</w:t>
      </w:r>
      <w:r>
        <w:t>Gao</w:t>
      </w:r>
      <w:r>
        <w:t>等于</w:t>
      </w:r>
      <w:r>
        <w:t>2026</w:t>
      </w:r>
      <w:r>
        <w:t>年结合</w:t>
      </w:r>
      <w:r>
        <w:t>Gabor</w:t>
      </w:r>
      <w:r>
        <w:t>、方向增强</w:t>
      </w:r>
      <w:r>
        <w:t>Sobel</w:t>
      </w:r>
      <w:r>
        <w:t>和局部一致性，并讨论</w:t>
      </w:r>
      <w:r>
        <w:t>FFT</w:t>
      </w:r>
      <w:r>
        <w:t>与可分离卷积的实现</w:t>
      </w:r>
      <w:r>
        <w:t>[5]</w:t>
      </w:r>
      <w:r>
        <w:t>。这些工作提供了滤波与融合的研究思路，但其论文成绩不能直接视为本项目统一条件下的对照结果。</w:t>
      </w:r>
    </w:p>
    <w:p w14:paraId="347CD3EA" w14:textId="3827C5A0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本文围绕课程中的卷积定理和微分性质，用普通二维</w:t>
      </w:r>
      <w:r>
        <w:t>FFT</w:t>
      </w:r>
      <w:r>
        <w:t>构建彩色边缘检测程序，并通过完整数据集比较、模块消融和有限噪声实验分析各环节的作用。研究重点是数学性质的实现与实验解释</w:t>
      </w:r>
      <w:r>
        <w:t>。</w:t>
      </w:r>
    </w:p>
    <w:p w14:paraId="33DA949F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t>2</w:t>
      </w:r>
      <w:r>
        <w:rPr>
          <w:b/>
          <w:sz w:val="24"/>
        </w:rPr>
        <w:t>原理与</w:t>
      </w:r>
      <w:r>
        <w:rPr>
          <w:b/>
          <w:sz w:val="24"/>
        </w:rPr>
        <w:t>MATLAB</w:t>
      </w:r>
      <w:r>
        <w:rPr>
          <w:b/>
          <w:sz w:val="24"/>
        </w:rPr>
        <w:t>实现</w:t>
      </w:r>
    </w:p>
    <w:p w14:paraId="63845EB8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2.1</w:t>
      </w:r>
      <w:r>
        <w:rPr>
          <w:b/>
        </w:rPr>
        <w:t>频域高斯导数</w:t>
      </w:r>
    </w:p>
    <w:p w14:paraId="68329335" w14:textId="21BBA9F0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设图像为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3DA379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50F8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F750F8&quot; wsp:rsidRDefault=&quot;00F750F8&quot; wsp:rsidP=&quot;00F750F8&quot;&gt;&lt;m:oMathPara&gt;&lt;m:oMath&gt;&lt;m:r&gt;&lt;w:rPr&gt;&lt;w:rFonts w:ascii=&quot;Cambria Math&quot; w:h-ansi=&quot;Cambria Math&quot; w:cs=&quot;Cambria Math&quot;/&gt;&lt;wx:font wx:val=&quot;Cambria Math&quot;/&gt;&lt;w:i/&gt;&lt;/w:rPr&gt;&lt;m:t&gt;I(y,x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7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3F9F1446">
          <v:shape id="_x0000_i1026" type="#_x0000_t75" style="width:29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50F8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F750F8&quot; wsp:rsidRDefault=&quot;00F750F8&quot; wsp:rsidP=&quot;00F750F8&quot;&gt;&lt;m:oMathPara&gt;&lt;m:oMath&gt;&lt;m:r&gt;&lt;w:rPr&gt;&lt;w:rFonts w:ascii=&quot;Cambria Math&quot; w:h-ansi=&quot;Cambria Math&quot; w:cs=&quot;Cambria Math&quot;/&gt;&lt;wx:font wx:val=&quot;Cambria Math&quot;/&gt;&lt;w:i/&gt;&lt;/w:rPr&gt;&lt;m:t&gt;I(y,x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7" o:title="" chromakey="white"/>
          </v:shape>
        </w:pict>
      </w:r>
      <w:r w:rsidR="00187C02" w:rsidRPr="00187C02">
        <w:fldChar w:fldCharType="end"/>
      </w:r>
      <w:r>
        <w:t>，大小为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160FDC18">
          <v:shape id="_x0000_i1027" type="#_x0000_t75" style="width:29.3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41A80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141A80&quot; wsp:rsidRDefault=&quot;00141A80&quot; wsp:rsidP=&quot;00141A80&quot;&gt;&lt;m:oMathPara&gt;&lt;m:oMath&gt;&lt;m:r&gt;&lt;w:rPr&gt;&lt;w:rFonts w:ascii=&quot;Cambria Math&quot; w:h-ansi=&quot;Cambria Math&quot; w:cs=&quot;Cambria Math&quot;/&gt;&lt;wx:font wx:val=&quot;Cambria Math&quot;/&gt;&lt;w:i/&gt;&lt;/w:rPr&gt;&lt;m:t&gt;MÃ—N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8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13CFB0BB">
          <v:shape id="_x0000_i1028" type="#_x0000_t75" style="width:29.3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41A80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141A80&quot; wsp:rsidRDefault=&quot;00141A80&quot; wsp:rsidP=&quot;00141A80&quot;&gt;&lt;m:oMathPara&gt;&lt;m:oMath&gt;&lt;m:r&gt;&lt;w:rPr&gt;&lt;w:rFonts w:ascii=&quot;Cambria Math&quot; w:h-ansi=&quot;Cambria Math&quot; w:cs=&quot;Cambria Math&quot;/&gt;&lt;wx:font wx:val=&quot;Cambria Math&quot;/&gt;&lt;w:i/&gt;&lt;/w:rPr&gt;&lt;m:t&gt;MÃ—N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8" o:title="" chromakey="white"/>
          </v:shape>
        </w:pict>
      </w:r>
      <w:r w:rsidR="00187C02" w:rsidRPr="00187C02">
        <w:fldChar w:fldCharType="end"/>
      </w:r>
      <w:r>
        <w:t>，其二维离散傅里叶变换为</w:t>
      </w:r>
    </w:p>
    <w:p w14:paraId="77463456" w14:textId="1C803C3D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253FD2A1">
          <v:shape id="_x0000_i1029" type="#_x0000_t75" style="width:230pt;height:46.7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DE0BCF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DE0BCF&quot; wsp:rsidRPr=&quot;00DE0BCF&quot; wsp:rsidRDefault=&quot;00DE0BCF&quot; wsp:rsidP=&quot;00DE0BCF&quot;&gt;&lt;m:oMathPara&gt;&lt;m:oMath&gt;&lt;m:acc&gt;&lt;m:accPr&gt;&lt;m:ctrlPr&gt;&lt;w:rPr&gt;&lt;w:rFonts w:ascii=&quot;Cambria Math&quot; w:h-ansi=&quot;Cambria Math&quot;/&gt;&lt;wx:font wx:val=&quot;Cambria Math&quot;/&gt;&lt;/w:rPr&gt;&lt;/m:ctrlPr&gt;&lt;/m:accPr&gt;&lt;m:e&gt;&lt;m:r&gt;&lt;w:rPr&gt;&lt;w:rFonts w:ascii=&quot;Cambria Math&quot; w:h-ansi=&quot;Cambria Math&quot; w:cs=&quot;Cambria Math&quot;/&gt;&lt;wx:font wx:val=&quot;Cambria Math&quot;/&gt;&lt;w:i/&gt;&lt;/w:rPr&gt;&lt;m:t&gt;I&lt;/m:t&gt;&lt;/m:r&gt;&lt;/m:e&gt;&lt;/m:acc&gt;&lt;m:r&gt;&lt;w:rPr&gt;&lt;w:rFonts w:ascii=&quot;Cambria Math&quot; w:h-ansi=&quot;Cambria Math&quot; w:cs=&quot;Cambria Math&quot;/&gt;&lt;wx:font wx:val=&quot;Cambria Math&quot;/&gt;&lt;w:i/&gt;&lt;/w:rPr&gt;&lt;m:t&gt;(k,l)=&lt;/m:t&gt;&lt;/m:r&gt;&lt;m:nary&gt;&lt;m:naryPr&gt;&lt;m:chr m:val=&quot;âˆ‘&quot;/&gt;&lt;m:limLoc m:val=&quot;subSup&quot;/&gt;&lt;m:grow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y=0&lt;/m:t&gt;&lt;/m:r&gt;&lt;/m:sub&gt;&lt;m:sup&gt;&lt;m:r&gt;&lt;w:rPr&gt;&lt;w:rFonts w:ascii=&quot;Cambria Math&quot; w:h-ansi=&quot;Cambria Math&quot; w:cs=&quot;Cambria Math&quot;/&gt;&lt;wx:font wx:val=&quot;Cambria Math&quot;/&gt;&lt;w:i/&gt;&lt;/w:rPr&gt;&lt;m:t&gt;M-1&lt;/m:t&gt;&lt;/m:r&gt;&lt;/m:sup&gt;&lt;m:e&gt;&lt;m:nary&gt;&lt;m:naryPr&gt;&lt;m:chr m:val=&quot;âˆ‘&quot;/&gt;&lt;m:limLoc m:val=&quot;subSup&quot;/&gt;&lt;m:grow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x=0&lt;/m:t&gt;&lt;/m:r&gt;&lt;/m:sub&gt;&lt;m:sup&gt;&lt;m:r&gt;&lt;w:rPr&gt;&lt;w:rFonts w:ascii=&quot;Cambria Math&quot; w:h-ansi=&quot;Cambria Math&quot; w:cs=&quot;Cambria Math&quot;/&gt;&lt;wx:font wx:val=&quot;Cambria Math&quot;/&gt;&lt;w:i/&gt;&lt;/w:rPr&gt;&lt;m:t&gt;N-1&lt;/m:t&gt;&lt;/m:r&gt;&lt;/m:sup&gt;&lt;m:e&gt;&lt;m:r&gt;&lt;w:rPr&gt;&lt;w:rFonts w:ascii=&quot;Cambria Math&quot; w:h-ansi=&quot;Cambria Math&quot; w:cs=&quot;Cambria Math&quot;/&gt;&lt;wx:font wx:val=&quot;Cambria Math&quot;/&gt;&lt;w:i/&gt;&lt;/w:rPr&gt;&lt;m:t&gt;I(y,x)&lt;/m:t&gt;&lt;/m:r&gt;&lt;m:r&gt;&lt;m:rPr&gt;&lt;m:sty m:val=&quot;p&quot;/&gt;&lt;/m:rPr&gt;&lt;w:rPr&gt;&lt;w:rFonts w:ascii=&quot;Cambria Math&quot; w:h-ansi=&quot;Cambria Math&quot; w:cs=&quot;Cambria Math&quot;/&gt;&lt;wx:font wx:val=&quot;Cambria Math&quot;/&gt;&lt;/w:rPr&gt;&lt;m:t&gt;exp&lt;/m:t&gt;&lt;/m:r&gt;&lt;m:r&gt;&lt;w:rPr&gt;&lt;w:rFonts w:ascii=&quot;Cambria Math&quot; w:h-ansi=&quot;Cambria Math&quot; w:cs=&quot;Cambria Math&quot;/&gt;&lt;wx:font wx:val=&quot;Cambria Math&quot;/&gt;&lt;w:i/&gt;&lt;/w:rPr&gt;&lt;m:t&gt;[-2Ï€&lt;/m:t&gt;&lt;/m:r&gt;&lt;/m:e&gt;&lt;/m:nary&gt;&lt;/m:e&gt;&lt;/m:nary&gt;&lt;m:r&gt;&lt;m:rPr&gt;&lt;m:sty m:val=&quot;p&quot;/&gt;&lt;/m:rPr&gt;&lt;w:rPr&gt;&lt;w:rFonts w:ascii=&quot;Cambria Math&quot; w:h-ansi=&quot;Cambria Math&quot; w:cs=&quot;Cambria Math&quot;/&gt;&lt;wx:font wx:val=&quot;Cambria Math&quot;/&gt;&lt;/w:rPr&gt;&lt;m:t&gt;i&lt;/m:t&gt;&lt;/m:r&gt;&lt;m:r&gt;&lt;w:rPr&gt;&lt;w:rFonts w:ascii=&quot;Cambria Math&quot; w:h-ansi=&quot;Cambria Math&quot; w:cs=&quot;Cambria Math&quot;/&gt;&lt;wx:font wx:val=&quot;Cambria Math&quot;/&gt;&lt;w:i/&gt;&lt;/w:rPr&gt;&lt;m:t&gt;(&lt;/m:t&gt;&lt;/m:r&gt;&lt;m:f&gt;&lt;m:fPr&gt;&lt;m:ctrlPr&gt;&lt;w:rPr&gt;&lt;w:rFonts w:ascii=&quot;Cambria Math&quot; w:h-ansi=&quot;Cambria Math&quot;/&gt;&lt;wx:font wx:val=&quot;Cambria Math&quot;/&gt;&lt;/w:rPr&gt;&lt;/m:ctrlPr&gt;&lt;/m:fPr&gt;&lt;m:num&gt;&lt;m:r&gt;&lt;w:rPr&gt;&lt;w:rFonts w:ascii=&quot;Cambria Math&quot; w:h-ansi=&quot;Cambria Math&quot; w:cs=&quot;Cambria Math&quot;/&gt;&lt;wx:font wx:val=&quot;Cambria Math&quot;/&gt;&lt;w:i/&gt;&lt;/w:rPr&gt;&lt;m:t&gt;ky&lt;/m:t&gt;&lt;/m:r&gt;&lt;/m:num&gt;&lt;m:den&gt;&lt;m:r&gt;&lt;w:rPr&gt;&lt;w:rFonts w:ascii=&quot;Cambria Math&quot; w:h-ansi=&quot;Cambria Math&quot; w:cs=&quot;Cambria Math&quot;/&gt;&lt;wx:font wx:val=&quot;Cambria Math&quot;/&gt;&lt;w:i/&gt;&lt;/w:rPr&gt;&lt;m:t&gt;M&lt;/m:t&gt;&lt;/m:r&gt;&lt;/m:den&gt;&lt;/m:f&gt;&lt;m:r&gt;&lt;w:rPr&gt;&lt;w:rFonts w:ascii=&quot;Cambria Math&quot; w:h-ansi=&quot;Cambria Math&quot; w:cs=&quot;Cambria Math&quot;/&gt;&lt;wx:font wx:val=&quot;Cambria Math&quot;/&gt;&lt;w:i/&gt;&lt;/w:rPr&gt;&lt;m:t&gt;+&lt;/m:t&gt;&lt;/m:r&gt;&lt;m:f&gt;&lt;m:fPr&gt;&lt;m:ctrlPr&gt;&lt;w:rPr&gt;&lt;w:rFonts w:ascii=&quot;Cambria Math&quot; w:h-ansi=&quot;Cambria Math&quot;/&gt;&lt;wx:font wx:val=&quot;Cambria Math&quot;/&gt;&lt;/w:rPr&gt;&lt;/m:ctrlPr&gt;&lt;/m:fPr&gt;&lt;m:num&gt;&lt;m:r&gt;&lt;w:rPr&gt;&lt;w:rFonts w:ascii=&quot;Cambria Math&quot; w:h-ansi=&quot;Cambria Math&quot; w:cs=&quot;Cambria Math&quot;/&gt;&lt;wx:font wx:val=&quot;Cambria Math&quot;/&gt;&lt;w:i/&gt;&lt;/w:rPr&gt;&lt;m:t&gt;lx&lt;/m:t&gt;&lt;/m:r&gt;&lt;/m:num&gt;&lt;m:den&gt;&lt;m:r&gt;&lt;w:rPr&gt;&lt;w:rFonts w:ascii=&quot;Cambria Math&quot; w:h-ansi=&quot;Cambria Math&quot; w:cs=&quot;Cambria Math&quot;/&gt;&lt;wx:font wx:val=&quot;Cambria Math&quot;/&gt;&lt;w:i/&gt;&lt;/w:rPr&gt;&lt;m:t&gt;N&lt;/m:t&gt;&lt;/m:r&gt;&lt;/m:den&gt;&lt;/m:f&gt;&lt;m:r&gt;&lt;w:rPr&gt;&lt;w:rFonts w:ascii=&quot;Cambria Math&quot; w:h-ansi=&quot;Cambria Math&quot; w:cs=&quot;Cambria Math&quot;/&gt;&lt;wx:font wx:val=&quot;Cambria Math&quot;/&gt;&lt;w:i/&gt;&lt;/w:rPr&gt;&lt;m:t&gt;)].&lt;/m:t&gt;&lt;/m:r&gt;&lt;/m:oMath&gt;&lt;/m:oMathPara&gt;&lt;/w:p&gt;&lt;w:sectPr wsp:rsidR=&quot;00000000&quot; wsp:rsidRPr=&quot;00DE0BCF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9" o:title="" chromakey="white"/>
          </v:shape>
        </w:pict>
      </w:r>
    </w:p>
    <w:p w14:paraId="7EE807BB" w14:textId="66012ECC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FFT</w:t>
      </w:r>
      <w:r>
        <w:t>是计算</w:t>
      </w:r>
      <w:r>
        <w:t>DFT</w:t>
      </w:r>
      <w:r>
        <w:t>的快速算法</w:t>
      </w:r>
      <w:r>
        <w:t>[6]</w:t>
      </w:r>
      <w:r>
        <w:t>。卷积定理使空间滤波可以通过频谱相乘实现；微分性质则将方向导数转化为相应频率坐标的乘法。以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0CC1EB35">
          <v:shape id="_x0000_i1030" type="#_x0000_t75" style="width:16.0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64E1C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64E1C&quot; wsp:rsidRDefault=&quot;00564E1C&quot; wsp:rsidP=&quot;00564E1C&quot;&gt;&lt;m:oMathPara&gt;&lt;m:oMath&gt;&lt;m:r&gt;&lt;w:rPr&gt;&lt;w:rFonts w:ascii=&quot;Cambria Math&quot; w:h-ansi=&quot;Cambria Math&quot; w:cs=&quot;Cambria Math&quot;/&gt;&lt;wx:font wx:val=&quot;Cambria Math&quot;/&gt;&lt;w:i/&gt;&lt;/w:rPr&gt;&lt;m:t&gt;u,v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0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661F9E1A">
          <v:shape id="_x0000_i1031" type="#_x0000_t75" style="width:16.0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64E1C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64E1C&quot; wsp:rsidRDefault=&quot;00564E1C&quot; wsp:rsidP=&quot;00564E1C&quot;&gt;&lt;m:oMathPara&gt;&lt;m:oMath&gt;&lt;m:r&gt;&lt;w:rPr&gt;&lt;w:rFonts w:ascii=&quot;Cambria Math&quot; w:h-ansi=&quot;Cambria Math&quot; w:cs=&quot;Cambria Math&quot;/&gt;&lt;wx:font wx:val=&quot;Cambria Math&quot;/&gt;&lt;w:i/&gt;&lt;/w:rPr&gt;&lt;m:t&gt;u,v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0" o:title="" chromakey="white"/>
          </v:shape>
        </w:pict>
      </w:r>
      <w:r w:rsidR="00187C02" w:rsidRPr="00187C02">
        <w:fldChar w:fldCharType="end"/>
      </w:r>
      <w:r>
        <w:t>表示列、行方向的频率，单位为</w:t>
      </w:r>
      <w:r>
        <w:t>cycles/pixel</w:t>
      </w:r>
      <w:r>
        <w:t>，高斯频率响应与两个导数算子为</w:t>
      </w:r>
    </w:p>
    <w:p w14:paraId="267D9389" w14:textId="3884E118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7BDBC0EB">
          <v:shape id="_x0000_i1032" type="#_x0000_t75" style="width:283.2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01E3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1A01E3&quot; wsp:rsidRPr=&quot;001A01E3&quot; wsp:rsidRDefault=&quot;001A01E3&quot; wsp:rsidP=&quot;001A01E3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H&lt;/m:t&gt;&lt;/m:r&gt;&lt;/m:e&gt;&lt;m:sub&gt;&lt;m:r&gt;&lt;w:rPr&gt;&lt;w:rFonts w:ascii=&quot;Cambria Math&quot; w:h-ansi=&quot;Cambria Math&quot; w:cs=&quot;Cambria Math&quot;/&gt;&lt;wx:font wx:val=&quot;Cambria Math&quot;/&gt;&lt;w:i/&gt;&lt;/w:rPr&gt;&lt;m:t&gt;Ïƒ&lt;/m:t&gt;&lt;/m:r&gt;&lt;/m:sub&gt;&lt;/m:sSub&gt;&lt;m:r&gt;&lt;w:rPr&gt;&lt;w:rFonts w:ascii=&quot;Cambria Math&quot; w:h-ansi=&quot;Cambria Math&quot; w:cs=&quot;Cambria Math&quot;/&gt;&lt;wx:font wx:val=&quot;Cambria Math&quot;/&gt;&lt;w:i/&gt;&lt;/w:rPr&gt;&lt;m:t&gt;(u,v)=&lt;/m:t&gt;&lt;/m:r&gt;&lt;m:r&gt;&lt;m:rPr&gt;&lt;m:sty m:val=&quot;p&quot;/&gt;&lt;/m:rPr&gt;&lt;w:rPr&gt;&lt;w:rFonts w:ascii=&quot;Cambria Math&quot; w:h-ansi=&quot;Cambria Math&quot; w:cs=&quot;Cambria Math&quot;/&gt;&lt;wx:font wx:val=&quot;Cambria Math&quot;/&gt;&lt;/w:rPr&gt;&lt;m:t&gt;exp&lt;/m:t&gt;&lt;/m:r&gt;&lt;m:r&gt;&lt;w:rPr&gt;&lt;w:rFonts w:ascii=&quot;Cambria Math&quot; w:h-ansi=&quot;Cambria Math&quot; w:cs=&quot;Cambria Math&quot;/&gt;&lt;wx:font wx:val=&quot;Cambria Math&quot;/&gt;&lt;w:i/&gt;&lt;/w:rPr&gt;&lt;m:t&gt;[-2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Ï€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Ïƒ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m:r&gt;&lt;w:rPr&gt;&lt;w:rFonts w:ascii=&quot;Cambria Math&quot; w:h-ansi=&quot;Cambria Math&quot; w:cs=&quot;Cambria Math&quot;/&gt;&lt;wx:font wx:val=&quot;Cambria Math&quot;/&gt;&lt;w:i/&gt;&lt;/w:rPr&gt;&lt;m:t&gt;(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u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m:r&gt;&lt;w:rPr&gt;&lt;w:rFonts w:ascii=&quot;Cambria Math&quot; w:h-ansi=&quot;Cambria Math&quot; w:cs=&quot;Cambria Math&quot;/&gt;&lt;wx:font wx:val=&quot;Cambria Math&quot;/&gt;&lt;w:i/&gt;&lt;/w:rPr&gt;&lt;m:t&gt;+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v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m:r&gt;&lt;w:rPr&gt;&lt;w:rFonts w:ascii=&quot;Cambria Math&quot; w:h-ansi=&quot;Cambria Math&quot; w:cs=&quot;Cambria Math&quot;/&gt;&lt;wx:font wx:val=&quot;Cambria Math&quot;/&gt;&lt;w:i/&gt;&lt;/w:rPr&gt;&lt;m:t&gt;)]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x&lt;/m:t&gt;&lt;/m:r&gt;&lt;/m:sub&gt;&lt;/m:sSub&gt;&lt;m:r&gt;&lt;w:rPr&gt;&lt;w:rFonts w:ascii=&quot;Cambria Math&quot; w:h-ansi=&quot;Cambria Math&quot; w:cs=&quot;Cambria Math&quot;/&gt;&lt;wx:font wx:val=&quot;Cambria Math&quot;/&gt;&lt;w:i/&gt;&lt;/w:rPr&gt;&lt;m:t&gt;=2Ï€&lt;/m:t&gt;&lt;/m:r&gt;&lt;m:r&gt;&lt;m:rPr&gt;&lt;m:sty m:val=&quot;p&quot;/&gt;&lt;/m:rPr&gt;&lt;w:rPr&gt;&lt;w:rFonts w:ascii=&quot;Cambria Math&quot; w:h-ansi=&quot;Cambria Math&quot; w:cs=&quot;Cambria Math&quot;/&gt;&lt;wx:font wx:val=&quot;Cambria Math&quot;/&gt;&lt;/w:rPr&gt;&lt;m:t&gt;i&lt;/m:t&gt;&lt;/m:r&gt;&lt;m:r&gt;&lt;w:rPr&gt;&lt;w:rFonts w:ascii=&quot;Cambria Math&quot; w:h-ansi=&quot;Cambria Math&quot; w:cs=&quot;Cambria Math&quot;/&gt;&lt;wx:font wx:val=&quot;Cambria Math&quot;/&gt;&lt;w:i/&gt;&lt;/w:rPr&gt;&lt;m:t&gt;u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H&lt;/m:t&gt;&lt;/m:r&gt;&lt;/m:e&gt;&lt;m:sub&gt;&lt;m:r&gt;&lt;w:rPr&gt;&lt;w:rFonts w:ascii=&quot;Cambria Math&quot; w:h-ansi=&quot;Cambria Math&quot; w:cs=&quot;Cambria Math&quot;/&gt;&lt;wx:font wx:val=&quot;Cambria Math&quot;/&gt;&lt;w:i/&gt;&lt;/w:rPr&gt;&lt;m:t&gt;Ïƒ&lt;/m:t&gt;&lt;/m:r&gt;&lt;/m:sub&gt;&lt;/m:sSub&gt;&lt;m:r&gt;&lt;w:rPr&gt;&lt;w:rFonts w:ascii=&quot;Cambria Math&quot; w:h-ansi=&quot;Cambria Math&quot; w:cs=&quot;Cambria Math&quot;/&gt;&lt;wx:font wx:val=&quot;Cambria Math&quot;/&gt;&lt;w:i/&gt;&lt;/w:rPr&gt;&lt;m:t&gt;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=2Ï€&lt;/m:t&gt;&lt;/m:r&gt;&lt;m:r&gt;&lt;m:rPr&gt;&lt;m:sty m:val=&quot;p&quot;/&gt;&lt;/m:rPr&gt;&lt;w:rPr&gt;&lt;w:rFonts w:ascii=&quot;Cambria Math&quot; w:h-ansi=&quot;Cambria Math&quot; w:cs=&quot;Cambria Math&quot;/&gt;&lt;wx:font wx:val=&quot;Cambria Math&quot;/&gt;&lt;/w:rPr&gt;&lt;m:t&gt;i&lt;/m:t&gt;&lt;/m:r&gt;&lt;m:r&gt;&lt;w:rPr&gt;&lt;w:rFonts w:ascii=&quot;Cambria Math&quot; w:h-ansi=&quot;Cambria Math&quot; w:cs=&quot;Cambria Math&quot;/&gt;&lt;wx:font wx:val=&quot;Cambria Math&quot;/&gt;&lt;w:i/&gt;&lt;/w:rPr&gt;&lt;m:t&gt;v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H&lt;/m:t&gt;&lt;/m:r&gt;&lt;/m:e&gt;&lt;m:sub&gt;&lt;m:r&gt;&lt;w:rPr&gt;&lt;w:rFonts w:ascii=&quot;Cambria Math&quot; w:h-ansi=&quot;Cambria Math&quot; w:cs=&quot;Cambria Math&quot;/&gt;&lt;wx:font wx:val=&quot;Cambria Math&quot;/&gt;&lt;w:i/&gt;&lt;/w:rPr&gt;&lt;m:t&gt;Ïƒ&lt;/m:t&gt;&lt;/m:r&gt;&lt;/m:sub&gt;&lt;/m:sSub&gt;&lt;m:r&gt;&lt;w:rPr&gt;&lt;w:rFonts w:ascii=&quot;Cambria Math&quot; w:h-ansi=&quot;Cambria Math&quot; w:cs=&quot;Cambria Math&quot;/&gt;&lt;wx:font wx:val=&quot;Cambria Math&quot;/&gt;&lt;w:i/&gt;&lt;/w:rPr&gt;&lt;m:t&gt;.&lt;/m:t&gt;&lt;/m:r&gt;&lt;/m:oMath&gt;&lt;/m:oMathPara&gt;&lt;/w:p&gt;&lt;w:sectPr wsp:rsidR=&quot;00000000&quot; wsp:rsidRPr=&quot;001A01E3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1" o:title="" chromakey="white"/>
          </v:shape>
        </w:pict>
      </w:r>
    </w:p>
    <w:p w14:paraId="615D88F1" w14:textId="40A8BC3C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对灰度分量及各颜色通道分别计算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9"/>
        </w:rPr>
        <w:pict w14:anchorId="44EAAE4D">
          <v:shape id="_x0000_i1033" type="#_x0000_t75" style="width:93.1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06892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F06892&quot; wsp:rsidRDefault=&quot;00F06892&quot; wsp:rsidP=&quot;00F0689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x,c&lt;/m:t&gt;&lt;/m:r&gt;&lt;/m:sub&gt;&lt;/m:sSub&gt;&lt;m:r&gt;&lt;m:rPr&gt;&lt;m:scr m:val=&quot;fraktur&quot;/&gt;&lt;/m:rPr&gt;&lt;w:rPr&gt;&lt;w:rFonts w:ascii=&quot;Cambria Math&quot; w:h-ansi=&quot;Cambria Math&quot; w:cs=&quot;Cambria Math&quot;/&gt;&lt;wx:font wx:val=&quot;Cambria Math&quot;/&gt;&lt;w:i/&gt;&lt;/w:rPr&gt;&lt;m:t&gt;=R{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m:rPr&gt;&lt;m:scr m:val=&quot;script&quot;/&gt;&lt;/m:rPr&gt;&lt;w:rPr&gt;&lt;w:rFonts w:ascii=&quot;Cambria Math&quot; w:h-ansi=&quot;Cambria Math&quot; w:cs=&quot;Cambria Math&quot;/&gt;&lt;wx:font wx:val=&quot;Cambria Math&quot;/&gt;&lt;w:i/&gt;&lt;/w:rPr&gt;&lt;m:t&gt;F&lt;/m:t&gt;&lt;/m:r&gt;&lt;/m:e&gt;&lt;m:sup&gt;&lt;m:r&gt;&lt;w:rPr&gt;&lt;w:rFonts w:ascii=&quot;Cambria Math&quot; w:h-ansi=&quot;Cambria Math&quot; w:cs=&quot;Cambria Math&quot;/&gt;&lt;wx:font wx:val=&quot;Cambria Math&quot;/&gt;&lt;w:i/&gt;&lt;/w:rPr&gt;&lt;m:t&gt;-1&lt;/m:t&gt;&lt;/m:r&gt;&lt;/m:sup&gt;&lt;/m:sSup&gt;&lt;m:r&gt;&lt;w:rPr&gt;&lt;w:rFonts w:ascii=&quot;Cambria Math&quot; w:h-ansi=&quot;Cambria Math&quot; w:cs=&quot;Cambria Math&quot;/&gt;&lt;wx:font wx:val=&quot;Cambria Math&quot;/&gt;&lt;w:i/&gt;&lt;/w:rPr&gt;&lt;m:t&gt;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acc&gt;&lt;m:accPr&gt;&lt;m:ctrlPr&gt;&lt;w:rPr&gt;&lt;w:rFonts w:ascii=&quot;Cambria Math&quot; w:h-ansi=&quot;Cambria Math&quot;/&gt;&lt;wx:font wx:val=&quot;Cambria Math&quot;/&gt;&lt;/w:rPr&gt;&lt;/m:ctrlPr&gt;&lt;/m:accPr&gt;&lt;m:e&gt;&lt;m:r&gt;&lt;w:rPr&gt;&lt;w:rFonts w:ascii=&quot;Cambria Math&quot; w:h-ansi=&quot;Cambria Math&quot; w:cs=&quot;Cambria Math&quot;/&gt;&lt;wx:font wx:val=&quot;Cambria Math&quot;/&gt;&lt;w:i/&gt;&lt;/w:rPr&gt;&lt;m:t&gt;I&lt;/m:t&gt;&lt;/m:r&gt;&lt;/m:e&gt;&lt;/m:acc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x&lt;/m:t&gt;&lt;/m:r&gt;&lt;/m:sub&gt;&lt;/m:sSub&gt;&lt;m:r&gt;&lt;w:rPr&gt;&lt;w:rFonts w:ascii=&quot;Cambria Math&quot; w:h-ansi=&quot;Cambria Math&quot; w:cs=&quot;Cambria Math&quot;/&gt;&lt;wx:font wx:val=&quot;Cambria Math&quot;/&gt;&lt;w:i/&gt;&lt;/w:rPr&gt;&lt;m:t&gt;)}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2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9"/>
        </w:rPr>
        <w:pict w14:anchorId="7DF5F38F">
          <v:shape id="_x0000_i1034" type="#_x0000_t75" style="width:93.1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06892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F06892&quot; wsp:rsidRDefault=&quot;00F06892&quot; wsp:rsidP=&quot;00F0689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x,c&lt;/m:t&gt;&lt;/m:r&gt;&lt;/m:sub&gt;&lt;/m:sSub&gt;&lt;m:r&gt;&lt;m:rPr&gt;&lt;m:scr m:val=&quot;fraktur&quot;/&gt;&lt;/m:rPr&gt;&lt;w:rPr&gt;&lt;w:rFonts w:ascii=&quot;Cambria Math&quot; w:h-ansi=&quot;Cambria Math&quot; w:cs=&quot;Cambria Math&quot;/&gt;&lt;wx:font wx:val=&quot;Cambria Math&quot;/&gt;&lt;w:i/&gt;&lt;/w:rPr&gt;&lt;m:t&gt;=R{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m:rPr&gt;&lt;m:scr m:val=&quot;script&quot;/&gt;&lt;/m:rPr&gt;&lt;w:rPr&gt;&lt;w:rFonts w:ascii=&quot;Cambria Math&quot; w:h-ansi=&quot;Cambria Math&quot; w:cs=&quot;Cambria Math&quot;/&gt;&lt;wx:font wx:val=&quot;Cambria Math&quot;/&gt;&lt;w:i/&gt;&lt;/w:rPr&gt;&lt;m:t&gt;F&lt;/m:t&gt;&lt;/m:r&gt;&lt;/m:e&gt;&lt;m:sup&gt;&lt;m:r&gt;&lt;w:rPr&gt;&lt;w:rFonts w:ascii=&quot;Cambria Math&quot; w:h-ansi=&quot;Cambria Math&quot; w:cs=&quot;Cambria Math&quot;/&gt;&lt;wx:font wx:val=&quot;Cambria Math&quot;/&gt;&lt;w:i/&gt;&lt;/w:rPr&gt;&lt;m:t&gt;-1&lt;/m:t&gt;&lt;/m:r&gt;&lt;/m:sup&gt;&lt;/m:sSup&gt;&lt;m:r&gt;&lt;w:rPr&gt;&lt;w:rFonts w:ascii=&quot;Cambria Math&quot; w:h-ansi=&quot;Cambria Math&quot; w:cs=&quot;Cambria Math&quot;/&gt;&lt;wx:font wx:val=&quot;Cambria Math&quot;/&gt;&lt;w:i/&gt;&lt;/w:rPr&gt;&lt;m:t&gt;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acc&gt;&lt;m:accPr&gt;&lt;m:ctrlPr&gt;&lt;w:rPr&gt;&lt;w:rFonts w:ascii=&quot;Cambria Math&quot; w:h-ansi=&quot;Cambria Math&quot;/&gt;&lt;wx:font wx:val=&quot;Cambria Math&quot;/&gt;&lt;/w:rPr&gt;&lt;/m:ctrlPr&gt;&lt;/m:accPr&gt;&lt;m:e&gt;&lt;m:r&gt;&lt;w:rPr&gt;&lt;w:rFonts w:ascii=&quot;Cambria Math&quot; w:h-ansi=&quot;Cambria Math&quot; w:cs=&quot;Cambria Math&quot;/&gt;&lt;wx:font wx:val=&quot;Cambria Math&quot;/&gt;&lt;w:i/&gt;&lt;/w:rPr&gt;&lt;m:t&gt;I&lt;/m:t&gt;&lt;/m:r&gt;&lt;/m:e&gt;&lt;/m:acc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x&lt;/m:t&gt;&lt;/m:r&gt;&lt;/m:sub&gt;&lt;/m:sSub&gt;&lt;m:r&gt;&lt;w:rPr&gt;&lt;w:rFonts w:ascii=&quot;Cambria Math&quot; w:h-ansi=&quot;Cambria Math&quot; w:cs=&quot;Cambria Math&quot;/&gt;&lt;wx:font wx:val=&quot;Cambria Math&quot;/&gt;&lt;w:i/&gt;&lt;/w:rPr&gt;&lt;m:t&gt;)}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2" o:title="" chromakey="white"/>
          </v:shape>
        </w:pict>
      </w:r>
      <w:r w:rsidR="00187C02" w:rsidRPr="00187C02">
        <w:fldChar w:fldCharType="end"/>
      </w:r>
      <w:r>
        <w:t>和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9"/>
        </w:rPr>
        <w:pict w14:anchorId="7ED93DF2">
          <v:shape id="_x0000_i1035" type="#_x0000_t75" style="width:93.8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D5632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D5632&quot; wsp:rsidRDefault=&quot;00CD5632&quot; wsp:rsidP=&quot;00CD563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,c&lt;/m:t&gt;&lt;/m:r&gt;&lt;/m:sub&gt;&lt;/m:sSub&gt;&lt;m:r&gt;&lt;m:rPr&gt;&lt;m:scr m:val=&quot;fraktur&quot;/&gt;&lt;/m:rPr&gt;&lt;w:rPr&gt;&lt;w:rFonts w:ascii=&quot;Cambria Math&quot; w:h-ansi=&quot;Cambria Math&quot; w:cs=&quot;Cambria Math&quot;/&gt;&lt;wx:font wx:val=&quot;Cambria Math&quot;/&gt;&lt;w:i/&gt;&lt;/w:rPr&gt;&lt;m:t&gt;=R{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m:rPr&gt;&lt;m:scr m:val=&quot;script&quot;/&gt;&lt;/m:rPr&gt;&lt;w:rPr&gt;&lt;w:rFonts w:ascii=&quot;Cambria Math&quot; w:h-ansi=&quot;Cambria Math&quot; w:cs=&quot;Cambria Math&quot;/&gt;&lt;wx:font wx:val=&quot;Cambria Math&quot;/&gt;&lt;w:i/&gt;&lt;/w:rPr&gt;&lt;m:t&gt;F&lt;/m:t&gt;&lt;/m:r&gt;&lt;/m:e&gt;&lt;m:sup&gt;&lt;m:r&gt;&lt;w:rPr&gt;&lt;w:rFonts w:ascii=&quot;Cambria Math&quot; w:h-ansi=&quot;Cambria Math&quot; w:cs=&quot;Cambria Math&quot;/&gt;&lt;wx:font wx:val=&quot;Cambria Math&quot;/&gt;&lt;w:i/&gt;&lt;/w:rPr&gt;&lt;m:t&gt;-1&lt;/m:t&gt;&lt;/m:r&gt;&lt;/m:sup&gt;&lt;/m:sSup&gt;&lt;m:r&gt;&lt;w:rPr&gt;&lt;w:rFonts w:ascii=&quot;Cambria Math&quot; w:h-ansi=&quot;Cambria Math&quot; w:cs=&quot;Cambria Math&quot;/&gt;&lt;wx:font wx:val=&quot;Cambria Math&quot;/&gt;&lt;w:i/&gt;&lt;/w:rPr&gt;&lt;m:t&gt;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acc&gt;&lt;m:accPr&gt;&lt;m:ctrlPr&gt;&lt;w:rPr&gt;&lt;w:rFonts w:ascii=&quot;Cambria Math&quot; w:h-ansi=&quot;Cambria Math&quot;/&gt;&lt;wx:font wx:val=&quot;Cambria Math&quot;/&gt;&lt;/w:rPr&gt;&lt;/m:ctrlPr&gt;&lt;/m:accPr&gt;&lt;m:e&gt;&lt;m:r&gt;&lt;w:rPr&gt;&lt;w:rFonts w:ascii=&quot;Cambria Math&quot; w:h-ansi=&quot;Cambria Math&quot; w:cs=&quot;Cambria Math&quot;/&gt;&lt;wx:font wx:val=&quot;Cambria Math&quot;/&gt;&lt;w:i/&gt;&lt;/w:rPr&gt;&lt;m:t&gt;I&lt;/m:t&gt;&lt;/m:r&gt;&lt;/m:e&gt;&lt;/m:acc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)}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3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9"/>
        </w:rPr>
        <w:pict w14:anchorId="7C14B29E">
          <v:shape id="_x0000_i1036" type="#_x0000_t75" style="width:93.8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D5632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D5632&quot; wsp:rsidRDefault=&quot;00CD5632&quot; wsp:rsidP=&quot;00CD563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,c&lt;/m:t&gt;&lt;/m:r&gt;&lt;/m:sub&gt;&lt;/m:sSub&gt;&lt;m:r&gt;&lt;m:rPr&gt;&lt;m:scr m:val=&quot;fraktur&quot;/&gt;&lt;/m:rPr&gt;&lt;w:rPr&gt;&lt;w:rFonts w:ascii=&quot;Cambria Math&quot; w:h-ansi=&quot;Cambria Math&quot; w:cs=&quot;Cambria Math&quot;/&gt;&lt;wx:font wx:val=&quot;Cambria Math&quot;/&gt;&lt;w:i/&gt;&lt;/w:rPr&gt;&lt;m:t&gt;=R{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m:rPr&gt;&lt;m:scr m:val=&quot;script&quot;/&gt;&lt;/m:rPr&gt;&lt;w:rPr&gt;&lt;w:rFonts w:ascii=&quot;Cambria Math&quot; w:h-ansi=&quot;Cambria Math&quot; w:cs=&quot;Cambria Math&quot;/&gt;&lt;wx:font wx:val=&quot;Cambria Math&quot;/&gt;&lt;w:i/&gt;&lt;/w:rPr&gt;&lt;m:t&gt;F&lt;/m:t&gt;&lt;/m:r&gt;&lt;/m:e&gt;&lt;m:sup&gt;&lt;m:r&gt;&lt;w:rPr&gt;&lt;w:rFonts w:ascii=&quot;Cambria Math&quot; w:h-ansi=&quot;Cambria Math&quot; w:cs=&quot;Cambria Math&quot;/&gt;&lt;wx:font wx:val=&quot;Cambria Math&quot;/&gt;&lt;w:i/&gt;&lt;/w:rPr&gt;&lt;m:t&gt;-1&lt;/m:t&gt;&lt;/m:r&gt;&lt;/m:sup&gt;&lt;/m:sSup&gt;&lt;m:r&gt;&lt;w:rPr&gt;&lt;w:rFonts w:ascii=&quot;Cambria Math&quot; w:h-ansi=&quot;Cambria Math&quot; w:cs=&quot;Cambria Math&quot;/&gt;&lt;wx:font wx:val=&quot;Cambria Math&quot;/&gt;&lt;w:i/&gt;&lt;/w:rPr&gt;&lt;m:t&gt;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acc&gt;&lt;m:accPr&gt;&lt;m:ctrlPr&gt;&lt;w:rPr&gt;&lt;w:rFonts w:ascii=&quot;Cambria Math&quot; w:h-ansi=&quot;Cambria Math&quot;/&gt;&lt;wx:font wx:val=&quot;Cambria Math&quot;/&gt;&lt;/w:rPr&gt;&lt;/m:ctrlPr&gt;&lt;/m:accPr&gt;&lt;m:e&gt;&lt;m:r&gt;&lt;w:rPr&gt;&lt;w:rFonts w:ascii=&quot;Cambria Math&quot; w:h-ansi=&quot;Cambria Math&quot; w:cs=&quot;Cambria Math&quot;/&gt;&lt;wx:font wx:val=&quot;Cambria Math&quot;/&gt;&lt;w:i/&gt;&lt;/w:rPr&gt;&lt;m:t&gt;I&lt;/m:t&gt;&lt;/m:r&gt;&lt;/m:e&gt;&lt;/m:acc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D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)}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3" o:title="" chromakey="white"/>
          </v:shape>
        </w:pict>
      </w:r>
      <w:r w:rsidR="00187C02" w:rsidRPr="00187C02">
        <w:fldChar w:fldCharType="end"/>
      </w:r>
      <w:r>
        <w:t>。其中，频率乘子突出变化，高斯因子抑制过高频率；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182A7AEA">
          <v:shape id="_x0000_i1037" type="#_x0000_t75" style="width:6.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46B7A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A46B7A&quot; wsp:rsidRDefault=&quot;00A46B7A&quot; wsp:rsidP=&quot;00A46B7A&quot;&gt;&lt;m:oMathPara&gt;&lt;m:oMath&gt;&lt;m:r&gt;&lt;w:rPr&gt;&lt;w:rFonts w:ascii=&quot;Cambria Math&quot; w:h-ansi=&quot;Cambria Math&quot; w:cs=&quot;Cambria Math&quot;/&gt;&lt;wx:font wx:val=&quot;Cambria Math&quot;/&gt;&lt;w:i/&gt;&lt;/w:rPr&gt;&lt;m:t&gt;Ïƒ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4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58689F01">
          <v:shape id="_x0000_i1038" type="#_x0000_t75" style="width:6.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46B7A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A46B7A&quot; wsp:rsidRDefault=&quot;00A46B7A&quot; wsp:rsidP=&quot;00A46B7A&quot;&gt;&lt;m:oMathPara&gt;&lt;m:oMath&gt;&lt;m:r&gt;&lt;w:rPr&gt;&lt;w:rFonts w:ascii=&quot;Cambria Math&quot; w:h-ansi=&quot;Cambria Math&quot; w:cs=&quot;Cambria Math&quot;/&gt;&lt;wx:font wx:val=&quot;Cambria Math&quot;/&gt;&lt;w:i/&gt;&lt;/w:rPr&gt;&lt;m:t&gt;Ïƒ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4" o:title="" chromakey="white"/>
          </v:shape>
        </w:pict>
      </w:r>
      <w:r w:rsidR="00187C02" w:rsidRPr="00187C02">
        <w:fldChar w:fldCharType="end"/>
      </w:r>
      <w:r>
        <w:t>越大，平滑越强，也越可能损失细节。相比直接保留全部高频，这一构造同时考虑了求导与噪声抑制。</w:t>
      </w:r>
    </w:p>
    <w:p w14:paraId="56A2C3FB" w14:textId="4E1D5611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程序采用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2A4CBC12">
          <v:shape id="_x0000_i1039" type="#_x0000_t75" style="width:33.8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51E9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351E9F&quot; wsp:rsidRDefault=&quot;00351E9F&quot; wsp:rsidP=&quot;00351E9F&quot;&gt;&lt;m:oMathPara&gt;&lt;m:oMath&gt;&lt;m:r&gt;&lt;w:rPr&gt;&lt;w:rFonts w:ascii=&quot;Cambria Math&quot; w:h-ansi=&quot;Cambria Math&quot; w:cs=&quot;Cambria Math&quot;/&gt;&lt;wx:font wx:val=&quot;Cambria Math&quot;/&gt;&lt;w:i/&gt;&lt;/w:rPr&gt;&lt;m:t&gt;Ïƒ=1.8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5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5E967BEF">
          <v:shape id="_x0000_i1040" type="#_x0000_t75" style="width:33.8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51E9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351E9F&quot; wsp:rsidRDefault=&quot;00351E9F&quot; wsp:rsidP=&quot;00351E9F&quot;&gt;&lt;m:oMathPara&gt;&lt;m:oMath&gt;&lt;m:r&gt;&lt;w:rPr&gt;&lt;w:rFonts w:ascii=&quot;Cambria Math&quot; w:h-ansi=&quot;Cambria Math&quot; w:cs=&quot;Cambria Math&quot;/&gt;&lt;wx:font wx:val=&quot;Cambria Math&quot;/&gt;&lt;w:i/&gt;&lt;/w:rPr&gt;&lt;m:t&gt;Ïƒ=1.8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5" o:title="" chromakey="white"/>
          </v:shape>
        </w:pict>
      </w:r>
      <w:r w:rsidR="00187C02" w:rsidRPr="00187C02">
        <w:fldChar w:fldCharType="end"/>
      </w:r>
      <w:r>
        <w:t>像素、</w:t>
      </w:r>
      <w:r>
        <w:t>32</w:t>
      </w:r>
      <w:r>
        <w:t>像素对称补边，以</w:t>
      </w:r>
      <w:r>
        <w:t>fft2</w:t>
      </w:r>
      <w:r>
        <w:t>、</w:t>
      </w:r>
      <w:r>
        <w:t>fftshift</w:t>
      </w:r>
      <w:r>
        <w:t>及相应逆操作计算响应后裁回原尺寸</w:t>
      </w:r>
      <w:r>
        <w:t>[7]</w:t>
      </w:r>
      <w:r>
        <w:t>。偶数尺寸下，将导数方向的</w:t>
      </w:r>
      <w:r>
        <w:t>Nyquist</w:t>
      </w:r>
      <w:r>
        <w:t>项置零。该实现采用解析高斯频谱的离散采样，与任意截断空间高斯核并不必然逐像素相同。</w:t>
      </w:r>
    </w:p>
    <w:p w14:paraId="3D455FEE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2.2</w:t>
      </w:r>
      <w:r>
        <w:rPr>
          <w:b/>
        </w:rPr>
        <w:t>灰度与颜色梯度融合</w:t>
      </w:r>
    </w:p>
    <w:p w14:paraId="297E0EF2" w14:textId="5E995FDD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灰度化可能削弱亮度接近、颜色不同的边界，但直接合并三通道二值边缘又容易累积误检。本文在梯度张量层面融合信息。灰度分量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5F7F2103">
          <v:shape id="_x0000_i1041" type="#_x0000_t75" style="width:6.8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95D3A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95D3A&quot; wsp:rsidRDefault=&quot;00595D3A&quot; wsp:rsidP=&quot;00595D3A&quot;&gt;&lt;m:oMathPara&gt;&lt;m:oMath&gt;&lt;m:r&gt;&lt;w:rPr&gt;&lt;w:rFonts w:ascii=&quot;Cambria Math&quot; w:h-ansi=&quot;Cambria Math&quot; w:cs=&quot;Cambria Math&quot;/&gt;&lt;wx:font wx:val=&quot;Cambria Math&quot;/&gt;&lt;w:i/&gt;&lt;/w:rPr&gt;&lt;m:t&gt;Y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6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39780396">
          <v:shape id="_x0000_i1042" type="#_x0000_t75" style="width:6.8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95D3A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95D3A&quot; wsp:rsidRDefault=&quot;00595D3A&quot; wsp:rsidP=&quot;00595D3A&quot;&gt;&lt;m:oMathPara&gt;&lt;m:oMath&gt;&lt;m:r&gt;&lt;w:rPr&gt;&lt;w:rFonts w:ascii=&quot;Cambria Math&quot; w:h-ansi=&quot;Cambria Math&quot; w:cs=&quot;Cambria Math&quot;/&gt;&lt;wx:font wx:val=&quot;Cambria Math&quot;/&gt;&lt;w:i/&gt;&lt;/w:rPr&gt;&lt;m:t&gt;Y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6" o:title="" chromakey="white"/>
          </v:shape>
        </w:pict>
      </w:r>
      <w:r w:rsidR="00187C02" w:rsidRPr="00187C02">
        <w:fldChar w:fldCharType="end"/>
      </w:r>
      <w:r>
        <w:t>由原</w:t>
      </w:r>
      <w:r>
        <w:t>uint8</w:t>
      </w:r>
      <w:r>
        <w:t>图像先</w:t>
      </w:r>
      <w:r>
        <w:t>rgb2gray</w:t>
      </w:r>
      <w:r>
        <w:t>再</w:t>
      </w:r>
      <w:r>
        <w:t>im2double</w:t>
      </w:r>
      <w:r>
        <w:t>得到，颜色通道转换至</w:t>
      </w:r>
      <w:r>
        <w:t>0—1</w:t>
      </w:r>
      <w:r>
        <w:t>。令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9"/>
        </w:rPr>
        <w:pict w14:anchorId="3EEDC860">
          <v:shape id="_x0000_i1043" type="#_x0000_t75" style="width:75.7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70D30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670D30&quot; wsp:rsidRDefault=&quot;00670D30&quot; wsp:rsidP=&quot;00670D30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r&gt;&lt;w:rPr&gt;&lt;w:rFonts w:ascii=&quot;Cambria Math&quot; w:h-ansi=&quot;Cambria Math&quot; w:cs=&quot;Cambria Math&quot;/&gt;&lt;wx:font wx:val=&quot;Cambria Math&quot;/&gt;&lt;w:i/&gt;&lt;/w:rPr&gt;&lt;m:t&gt;=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x,c&lt;/m:t&gt;&lt;/m:r&gt;&lt;/m:sub&gt;&lt;/m:sSub&gt;&lt;m:r&gt;&lt;w:rPr&gt;&lt;w:rFonts w:ascii=&quot;Cambria Math&quot; w:h-ansi=&quot;Cambria Math&quot; w:cs=&quot;Cambria Math&quot;/&gt;&lt;wx:font wx:val=&quot;Cambria Math&quot;/&gt;&lt;w:i/&gt;&lt;/w:rPr&gt;&lt;m:t&gt;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,c&lt;/m:t&gt;&lt;/m:r&gt;&lt;/m:sub&gt;&lt;/m:sSub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)&lt;/m:t&gt;&lt;/m:r&gt;&lt;/m:e&gt;&lt;m:sup&gt;&lt;m:r&gt;&lt;w:rPr&gt;&lt;w:rFonts w:ascii=&quot;Cambria Math&quot; w:h-ansi=&quot;Cambria Math&quot; w:cs=&quot;Cambria Math&quot;/&gt;&lt;wx:font wx:val=&quot;Cambria Math&quot;/&gt;&lt;w:i/&gt;&lt;/w:rPr&gt;&lt;m:t&gt;T&lt;/m:t&gt;&lt;/m:r&gt;&lt;/m:sup&gt;&lt;/m:sSup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7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9"/>
        </w:rPr>
        <w:pict w14:anchorId="4FA741EF">
          <v:shape id="_x0000_i1044" type="#_x0000_t75" style="width:75.7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70D30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670D30&quot; wsp:rsidRDefault=&quot;00670D30&quot; wsp:rsidP=&quot;00670D30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r&gt;&lt;w:rPr&gt;&lt;w:rFonts w:ascii=&quot;Cambria Math&quot; w:h-ansi=&quot;Cambria Math&quot; w:cs=&quot;Cambria Math&quot;/&gt;&lt;wx:font wx:val=&quot;Cambria Math&quot;/&gt;&lt;w:i/&gt;&lt;/w:rPr&gt;&lt;m:t&gt;=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x,c&lt;/m:t&gt;&lt;/m:r&gt;&lt;/m:sub&gt;&lt;/m:sSub&gt;&lt;m:r&gt;&lt;w:rPr&gt;&lt;w:rFonts w:ascii=&quot;Cambria Math&quot; w:h-ansi=&quot;Cambria Math&quot; w:cs=&quot;Cambria Math&quot;/&gt;&lt;wx:font wx:val=&quot;Cambria Math&quot;/&gt;&lt;w:i/&gt;&lt;/w:rPr&gt;&lt;m:t&gt;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,c&lt;/m:t&gt;&lt;/m:r&gt;&lt;/m:sub&gt;&lt;/m:sSub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)&lt;/m:t&gt;&lt;/m:r&gt;&lt;/m:e&gt;&lt;m:sup&gt;&lt;m:r&gt;&lt;w:rPr&gt;&lt;w:rFonts w:ascii=&quot;Cambria Math&quot; w:h-ansi=&quot;Cambria Math&quot; w:cs=&quot;Cambria Math&quot;/&gt;&lt;wx:font wx:val=&quot;Cambria Math&quot;/&gt;&lt;w:i/&gt;&lt;/w:rPr&gt;&lt;m:t&gt;T&lt;/m:t&gt;&lt;/m:r&gt;&lt;/m:sup&gt;&lt;/m:sSup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7" o:title="" chromakey="white"/>
          </v:shape>
        </w:pict>
      </w:r>
      <w:r w:rsidR="00187C02" w:rsidRPr="00187C02">
        <w:fldChar w:fldCharType="end"/>
      </w:r>
      <w:r>
        <w:t>，定义</w:t>
      </w:r>
    </w:p>
    <w:p w14:paraId="7BA8E811" w14:textId="035C171A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5B5913DE">
          <v:shape id="_x0000_i1045" type="#_x0000_t75" style="width:263.1pt;height:31.0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506A1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9506A1&quot; wsp:rsidRPr=&quot;009506A1&quot; wsp:rsidRDefault=&quot;009506A1&quot; wsp:rsidP=&quot;009506A1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J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=&lt;/m:t&gt;&lt;/m:r&gt;&lt;m:f&gt;&lt;m:fPr&gt;&lt;m:ctrlPr&gt;&lt;w:rPr&gt;&lt;w:rFonts w:ascii=&quot;Cambria Math&quot; w:h-ansi=&quot;Cambria Math&quot;/&gt;&lt;wx:font wx:val=&quot;Cambria Math&quot;/&gt;&lt;/w:rPr&gt;&lt;/m:ctrlPr&gt;&lt;/m:fPr&gt;&lt;m:num&gt;&lt;m:r&gt;&lt;w:rPr&gt;&lt;w:rFonts w:ascii=&quot;Cambria Math&quot; w:h-ansi=&quot;Cambria Math&quot; w:cs=&quot;Cambria Math&quot;/&gt;&lt;wx:font wx:val=&quot;Cambria Math&quot;/&gt;&lt;w:i/&gt;&lt;/w:rPr&gt;&lt;m:t&gt;1&lt;/m:t&gt;&lt;/m:r&gt;&lt;/m:num&gt;&lt;m:den&gt;&lt;m:r&gt;&lt;w:rPr&gt;&lt;w:rFonts w:ascii=&quot;Cambria Math&quot; w:h-ansi=&quot;Cambria Math&quot; w:cs=&quot;Cambria Math&quot;/&gt;&lt;wx:font wx:val=&quot;Cambria Math&quot;/&gt;&lt;w:i/&gt;&lt;/w:rPr&gt;&lt;m:t&gt;3&lt;/m:t&gt;&lt;/m:r&gt;&lt;/m:den&gt;&lt;/m:f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câˆˆ{R,G,B}&lt;/m:t&gt;&lt;/m:r&gt;&lt;/m:sub&gt;&lt;m:sup/&gt;&lt;m:e&gt;&lt;m:sSub&gt;&lt;m:sSubPr&gt;&lt;m:ctrlPr&gt;&lt;w:rPr&gt;&lt;w:rFonts w:ascii=&quot;Cambria Math&quot; w:h-ansi=&quot;Cambria Math&quot;/&gt;&lt;wx:font wx:val=&quot;Cambria Math&quot;/&gt;&lt;/w:rPr&gt;&lt;/m:ctrlPr&gt;&lt;/m:sSub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e&gt;&lt;/m:nary&gt;&lt;m:sSubSup&gt;&lt;m:sSubSupPr&gt;&lt;m:ctrlPr&gt;&lt;w:rPr&gt;&lt;w:rFonts w:ascii=&quot;Cambria Math&quot; w:h-ansi=&quot;Cambria Math&quot;/&gt;&lt;wx:font wx:val=&quot;Cambria Math&quot;/&gt;&lt;/w:rPr&gt;&lt;/m:ctrlPr&gt;&lt;/m:sSubSup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m:sup&gt;&lt;m:r&gt;&lt;w:rPr&gt;&lt;w:rFonts w:ascii=&quot;Cambria Math&quot; w:h-ansi=&quot;Cambria Math&quot; w:cs=&quot;Cambria Math&quot;/&gt;&lt;wx:font wx:val=&quot;Cambria Math&quot;/&gt;&lt;w:i/&gt;&lt;/w:rPr&gt;&lt;m:t&gt;T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J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=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sSubSup&gt;&lt;m:sSubSupPr&gt;&lt;m:ctrlPr&gt;&lt;w:rPr&gt;&lt;w:rFonts w:ascii=&quot;Cambria Math&quot; w:h-ansi=&quot;Cambria Math&quot;/&gt;&lt;wx:font wx:val=&quot;Cambria Math&quot;/&gt;&lt;/w:rPr&gt;&lt;/m:ctrlPr&gt;&lt;/m:sSubSupPr&gt;&lt;m:e&gt;&lt;m:r&gt;&lt;m:rPr&gt;&lt;m:sty m:val=&quot;b&quot;/&gt;&lt;/m:rPr&gt;&lt;w:rPr&gt;&lt;w:rFonts w:ascii=&quot;Cambria Math&quot; w:h-ansi=&quot;Cambria Math&quot; w:cs=&quot;Cambria Math&quot;/&gt;&lt;wx:font wx:val=&quot;Cambria Math&quot;/&gt;&lt;w:b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m:sup&gt;&lt;m:r&gt;&lt;w:rPr&gt;&lt;w:rFonts w:ascii=&quot;Cambria Math&quot; w:h-ansi=&quot;Cambria Math&quot; w:cs=&quot;Cambria Math&quot;/&gt;&lt;wx:font wx:val=&quot;Cambria Math&quot;/&gt;&lt;w:i/&gt;&lt;/w:rPr&gt;&lt;m:t&gt;T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J=0.75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J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+0.25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J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.&lt;/m:t&gt;&lt;/m:r&gt;&lt;/m:oMath&gt;&lt;/m:oMathPara&gt;&lt;/w:p&gt;&lt;w:sectPr wsp:rsidR=&quot;00000000&quot; wsp:rsidRPr=&quot;009506A1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8" o:title="" chromakey="white"/>
          </v:shape>
        </w:pict>
      </w:r>
    </w:p>
    <w:p w14:paraId="41A64F15" w14:textId="51230453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lastRenderedPageBreak/>
        <w:t>对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24"/>
        </w:rPr>
        <w:pict w14:anchorId="7C0426CC">
          <v:shape id="_x0000_i1046" type="#_x0000_t75" style="width:51.55pt;height:31.0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20C8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F20C8&quot; wsp:rsidRDefault=&quot;000F20C8&quot; wsp:rsidP=&quot;000F20C8&quot;&gt;&lt;m:oMathPara&gt;&lt;m:oMath&gt;&lt;m:r&gt;&lt;w:rPr&gt;&lt;w:rFonts w:ascii=&quot;Cambria Math&quot; w:h-ansi=&quot;Cambria Math&quot; w:cs=&quot;Cambria Math&quot;/&gt;&lt;wx:font wx:val=&quot;Cambria Math&quot;/&gt;&lt;w:i/&gt;&lt;/w:rPr&gt;&lt;m:t&gt;J=(&lt;/m:t&gt;&lt;/m:r&gt;&lt;m:m&gt;&lt;m:mPr&gt;&lt;m:plcHide m:val=&quot;1&quot;/&gt;&lt;m:mcs&gt;&lt;m:mc&gt;&lt;m:mcPr&gt;&lt;m:count m:val=&quot;2&quot;/&gt;&lt;m:mcJc m:val=&quot;center&quot;/&gt;&lt;/m:mcPr&gt;&lt;/m:mc&gt;&lt;/m:mcs&gt;&lt;m:ctrlPr&gt;&lt;w:rPr&gt;&lt;w:rFonts w:ascii=&quot;Cambria Math&quot; w:h-ansi=&quot;Cambria Math&quot;/&gt;&lt;wx:font wx:val=&quot;Cambria Math&quot;/&gt;&lt;/w:rPr&gt;&lt;/m:ctrlPr&gt;&lt;/m:mPr&gt;&lt;m:mr&gt;&lt;m:e&gt;&lt;m:r&gt;&lt;w:rPr&gt;&lt;w:rFonts w:ascii=&quot;Cambria Math&quot; w:h-ansi=&quot;Cambria Math&quot; w:cs=&quot;Cambria Math&quot;/&gt;&lt;wx:font wx:val=&quot;Cambria Math&quot;/&gt;&lt;w:i/&gt;&lt;/w:rPr&gt;&lt;m:t&gt;A&lt;/m:t&gt;&lt;/m:r&gt;&lt;/m:e&gt;&lt;m:e&gt;&lt;m:r&gt;&lt;w:rPr&gt;&lt;w:rFonts w:ascii=&quot;Cambria Math&quot; w:h-ansi=&quot;Cambria Math&quot; w:cs=&quot;Cambria Math&quot;/&gt;&lt;wx:font wx:val=&quot;Cambria Math&quot;/&gt;&lt;w:i/&gt;&lt;/w:rPr&gt;&lt;m:t&gt;B&lt;/m:t&gt;&lt;/m:r&gt;&lt;/m:e&gt;&lt;/m:mr&gt;&lt;m:mr&gt;&lt;m:e&gt;&lt;m:r&gt;&lt;w:rPr&gt;&lt;w:rFonts w:ascii=&quot;Cambria Math&quot; w:h-ansi=&quot;Cambria Math&quot; w:cs=&quot;Cambria Math&quot;/&gt;&lt;wx:font wx:val=&quot;Cambria Math&quot;/&gt;&lt;w:i/&gt;&lt;/w:rPr&gt;&lt;m:t&gt;B&lt;/m:t&gt;&lt;/m:r&gt;&lt;/m:e&gt;&lt;m:e&gt;&lt;m:r&gt;&lt;w:rPr&gt;&lt;w:rFonts w:ascii=&quot;Cambria Math&quot; w:h-ansi=&quot;Cambria Math&quot; w:cs=&quot;Cambria Math&quot;/&gt;&lt;wx:font wx:val=&quot;Cambria Math&quot;/&gt;&lt;w:i/&gt;&lt;/w:rPr&gt;&lt;m:t&gt;C&lt;/m:t&gt;&lt;/m:r&gt;&lt;/m:e&gt;&lt;/m:mr&gt;&lt;/m:m&gt;&lt;m:r&gt;&lt;w:rPr&gt;&lt;w:rFonts w:ascii=&quot;Cambria Math&quot; w:h-ansi=&quot;Cambria Math&quot; w:cs=&quot;Cambria Math&quot;/&gt;&lt;wx:font wx:val=&quot;Cambria Math&quot;/&gt;&lt;w:i/&gt;&lt;/w:rPr&gt;&lt;m:t&gt;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9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24"/>
        </w:rPr>
        <w:pict w14:anchorId="5732C100">
          <v:shape id="_x0000_i1047" type="#_x0000_t75" style="width:51.55pt;height:31.0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20C8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F20C8&quot; wsp:rsidRDefault=&quot;000F20C8&quot; wsp:rsidP=&quot;000F20C8&quot;&gt;&lt;m:oMathPara&gt;&lt;m:oMath&gt;&lt;m:r&gt;&lt;w:rPr&gt;&lt;w:rFonts w:ascii=&quot;Cambria Math&quot; w:h-ansi=&quot;Cambria Math&quot; w:cs=&quot;Cambria Math&quot;/&gt;&lt;wx:font wx:val=&quot;Cambria Math&quot;/&gt;&lt;w:i/&gt;&lt;/w:rPr&gt;&lt;m:t&gt;J=(&lt;/m:t&gt;&lt;/m:r&gt;&lt;m:m&gt;&lt;m:mPr&gt;&lt;m:plcHide m:val=&quot;1&quot;/&gt;&lt;m:mcs&gt;&lt;m:mc&gt;&lt;m:mcPr&gt;&lt;m:count m:val=&quot;2&quot;/&gt;&lt;m:mcJc m:val=&quot;center&quot;/&gt;&lt;/m:mcPr&gt;&lt;/m:mc&gt;&lt;/m:mcs&gt;&lt;m:ctrlPr&gt;&lt;w:rPr&gt;&lt;w:rFonts w:ascii=&quot;Cambria Math&quot; w:h-ansi=&quot;Cambria Math&quot;/&gt;&lt;wx:font wx:val=&quot;Cambria Math&quot;/&gt;&lt;/w:rPr&gt;&lt;/m:ctrlPr&gt;&lt;/m:mPr&gt;&lt;m:mr&gt;&lt;m:e&gt;&lt;m:r&gt;&lt;w:rPr&gt;&lt;w:rFonts w:ascii=&quot;Cambria Math&quot; w:h-ansi=&quot;Cambria Math&quot; w:cs=&quot;Cambria Math&quot;/&gt;&lt;wx:font wx:val=&quot;Cambria Math&quot;/&gt;&lt;w:i/&gt;&lt;/w:rPr&gt;&lt;m:t&gt;A&lt;/m:t&gt;&lt;/m:r&gt;&lt;/m:e&gt;&lt;m:e&gt;&lt;m:r&gt;&lt;w:rPr&gt;&lt;w:rFonts w:ascii=&quot;Cambria Math&quot; w:h-ansi=&quot;Cambria Math&quot; w:cs=&quot;Cambria Math&quot;/&gt;&lt;wx:font wx:val=&quot;Cambria Math&quot;/&gt;&lt;w:i/&gt;&lt;/w:rPr&gt;&lt;m:t&gt;B&lt;/m:t&gt;&lt;/m:r&gt;&lt;/m:e&gt;&lt;/m:mr&gt;&lt;m:mr&gt;&lt;m:e&gt;&lt;m:r&gt;&lt;w:rPr&gt;&lt;w:rFonts w:ascii=&quot;Cambria Math&quot; w:h-ansi=&quot;Cambria Math&quot; w:cs=&quot;Cambria Math&quot;/&gt;&lt;wx:font wx:val=&quot;Cambria Math&quot;/&gt;&lt;w:i/&gt;&lt;/w:rPr&gt;&lt;m:t&gt;B&lt;/m:t&gt;&lt;/m:r&gt;&lt;/m:e&gt;&lt;m:e&gt;&lt;m:r&gt;&lt;w:rPr&gt;&lt;w:rFonts w:ascii=&quot;Cambria Math&quot; w:h-ansi=&quot;Cambria Math&quot; w:cs=&quot;Cambria Math&quot;/&gt;&lt;wx:font wx:val=&quot;Cambria Math&quot;/&gt;&lt;w:i/&gt;&lt;/w:rPr&gt;&lt;m:t&gt;C&lt;/m:t&gt;&lt;/m:r&gt;&lt;/m:e&gt;&lt;/m:mr&gt;&lt;/m:m&gt;&lt;m:r&gt;&lt;w:rPr&gt;&lt;w:rFonts w:ascii=&quot;Cambria Math&quot; w:h-ansi=&quot;Cambria Math&quot; w:cs=&quot;Cambria Math&quot;/&gt;&lt;wx:font wx:val=&quot;Cambria Math&quot;/&gt;&lt;w:i/&gt;&lt;/w:rPr&gt;&lt;m:t&gt;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19" o:title="" chromakey="white"/>
          </v:shape>
        </w:pict>
      </w:r>
      <w:r w:rsidR="00187C02" w:rsidRPr="00187C02">
        <w:fldChar w:fldCharType="end"/>
      </w:r>
      <w:r>
        <w:t>，取最大特征值的平方根为边缘幅值，主方向为</w:t>
      </w:r>
    </w:p>
    <w:p w14:paraId="51158FC9" w14:textId="31BA2369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583CDB69">
          <v:shape id="_x0000_i1048" type="#_x0000_t75" style="width:259pt;height:46.7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00FD2A36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FD2A36&quot; wsp:rsidRPr=&quot;00FD2A36&quot; wsp:rsidRDefault=&quot;00FD2A36&quot; wsp:rsidP=&quot;00FD2A36&quot;&gt;&lt;m:oMathPara&gt;&lt;m:oMath&gt;&lt;m:r&gt;&lt;w:rPr&gt;&lt;w:rFonts w:ascii=&quot;Cambria Math&quot; w:h-ansi=&quot;Cambria Math&quot; w:cs=&quot;Cambria Math&quot;/&gt;&lt;wx:font wx:val=&quot;Cambria Math&quot;/&gt;&lt;w:i/&gt;&lt;/w:rPr&gt;&lt;m:t&gt;m=&lt;/m:t&gt;&lt;/m:r&gt;&lt;m:rad&gt;&lt;m:radPr&gt;&lt;m:degHide m:val=&quot;1&quot;/&gt;&lt;m:ctrlPr&gt;&lt;w:rPr&gt;&lt;w:rFonts w:ascii=&quot;Cambria Math&quot; w:h-ansi=&quot;Cambria Math&quot;/&gt;&lt;wx:font wx:val=&quot;Cambria Math&quot;/&gt;&lt;/w:rPr&gt;&lt;/m:ctrlPr&gt;&lt;/m:radPr&gt;&lt;m:deg/&gt;&lt;m:e&gt;&lt;m:f&gt;&lt;m:fPr&gt;&lt;m:ctrlPr&gt;&lt;w:rPr&gt;&lt;w:rFonts w:ascii=&quot;Cambria Math&quot; w:h-ansi=&quot;Cambria Math&quot;/&gt;&lt;wx:font wx:val=&quot;Cambria Math&quot;/&gt;&lt;/w:rPr&gt;&lt;/m:ctrlPr&gt;&lt;/m:fPr&gt;&lt;m:num&gt;&lt;m:r&gt;&lt;w:rPr&gt;&lt;w:rFonts w:ascii=&quot;Cambria Math&quot; w:h-ansi=&quot;Cambria Math&quot; w:cs=&quot;Cambria Math&quot;/&gt;&lt;wx:font wx:val=&quot;Cambria Math&quot;/&gt;&lt;w:i/&gt;&lt;/w:rPr&gt;&lt;m:t&gt;A+C+&lt;/m:t&gt;&lt;/m:r&gt;&lt;m:rad&gt;&lt;m:radPr&gt;&lt;m:degHide m:val=&quot;1&quot;/&gt;&lt;m:ctrlPr&gt;&lt;w:rPr&gt;&lt;w:rFonts w:ascii=&quot;Cambria Math&quot; w:h-ansi=&quot;Cambria Math&quot;/&gt;&lt;wx:font wx:val=&quot;Cambria Math&quot;/&gt;&lt;/w:rPr&gt;&lt;/m:ctrlPr&gt;&lt;/m:radPr&gt;&lt;m:deg/&gt;&lt;m:e&gt;&lt;m:d&gt;&lt;m:dPr&gt;&lt;m:endChr m:val=&quot;&quot;/&gt;&lt;m:ctrlPr&gt;&lt;w:rPr&gt;&lt;w:rFonts w:ascii=&quot;Cambria Math&quot; w:h-ansi=&quot;Cambria Math&quot;/&gt;&lt;wx:font wx:val=&quot;Cambria Math&quot;/&gt;&lt;/w:rPr&gt;&lt;/m:ctrlPr&gt;&lt;/m:dPr&gt;&lt;m:e&gt;&lt;m:r&gt;&lt;w:rPr&gt;&lt;w:rFonts w:ascii=&quot;Cambria Math&quot; w:h-ansi=&quot;Cambria Math&quot; w:cs=&quot;Cambria Math&quot;/&gt;&lt;wx:font wx:val=&quot;Cambria Math&quot;/&gt;&lt;w:i/&gt;&lt;/w:rPr&gt;&lt;m:t&gt;A-C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)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m:r&gt;&lt;w:rPr&gt;&lt;w:rFonts w:ascii=&quot;Cambria Math&quot; w:h-ansi=&quot;Cambria Math&quot; w:cs=&quot;Cambria Math&quot;/&gt;&lt;wx:font wx:val=&quot;Cambria Math&quot;/&gt;&lt;w:i/&gt;&lt;/w:rPr&gt;&lt;m:t&gt;+4&lt;/m:t&gt;&lt;/m:r&gt;&lt;m:sSup&gt;&lt;m:sSupPr&gt;&lt;m:ctrlPr&gt;&lt;w:rPr&gt;&lt;w:rFonts w:ascii=&quot;Cambria Math&quot; w:h-ansi=&quot;Cambria Math&quot;/&gt;&lt;wx:font wx:val=&quot;Cambria Math&quot;/&gt;&lt;/w:rPr&gt;&lt;/m:ctrlPr&gt;&lt;/m:sSupPr&gt;&lt;m:e&gt;&lt;m:r&gt;&lt;w:rPr&gt;&lt;w:rFonts w:ascii=&quot;Cambria Math&quot; w:h-ansi=&quot;Cambria Math&quot; w:cs=&quot;Cambria Math&quot;/&gt;&lt;wx:font wx:val=&quot;Cambria Math&quot;/&gt;&lt;w:i/&gt;&lt;/w:rPr&gt;&lt;m:t&gt;B&lt;/m:t&gt;&lt;/m:r&gt;&lt;/m:e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p&gt;&lt;/m:e&gt;&lt;/m:d&gt;&lt;/m:e&gt;&lt;/m:rad&gt;&lt;/m:num&gt;&lt;m:den&gt;&lt;m:r&gt;&lt;w:rPr&gt;&lt;w:rFonts w:ascii=&quot;Cambria Math&quot; w:h-ansi=&quot;Cambria Math&quot; w:cs=&quot;Cambria Math&quot;/&gt;&lt;wx:font wx:val=&quot;Cambria Math&quot;/&gt;&lt;w:i/&gt;&lt;/w:rPr&gt;&lt;m:t&gt;2&lt;/m:t&gt;&lt;/m:r&gt;&lt;/m:den&gt;&lt;/m:f&gt;&lt;/m:e&gt;&lt;/m:rad&gt;&lt;m:r&gt;&lt;w:rPr&gt;&lt;w:rFonts w:ascii=&quot;Cambria Math&quot; w:h-ansi=&quot;Cambria Math&quot; w:cs=&quot;Cambria Math&quot;/&gt;&lt;wx:font wx:val=&quot;Cambria Math&quot;/&gt;&lt;w:i/&gt;&lt;/w:rPr&gt;&lt;m:t&gt;,Î¸=&lt;/m:t&gt;&lt;/m:r&gt;&lt;m:f&gt;&lt;m:fPr&gt;&lt;m:ctrlPr&gt;&lt;w:rPr&gt;&lt;w:rFonts w:ascii=&quot;Cambria Math&quot; w:h-ansi=&quot;Cambria Math&quot;/&gt;&lt;wx:font wx:val=&quot;Cambria Math&quot;/&gt;&lt;/w:rPr&gt;&lt;/m:ctrlPr&gt;&lt;/m:fPr&gt;&lt;m:num&gt;&lt;m:r&gt;&lt;w:rPr&gt;&lt;w:rFonts w:ascii=&quot;Cambria Math&quot; w:h-ansi=&quot;Cambria Math&quot; w:cs=&quot;Cambria Math&quot;/&gt;&lt;wx:font wx:val=&quot;Cambria Math&quot;/&gt;&lt;w:i/&gt;&lt;/w:rPr&gt;&lt;m:t&gt;1&lt;/m:t&gt;&lt;/m:r&gt;&lt;/m:num&gt;&lt;m:den&gt;&lt;m:r&gt;&lt;w:rPr&gt;&lt;w:rFonts w:ascii=&quot;Cambria Math&quot; w:h-ansi=&quot;Cambria Math&quot; w:cs=&quot;Cambria Math&quot;/&gt;&lt;wx:font wx:val=&quot;Cambria Math&quot;/&gt;&lt;w:i/&gt;&lt;/w:rPr&gt;&lt;m:t&gt;2&lt;/m:t&gt;&lt;/m:r&gt;&lt;/m:den&gt;&lt;/m:f&gt;&lt;m:r&gt;&lt;m:rPr&gt;&lt;m:sty m:val=&quot;p&quot;/&gt;&lt;/m:rPr&gt;&lt;w:rPr&gt;&lt;w:rFonts w:ascii=&quot;Cambria Math&quot; w:h-ansi=&quot;Cambria Math&quot; w:cs=&quot;Cambria Math&quot;/&gt;&lt;wx:font wx:val=&quot;Cambria Math&quot;/&gt;&lt;/w:rPr&gt;&lt;m:t&gt;atan2&lt;/m:t&gt;&lt;/m:r&gt;&lt;m:r&gt;&lt;w:rPr&gt;&lt;w:rFonts w:ascii=&quot;Cambria Math&quot; w:h-ansi=&quot;Cambria Math&quot; w:cs=&quot;Cambria Math&quot;/&gt;&lt;wx:font wx:val=&quot;Cambria Math&quot;/&gt;&lt;w:i/&gt;&lt;/w:rPr&gt;&lt;m:t&gt;(2B,A-C).&lt;/m:t&gt;&lt;/m:r&gt;&lt;/m:oMath&gt;&lt;/m:oMathPara&gt;&lt;/w:p&gt;&lt;w:sectPr wsp:rsidR=&quot;00000000&quot; wsp:rsidRPr=&quot;00FD2A36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0" o:title="" chromakey="white"/>
          </v:shape>
        </w:pict>
      </w:r>
    </w:p>
    <w:p w14:paraId="37C12D88" w14:textId="6FEDA6B2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这一构造保留了通道之间的方向关系</w:t>
      </w:r>
      <w:r>
        <w:t>[2]</w:t>
      </w:r>
      <w:r>
        <w:t>。程序将方向符号与灰度梯度对齐，沿该方向双线性插值执行非极大值抑制（</w:t>
      </w:r>
      <w:r>
        <w:t>NMS</w:t>
      </w:r>
      <w:r>
        <w:t>），保留幅值不小于前向采样、严格大于后向采样的像素，再除以全图原始幅值最大值，得到归一化响应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4BC0C79A">
          <v:shape id="_x0000_i1049" type="#_x0000_t75" style="width:7.8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35580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35580&quot; wsp:rsidRDefault=&quot;00C35580&quot; wsp:rsidP=&quot;00C35580&quot;&gt;&lt;m:oMathPara&gt;&lt;m:oMath&gt;&lt;m:r&gt;&lt;w:rPr&gt;&lt;w:rFonts w:ascii=&quot;Cambria Math&quot; w:h-ansi=&quot;Cambria Math&quot; w:cs=&quot;Cambria Math&quot;/&gt;&lt;wx:font wx:val=&quot;Cambria Math&quot;/&gt;&lt;w:i/&gt;&lt;/w:rPr&gt;&lt;m:t&gt;N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1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410ECD7A">
          <v:shape id="_x0000_i1050" type="#_x0000_t75" style="width:7.8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35580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35580&quot; wsp:rsidRDefault=&quot;00C35580&quot; wsp:rsidP=&quot;00C35580&quot;&gt;&lt;m:oMathPara&gt;&lt;m:oMath&gt;&lt;m:r&gt;&lt;w:rPr&gt;&lt;w:rFonts w:ascii=&quot;Cambria Math&quot; w:h-ansi=&quot;Cambria Math&quot; w:cs=&quot;Cambria Math&quot;/&gt;&lt;wx:font wx:val=&quot;Cambria Math&quot;/&gt;&lt;w:i/&gt;&lt;/w:rPr&gt;&lt;m:t&gt;N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1" o:title="" chromakey="white"/>
          </v:shape>
        </w:pict>
      </w:r>
      <w:r w:rsidR="00187C02" w:rsidRPr="00187C02">
        <w:fldChar w:fldCharType="end"/>
      </w:r>
      <w:r>
        <w:t>。全零响应输出零图。当前</w:t>
      </w:r>
      <w:r>
        <w:t>RGB</w:t>
      </w:r>
      <w:r>
        <w:t>方法仍包含</w:t>
      </w:r>
      <w:r>
        <w:t>75%</w:t>
      </w:r>
      <w:r>
        <w:t>的灰度张量分量。</w:t>
      </w:r>
    </w:p>
    <w:p w14:paraId="08FC78FA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2.3</w:t>
      </w:r>
      <w:r>
        <w:rPr>
          <w:b/>
        </w:rPr>
        <w:t>相位支持与弱连接门控</w:t>
      </w:r>
    </w:p>
    <w:p w14:paraId="58B9B5A2" w14:textId="1E35F6B1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相位一致性关注不同尺度成分在局部特征处的相位关系，而非直接使用原图频谱相角。本文复用</w:t>
      </w:r>
      <w:r>
        <w:t>Kovesi</w:t>
      </w:r>
      <w:r>
        <w:t>公开的</w:t>
      </w:r>
      <w:r>
        <w:t>phasecong3</w:t>
      </w:r>
      <w:r>
        <w:t>，通过多尺度</w:t>
      </w:r>
      <w:r>
        <w:t>Log-Gabor</w:t>
      </w:r>
      <w:r>
        <w:t>频域滤波计算最大相位一致性矩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3D3A4C2D">
          <v:shape id="_x0000_i1051" type="#_x0000_t75" style="width:12.6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762FB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762FB&quot; wsp:rsidRDefault=&quot;00C762FB&quot; wsp:rsidP=&quot;00C762FB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M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2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1C52593B">
          <v:shape id="_x0000_i1052" type="#_x0000_t75" style="width:12.6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762FB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C762FB&quot; wsp:rsidRDefault=&quot;00C762FB&quot; wsp:rsidP=&quot;00C762FB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M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2" o:title="" chromakey="white"/>
          </v:shape>
        </w:pict>
      </w:r>
      <w:r w:rsidR="00187C02" w:rsidRPr="00187C02">
        <w:fldChar w:fldCharType="end"/>
      </w:r>
      <w:r>
        <w:t>[3,8]</w:t>
      </w:r>
      <w:r>
        <w:t>。设置为</w:t>
      </w:r>
      <w:r>
        <w:t>4</w:t>
      </w:r>
      <w:r>
        <w:t>尺度、</w:t>
      </w:r>
      <w:r>
        <w:t>6</w:t>
      </w:r>
      <w:r>
        <w:t>方向，最小波长</w:t>
      </w:r>
      <w:r>
        <w:t>3</w:t>
      </w:r>
      <w:r>
        <w:t>、尺度倍率</w:t>
      </w:r>
      <w:r>
        <w:t>2.1</w:t>
      </w:r>
      <w:r>
        <w:t>、带宽参数</w:t>
      </w:r>
      <w:r>
        <w:t>0.55</w:t>
      </w:r>
      <w:r>
        <w:t>、噪声阈值参数</w:t>
      </w:r>
      <w:r>
        <w:t>4</w:t>
      </w:r>
      <w:r>
        <w:t>、频率扩展截止</w:t>
      </w:r>
      <w:r>
        <w:t>0.5</w:t>
      </w:r>
      <w:r>
        <w:t>、增益</w:t>
      </w:r>
      <w:r>
        <w:t>10</w:t>
      </w:r>
      <w:r>
        <w:t>，噪声估计模式为</w:t>
      </w:r>
      <w:r>
        <w:t>−</w:t>
      </w:r>
      <w:r>
        <w:t>1</w:t>
      </w:r>
      <w:r>
        <w:t>。</w:t>
      </w:r>
    </w:p>
    <w:p w14:paraId="7C2A7A2C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将灰度及各通道的支持限制在</w:t>
      </w:r>
      <w:r>
        <w:t>0—1</w:t>
      </w:r>
      <w:r>
        <w:t>，并用梯度能量融合颜色支持：</w:t>
      </w:r>
    </w:p>
    <w:p w14:paraId="049DE7A5" w14:textId="353CDA58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6534CA2C">
          <v:shape id="_x0000_i1053" type="#_x0000_t75" style="width:390.05pt;height:31.05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115A4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E115A4&quot; wsp:rsidRPr=&quot;00E115A4&quot; wsp:rsidRDefault=&quot;00E115A4&quot; wsp:rsidP=&quot;00E115A4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r&gt;&lt;w:rPr&gt;&lt;w:rFonts w:ascii=&quot;Cambria Math&quot; w:h-ansi=&quot;Cambria Math&quot; w:cs=&quot;Cambria Math&quot;/&gt;&lt;wx:font wx:val=&quot;Cambria Math&quot;/&gt;&lt;w:i/&gt;&lt;/w:rPr&gt;&lt;m:t&gt;=&lt;/m:t&gt;&lt;/m:r&gt;&lt;m:r&gt;&lt;m:rPr&gt;&lt;m:sty m:val=&quot;p&quot;/&gt;&lt;/m:rPr&gt;&lt;w:rPr&gt;&lt;w:rFonts w:ascii=&quot;Cambria Math&quot; w:h-ansi=&quot;Cambria Math&quot; w:cs=&quot;Cambria Math&quot;/&gt;&lt;wx:font wx:val=&quot;Cambria Math&quot;/&gt;&lt;/w:rPr&gt;&lt;m:t&gt;min&lt;/m:t&gt;&lt;/m:r&gt;&lt;m:r&gt;&lt;w:rPr&gt;&lt;w:rFonts w:ascii=&quot;Cambria Math&quot; w:h-ansi=&quot;Cambria Math&quot; w:cs=&quot;Cambria Math&quot;/&gt;&lt;wx:font wx:val=&quot;Cambria Math&quot;/&gt;&lt;w:i/&gt;&lt;/w:rPr&gt;&lt;m:t&gt;(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M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r&gt;&lt;w:rPr&gt;&lt;w:rFonts w:ascii=&quot;Cambria Math&quot; w:h-ansi=&quot;Cambria Math&quot; w:cs=&quot;Cambria Math&quot;/&gt;&lt;wx:font wx:val=&quot;Cambria Math&quot;/&gt;&lt;w:i/&gt;&lt;/w:rPr&gt;&lt;m:t&gt;/0.15,1)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w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m:r&gt;&lt;w:rPr&gt;&lt;w:rFonts w:ascii=&quot;Cambria Math&quot; w:h-ansi=&quot;Cambria Math&quot; w:cs=&quot;Cambria Math&quot;/&gt;&lt;wx:font wx:val=&quot;Cambria Math&quot;/&gt;&lt;w:i/&gt;&lt;/w:rPr&gt;&lt;m:t&gt;=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x,c&lt;/m:t&gt;&lt;/m:r&gt;&lt;/m:sub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bSup&gt;&lt;m:r&gt;&lt;w:rPr&gt;&lt;w:rFonts w:ascii=&quot;Cambria Math&quot; w:h-ansi=&quot;Cambria Math&quot; w:cs=&quot;Cambria Math&quot;/&gt;&lt;wx:font wx:val=&quot;Cambria Math&quot;/&gt;&lt;w:i/&gt;&lt;/w:rPr&gt;&lt;m:t&gt;+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g&lt;/m:t&gt;&lt;/m:r&gt;&lt;/m:e&gt;&lt;m:sub&gt;&lt;m:r&gt;&lt;w:rPr&gt;&lt;w:rFonts w:ascii=&quot;Cambria Math&quot; w:h-ansi=&quot;Cambria Math&quot; w:cs=&quot;Cambria Math&quot;/&gt;&lt;wx:font wx:val=&quot;Cambria Math&quot;/&gt;&lt;w:i/&gt;&lt;/w:rPr&gt;&lt;m:t&gt;y,c&lt;/m:t&gt;&lt;/m:r&gt;&lt;/m:sub&gt;&lt;m:sup&gt;&lt;m:r&gt;&lt;w:rPr&gt;&lt;w:rFonts w:ascii=&quot;Cambria Math&quot; w:h-ansi=&quot;Cambria Math&quot; w:cs=&quot;Cambria Math&quot;/&gt;&lt;wx:font wx:val=&quot;Cambria Math&quot;/&gt;&lt;w:i/&gt;&lt;/w:rPr&gt;&lt;m:t&gt;2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=&lt;/m:t&gt;&lt;/m:r&gt;&lt;m:f&gt;&lt;m:fPr&gt;&lt;m:ctrlPr&gt;&lt;w:rPr&gt;&lt;w:rFonts w:ascii=&quot;Cambria Math&quot; w:h-ansi=&quot;Cambria Math&quot;/&gt;&lt;wx:font wx:val=&quot;Cambria Math&quot;/&gt;&lt;/w:rPr&gt;&lt;/m:ctrlPr&gt;&lt;/m:fPr&gt;&lt;m:num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m:sup/&gt;&lt;m:e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w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e&gt;&lt;/m:nary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num&gt;&lt;m:den&gt;&lt;m:r&gt;&lt;m:rPr&gt;&lt;m:sty m:val=&quot;p&quot;/&gt;&lt;/m:rPr&gt;&lt;w:rPr&gt;&lt;w:rFonts w:ascii=&quot;Cambria Math&quot; w:h-ansi=&quot;Cambria Math&quot; w:cs=&quot;Cambria Math&quot;/&gt;&lt;wx:font wx:val=&quot;Cambria Math&quot;/&gt;&lt;/w:rPr&gt;&lt;m:t&gt;max&lt;/m:t&gt;&lt;/m:r&gt;&lt;m:r&gt;&lt;w:rPr&gt;&lt;w:rFonts w:ascii=&quot;Cambria Math&quot; w:h-ansi=&quot;Cambria Math&quot; w:cs=&quot;Cambria Math&quot;/&gt;&lt;wx:font wx:val=&quot;Cambria Math&quot;/&gt;&lt;w:i/&gt;&lt;/w:rPr&gt;&lt;m:t&gt;(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m:sup/&gt;&lt;m:e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w&lt;/m:t&gt;&lt;/m:r&gt;&lt;/m:e&gt;&lt;m:sub&gt;&lt;m:r&gt;&lt;w:rPr&gt;&lt;w:rFonts w:ascii=&quot;Cambria Math&quot; w:h-ansi=&quot;Cambria Math&quot; w:cs=&quot;Cambria Math&quot;/&gt;&lt;wx:font wx:val=&quot;Cambria Math&quot;/&gt;&lt;w:i/&gt;&lt;/w:rPr&gt;&lt;m:t&gt;c&lt;/m:t&gt;&lt;/m:r&gt;&lt;/m:sub&gt;&lt;/m:sSub&gt;&lt;/m:e&gt;&lt;/m:nary&gt;&lt;m:r&gt;&lt;w:rPr&gt;&lt;w:rFonts w:ascii=&quot;Cambria Math&quot; w:h-ansi=&quot;Cambria Math&quot; w:cs=&quot;Cambria Math&quot;/&gt;&lt;wx:font wx:val=&quot;Cambria Math&quot;/&gt;&lt;w:i/&gt;&lt;/w:rPr&gt;&lt;m:t&gt;,Îµ)&lt;/m:t&gt;&lt;/m:r&gt;&lt;/m:den&gt;&lt;/m:f&gt;&lt;m:r&gt;&lt;w:rPr&gt;&lt;w:rFonts w:ascii=&quot;Cambria Math&quot; w:h-ansi=&quot;Cambria Math&quot; w:cs=&quot;Cambria Math&quot;/&gt;&lt;wx:font wx:val=&quot;Cambria Math&quot;/&gt;&lt;w:i/&gt;&lt;/w:rPr&gt;&lt;m:t&gt;,Q=0.75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Y&lt;/m:t&gt;&lt;/m:r&gt;&lt;/m:sub&gt;&lt;/m:sSub&gt;&lt;m:r&gt;&lt;w:rPr&gt;&lt;w:rFonts w:ascii=&quot;Cambria Math&quot; w:h-ansi=&quot;Cambria Math&quot; w:cs=&quot;Cambria Math&quot;/&gt;&lt;wx:font wx:val=&quot;Cambria Math&quot;/&gt;&lt;w:i/&gt;&lt;/w:rPr&gt;&lt;m:t&gt;+0.25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.&lt;/m:t&gt;&lt;/m:r&gt;&lt;/m:oMath&gt;&lt;/m:oMathPara&gt;&lt;/w:p&gt;&lt;w:sectPr wsp:rsidR=&quot;00000000&quot; wsp:rsidRPr=&quot;00E115A4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3" o:title="" chromakey="white"/>
          </v:shape>
        </w:pict>
      </w:r>
    </w:p>
    <w:p w14:paraId="06903072" w14:textId="71123168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颜色求和仅包含</w:t>
      </w:r>
      <w:r>
        <w:t>R</w:t>
      </w:r>
      <w:r>
        <w:t>、</w:t>
      </w:r>
      <w:r>
        <w:t>G</w:t>
      </w:r>
      <w:r>
        <w:t>、</w:t>
      </w:r>
      <w:r>
        <w:t>B</w:t>
      </w:r>
      <w:r>
        <w:t>，零能量处令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74873CC1">
          <v:shape id="_x0000_i1054" type="#_x0000_t75" style="width:41.9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5D5D52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D5D52&quot; wsp:rsidRDefault=&quot;005D5D52&quot; wsp:rsidP=&quot;005D5D5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=0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4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580FCC01">
          <v:shape id="_x0000_i1055" type="#_x0000_t75" style="width:41.9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5D5D52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5D5D52&quot; wsp:rsidRDefault=&quot;005D5D52&quot; wsp:rsidP=&quot;005D5D5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Q&lt;/m:t&gt;&lt;/m:r&gt;&lt;/m:e&gt;&lt;m:sub&gt;&lt;m:r&gt;&lt;w:rPr&gt;&lt;w:rFonts w:ascii=&quot;Cambria Math&quot; w:h-ansi=&quot;Cambria Math&quot; w:cs=&quot;Cambria Math&quot;/&gt;&lt;wx:font wx:val=&quot;Cambria Math&quot;/&gt;&lt;w:i/&gt;&lt;/w:rPr&gt;&lt;m:t&gt;RGB&lt;/m:t&gt;&lt;/m:r&gt;&lt;/m:sub&gt;&lt;/m:sSub&gt;&lt;m:r&gt;&lt;w:rPr&gt;&lt;w:rFonts w:ascii=&quot;Cambria Math&quot; w:h-ansi=&quot;Cambria Math&quot; w:cs=&quot;Cambria Math&quot;/&gt;&lt;wx:font wx:val=&quot;Cambria Math&quot;/&gt;&lt;w:i/&gt;&lt;/w:rPr&gt;&lt;m:t&gt;=0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4" o:title="" chromakey="white"/>
          </v:shape>
        </w:pict>
      </w:r>
      <w:r w:rsidR="00187C02" w:rsidRPr="00187C02">
        <w:fldChar w:fldCharType="end"/>
      </w:r>
      <w:r>
        <w:t>。共同相位支持及弱连接响应为</w:t>
      </w:r>
    </w:p>
    <w:p w14:paraId="2BF54CF9" w14:textId="78561375" w:rsidR="0062037C" w:rsidRDefault="00187C02">
      <w:pPr>
        <w:keepLines/>
        <w:widowControl/>
        <w:autoSpaceDE w:val="0"/>
        <w:autoSpaceDN w:val="0"/>
        <w:snapToGrid w:val="0"/>
        <w:spacing w:line="288" w:lineRule="auto"/>
        <w:jc w:val="center"/>
      </w:pPr>
      <w:r w:rsidRPr="00187C02">
        <w:pict w14:anchorId="30EC67C7">
          <v:shape id="_x0000_i1056" type="#_x0000_t75" style="width:272.3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54AA5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354AA5&quot; wsp:rsidRPr=&quot;00354AA5&quot; wsp:rsidRDefault=&quot;00354AA5&quot; wsp:rsidP=&quot;00354AA5&quot;&gt;&lt;m:oMathPara&gt;&lt;m:oMath&gt;&lt;m:r&gt;&lt;w:rPr&gt;&lt;w:rFonts w:ascii=&quot;Cambria Math&quot; w:h-ansi=&quot;Cambria Math&quot; w:cs=&quot;Cambria Math&quot;/&gt;&lt;wx:font wx:val=&quot;Cambria Math&quot;/&gt;&lt;w:i/&gt;&lt;/w:rPr&gt;&lt;m:t&gt;S=N(0.75+0.25Q)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seed&lt;/m:t&gt;&lt;/m:r&gt;&lt;/m:sub&gt;&lt;/m:sSub&gt;&lt;m:r&gt;&lt;w:rPr&gt;&lt;w:rFonts w:ascii=&quot;Cambria Math&quot; w:h-ansi=&quot;Cambria Math&quot; w:cs=&quot;Cambria Math&quot;/&gt;&lt;wx:font wx:val=&quot;Cambria Math&quot;/&gt;&lt;w:i/&gt;&lt;/w:rPr&gt;&lt;m:t&gt;=S,&lt;/m:t&gt;&lt;/m:r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link&lt;/m:t&gt;&lt;/m:r&gt;&lt;/m:sub&gt;&lt;/m:sSub&gt;&lt;m:r&gt;&lt;w:rPr&gt;&lt;w:rFonts w:ascii=&quot;Cambria Math&quot; w:h-ansi=&quot;Cambria Math&quot; w:cs=&quot;Cambria Math&quot;/&gt;&lt;wx:font wx:val=&quot;Cambria Math&quot;/&gt;&lt;w:i/&gt;&lt;/w:rPr&gt;&lt;m:t&gt;=S[1-0.125(1-Q)].&lt;/m:t&gt;&lt;/m:r&gt;&lt;/m:oMath&gt;&lt;/m:oMathPara&gt;&lt;/w:p&gt;&lt;w:sectPr wsp:rsidR=&quot;00000000&quot; wsp:rsidRPr=&quot;00354AA5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5" o:title="" chromakey="white"/>
          </v:shape>
        </w:pict>
      </w:r>
    </w:p>
    <w:p w14:paraId="03510B63" w14:textId="02D53033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强种子由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32E1A9D7">
          <v:shape id="_x0000_i1057" type="#_x0000_t75" style="width:55.6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4080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2F4080&quot; wsp:rsidRDefault=&quot;002F4080&quot; wsp:rsidP=&quot;002F4080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seed&lt;/m:t&gt;&lt;/m:r&gt;&lt;/m:sub&gt;&lt;/m:sSub&gt;&lt;m:r&gt;&lt;w:rPr&gt;&lt;w:rFonts w:ascii=&quot;Cambria Math&quot; w:h-ansi=&quot;Cambria Math&quot; w:cs=&quot;Cambria Math&quot;/&gt;&lt;wx:font wx:val=&quot;Cambria Math&quot;/&gt;&lt;w:i/&gt;&lt;/w:rPr&gt;&lt;m:t&gt;â‰¥0.32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6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3328160D">
          <v:shape id="_x0000_i1058" type="#_x0000_t75" style="width:55.6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4080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2F4080&quot; wsp:rsidRDefault=&quot;002F4080&quot; wsp:rsidP=&quot;002F4080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seed&lt;/m:t&gt;&lt;/m:r&gt;&lt;/m:sub&gt;&lt;/m:sSub&gt;&lt;m:r&gt;&lt;w:rPr&gt;&lt;w:rFonts w:ascii=&quot;Cambria Math&quot; w:h-ansi=&quot;Cambria Math&quot; w:cs=&quot;Cambria Math&quot;/&gt;&lt;wx:font wx:val=&quot;Cambria Math&quot;/&gt;&lt;w:i/&gt;&lt;/w:rPr&gt;&lt;m:t&gt;â‰¥0.32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6" o:title="" chromakey="white"/>
          </v:shape>
        </w:pict>
      </w:r>
      <w:r w:rsidR="00187C02" w:rsidRPr="00187C02">
        <w:fldChar w:fldCharType="end"/>
      </w:r>
      <w:r>
        <w:t>确定，弱图由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702B84BA">
          <v:shape id="_x0000_i1059" type="#_x0000_t75" style="width:59.7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05EA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805EA&quot; wsp:rsidRDefault=&quot;000805EA&quot; wsp:rsidP=&quot;000805EA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link&lt;/m:t&gt;&lt;/m:r&gt;&lt;/m:sub&gt;&lt;/m:sSub&gt;&lt;m:r&gt;&lt;w:rPr&gt;&lt;w:rFonts w:ascii=&quot;Cambria Math&quot; w:h-ansi=&quot;Cambria Math&quot; w:cs=&quot;Cambria Math&quot;/&gt;&lt;wx:font wx:val=&quot;Cambria Math&quot;/&gt;&lt;w:i/&gt;&lt;/w:rPr&gt;&lt;m:t&gt;â‰¥0.096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7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7DE2DA14">
          <v:shape id="_x0000_i1060" type="#_x0000_t75" style="width:59.7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05EA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805EA&quot; wsp:rsidRDefault=&quot;000805EA&quot; wsp:rsidP=&quot;000805EA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S&lt;/m:t&gt;&lt;/m:r&gt;&lt;/m:e&gt;&lt;m:sub&gt;&lt;m:r&gt;&lt;w:rPr&gt;&lt;w:rFonts w:ascii=&quot;Cambria Math&quot; w:h-ansi=&quot;Cambria Math&quot; w:cs=&quot;Cambria Math&quot;/&gt;&lt;wx:font wx:val=&quot;Cambria Math&quot;/&gt;&lt;w:i/&gt;&lt;/w:rPr&gt;&lt;m:t&gt;link&lt;/m:t&gt;&lt;/m:r&gt;&lt;/m:sub&gt;&lt;/m:sSub&gt;&lt;m:r&gt;&lt;w:rPr&gt;&lt;w:rFonts w:ascii=&quot;Cambria Math&quot; w:h-ansi=&quot;Cambria Math&quot; w:cs=&quot;Cambria Math&quot;/&gt;&lt;wx:font wx:val=&quot;Cambria Math&quot;/&gt;&lt;w:i/&gt;&lt;/w:rPr&gt;&lt;m:t&gt;â‰¥0.096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7" o:title="" chromakey="white"/>
          </v:shape>
        </w:pict>
      </w:r>
      <w:r w:rsidR="00187C02" w:rsidRPr="00187C02">
        <w:fldChar w:fldCharType="end"/>
      </w:r>
      <w:r>
        <w:t>确定，低高阈值比为</w:t>
      </w:r>
      <w:r>
        <w:t>0.3</w:t>
      </w:r>
      <w:r>
        <w:t>。随后用</w:t>
      </w:r>
      <w:r>
        <w:t>8</w:t>
      </w:r>
      <w:r>
        <w:t>邻接重建保留与强种子连通的弱响应，再细化至收敛，并将最外一圈置零。所谓保护强种子，是不对其施加额外门控；种子此前仍经过共同相位支持。门控越严格，越可能同时删除误检与真实弱边，因此需要消融判断其实际收益。</w:t>
      </w:r>
    </w:p>
    <w:p w14:paraId="2F377694" w14:textId="38E88D76" w:rsidR="0062037C" w:rsidRDefault="00187C02">
      <w:pPr>
        <w:keepNext/>
        <w:keepLines/>
        <w:widowControl/>
        <w:autoSpaceDE w:val="0"/>
        <w:autoSpaceDN w:val="0"/>
        <w:snapToGrid w:val="0"/>
        <w:spacing w:line="288" w:lineRule="auto"/>
        <w:jc w:val="center"/>
      </w:pPr>
      <w:r w:rsidRPr="00B534A7">
        <w:rPr>
          <w:noProof/>
        </w:rPr>
        <w:pict w14:anchorId="7E02D44A">
          <v:shape id="Picture 1" o:spid="_x0000_i1072" type="#_x0000_t75" style="width:396.85pt;height:308.45pt;visibility:visible;mso-wrap-style:square">
            <v:imagedata r:id="rId28" o:title=""/>
          </v:shape>
        </w:pict>
      </w:r>
    </w:p>
    <w:p w14:paraId="7DCCE48D" w14:textId="77777777" w:rsidR="0062037C" w:rsidRDefault="003946E5">
      <w:pPr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图</w:t>
      </w:r>
      <w:r>
        <w:rPr>
          <w:b/>
        </w:rPr>
        <w:t>1RGB</w:t>
      </w:r>
      <w:r>
        <w:rPr>
          <w:b/>
        </w:rPr>
        <w:t>频谱与中间响应。</w:t>
      </w:r>
      <w:r>
        <w:t>固定示例</w:t>
      </w:r>
      <w:r>
        <w:t>bsds_2018</w:t>
      </w:r>
      <w:r>
        <w:t>，上行为</w:t>
      </w:r>
      <w:r>
        <w:t>R</w:t>
      </w:r>
      <w:r>
        <w:t>、</w:t>
      </w:r>
      <w:r>
        <w:t>G</w:t>
      </w:r>
      <w:r>
        <w:t>、</w:t>
      </w:r>
      <w:r>
        <w:t>B</w:t>
      </w:r>
      <w:r>
        <w:t>的对数幅度谱，各通道分别归一化，不能据显示亮度比较绝对能量；下行为强种子响应、弱连接门控响应和最终边缘。</w:t>
      </w:r>
    </w:p>
    <w:p w14:paraId="3868FECB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lastRenderedPageBreak/>
        <w:t>全部实验使用</w:t>
      </w:r>
      <w:r>
        <w:t>MATLAB R2026b</w:t>
      </w:r>
      <w:r>
        <w:t>与</w:t>
      </w:r>
      <w:r>
        <w:t>Image Processing Toolbox</w:t>
      </w:r>
      <w:r>
        <w:t>，无需</w:t>
      </w:r>
      <w:r>
        <w:t>GPU</w:t>
      </w:r>
      <w:r>
        <w:t>。主入口</w:t>
      </w:r>
      <w:r>
        <w:t>course_fourier_edges</w:t>
      </w:r>
      <w:r>
        <w:t>依次完成频域导数、张量融合、</w:t>
      </w:r>
      <w:r>
        <w:t>NMS</w:t>
      </w:r>
      <w:r>
        <w:t>、相位支持与连接；</w:t>
      </w:r>
      <w:r>
        <w:t>run_natural_demo</w:t>
      </w:r>
      <w:r>
        <w:t>提供程序演示入口。</w:t>
      </w:r>
    </w:p>
    <w:p w14:paraId="2F03781B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t>3</w:t>
      </w:r>
      <w:r>
        <w:rPr>
          <w:b/>
          <w:sz w:val="24"/>
        </w:rPr>
        <w:t>实验设置</w:t>
      </w:r>
    </w:p>
    <w:p w14:paraId="33236CCA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采用</w:t>
      </w:r>
      <w:r>
        <w:t>BSDS500</w:t>
      </w:r>
      <w:r>
        <w:t>完整</w:t>
      </w:r>
      <w:r>
        <w:t>200</w:t>
      </w:r>
      <w:r>
        <w:t>张官方测试图，保留原生</w:t>
      </w:r>
      <w:r>
        <w:t>321×481</w:t>
      </w:r>
      <w:r>
        <w:t>或</w:t>
      </w:r>
      <w:r>
        <w:t>481×321</w:t>
      </w:r>
      <w:r>
        <w:t>尺寸及全部多人标注</w:t>
      </w:r>
      <w:r>
        <w:t>[9]</w:t>
      </w:r>
      <w:r>
        <w:t>。</w:t>
      </w:r>
      <w:r>
        <w:t>100</w:t>
      </w:r>
      <w:r>
        <w:t>张验证图在历史实验中已观察，其中</w:t>
      </w:r>
      <w:r>
        <w:t>12</w:t>
      </w:r>
      <w:r>
        <w:t>张用于本轮配置选择、</w:t>
      </w:r>
      <w:r>
        <w:t>88</w:t>
      </w:r>
      <w:r>
        <w:t>张用于补充验证；</w:t>
      </w:r>
      <w:r>
        <w:t>200</w:t>
      </w:r>
      <w:r>
        <w:t>张测试图此前也已观察。因此，以下实验属于冻结配置后的回归与补充分析，不能作为新的盲测。</w:t>
      </w:r>
    </w:p>
    <w:p w14:paraId="71115812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比较</w:t>
      </w:r>
      <w:r>
        <w:t>RGB</w:t>
      </w:r>
      <w:r>
        <w:t>主方法、灰度</w:t>
      </w:r>
      <w:r>
        <w:t>FFT</w:t>
      </w:r>
      <w:r>
        <w:t>＋相位、</w:t>
      </w:r>
      <w:r>
        <w:t>Sobel</w:t>
      </w:r>
      <w:r>
        <w:t>、</w:t>
      </w:r>
      <w:r>
        <w:t>Canny</w:t>
      </w:r>
      <w:r>
        <w:t>、理想高通和高斯高通。灰度对照采用相同导数尺度、相位权重及双阈值，不含颜色融合或额外弱连接门控。</w:t>
      </w:r>
      <w:r>
        <w:t>Sobel</w:t>
      </w:r>
      <w:r>
        <w:t>自动阈值乘</w:t>
      </w:r>
      <w:r>
        <w:t>0.75</w:t>
      </w:r>
      <w:r>
        <w:t>；</w:t>
      </w:r>
      <w:r>
        <w:t>Canny</w:t>
      </w:r>
      <w:r>
        <w:t>的高斯尺度为</w:t>
      </w:r>
      <w:r>
        <w:t>1.8</w:t>
      </w:r>
      <w:r>
        <w:t>，低、高阈值为</w:t>
      </w:r>
      <w:r>
        <w:t>0.096</w:t>
      </w:r>
      <w:r>
        <w:t>、</w:t>
      </w:r>
      <w:r>
        <w:t>0.24</w:t>
      </w:r>
      <w:r>
        <w:t>；两种高通截止频率为</w:t>
      </w:r>
      <w:r>
        <w:t>0.06cycles/pixel</w:t>
      </w:r>
      <w:r>
        <w:t>，</w:t>
      </w:r>
      <w:r>
        <w:t>Otsu</w:t>
      </w:r>
      <w:r>
        <w:t>阈值乘</w:t>
      </w:r>
      <w:r>
        <w:t>1.25</w:t>
      </w:r>
      <w:r>
        <w:t>。</w:t>
      </w:r>
      <w:r>
        <w:t>Sobel</w:t>
      </w:r>
      <w:r>
        <w:t>、</w:t>
      </w:r>
      <w:r>
        <w:t>Canny</w:t>
      </w:r>
      <w:r>
        <w:t>通过</w:t>
      </w:r>
      <w:r>
        <w:t>MATLAB</w:t>
      </w:r>
      <w:r>
        <w:t>接口实现</w:t>
      </w:r>
      <w:r>
        <w:t>[10]</w:t>
      </w:r>
      <w:r>
        <w:t>。各方法沿用已冻结配置，历史选参指标和预算存在差异。</w:t>
      </w:r>
    </w:p>
    <w:p w14:paraId="416CB0D0" w14:textId="64E3481D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评分采用官方匹配器，容差为图像对角线的</w:t>
      </w:r>
      <w:r>
        <w:t>0.0075</w:t>
      </w:r>
      <w:r>
        <w:t>倍，</w:t>
      </w:r>
      <w:r>
        <w:t>thin=1</w:t>
      </w:r>
      <w:r>
        <w:t>，不另裁评分边框。</w:t>
      </w:r>
      <w:r>
        <w:t>Precision</w:t>
      </w:r>
      <w:r>
        <w:t>的预测匹配支持取各标注结果并集，</w:t>
      </w:r>
      <w:r>
        <w:t>Recall</w:t>
      </w:r>
      <w:r>
        <w:t>则汇总全部标注的匹配计数。设逐图计数为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69DBCB5C">
          <v:shape id="_x0000_i1061" type="#_x0000_t75" style="width:57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77E1D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977E1D&quot; wsp:rsidRDefault=&quot;00977E1D&quot; wsp:rsidP=&quot;00977E1D&quot;&gt;&lt;m:oMathPara&gt;&lt;m:oMath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9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4CEE9C11">
          <v:shape id="_x0000_i1062" type="#_x0000_t75" style="width:57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77E1D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977E1D&quot; wsp:rsidRDefault=&quot;00977E1D&quot; wsp:rsidP=&quot;00977E1D&quot;&gt;&lt;m:oMathPara&gt;&lt;m:oMath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m:r&gt;&lt;w:rPr&gt;&lt;w:rFonts w:ascii=&quot;Cambria Math&quot; w:h-ansi=&quot;Cambria Math&quot; w:cs=&quot;Cambria Math&quot;/&gt;&lt;wx:font wx:val=&quot;Cambria Math&quot;/&gt;&lt;w:i/&gt;&lt;/w:rPr&gt;&lt;m:t&gt;,&lt;/m:t&gt;&lt;/m:r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29" o:title="" chromakey="white"/>
          </v:shape>
        </w:pict>
      </w:r>
      <w:r w:rsidR="00187C02" w:rsidRPr="00187C02">
        <w:fldChar w:fldCharType="end"/>
      </w:r>
      <w:r>
        <w:t>，则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10"/>
        </w:rPr>
        <w:pict w14:anchorId="079A90C3">
          <v:shape id="_x0000_i1063" type="#_x0000_t75" style="width:84.6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572C3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572C3&quot; wsp:rsidRDefault=&quot;000572C3&quot; wsp:rsidP=&quot;000572C3&quot;&gt;&lt;m:oMathPara&gt;&lt;m:oMath&gt;&lt;m:r&gt;&lt;w:rPr&gt;&lt;w:rFonts w:ascii=&quot;Cambria Math&quot; w:h-ansi=&quot;Cambria Math&quot; w:cs=&quot;Cambria Math&quot;/&gt;&lt;wx:font wx:val=&quot;Cambria Math&quot;/&gt;&lt;w:i/&gt;&lt;/w:rPr&gt;&lt;m:t&gt;P=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/m:e&gt;&lt;/m:nary&gt;&lt;m:r&gt;&lt;w:rPr&gt;&lt;w:rFonts w:ascii=&quot;Cambria Math&quot; w:h-ansi=&quot;Cambria Math&quot; w:cs=&quot;Cambria Math&quot;/&gt;&lt;wx:font wx:val=&quot;Cambria Math&quot;/&gt;&lt;w:i/&gt;&lt;/w:rPr&gt;&lt;m:t&gt;/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/m:e&gt;&lt;/m:nary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0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10"/>
        </w:rPr>
        <w:pict w14:anchorId="7613FC70">
          <v:shape id="_x0000_i1064" type="#_x0000_t75" style="width:84.65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572C3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572C3&quot; wsp:rsidRDefault=&quot;000572C3&quot; wsp:rsidP=&quot;000572C3&quot;&gt;&lt;m:oMathPara&gt;&lt;m:oMath&gt;&lt;m:r&gt;&lt;w:rPr&gt;&lt;w:rFonts w:ascii=&quot;Cambria Math&quot; w:h-ansi=&quot;Cambria Math&quot; w:cs=&quot;Cambria Math&quot;/&gt;&lt;wx:font wx:val=&quot;Cambria Math&quot;/&gt;&lt;w:i/&gt;&lt;/w:rPr&gt;&lt;m:t&gt;P=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/m:e&gt;&lt;/m:nary&gt;&lt;m:r&gt;&lt;w:rPr&gt;&lt;w:rFonts w:ascii=&quot;Cambria Math&quot; w:h-ansi=&quot;Cambria Math&quot; w:cs=&quot;Cambria Math&quot;/&gt;&lt;wx:font wx:val=&quot;Cambria Math&quot;/&gt;&lt;w:i/&gt;&lt;/w:rPr&gt;&lt;m:t&gt;/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P&lt;/m:t&gt;&lt;/m:r&gt;&lt;/m:sup&gt;&lt;/m:sSubSup&gt;&lt;/m:e&gt;&lt;/m:nary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0" o:title="" chromakey="white"/>
          </v:shape>
        </w:pict>
      </w:r>
      <w:r w:rsidR="00187C02" w:rsidRPr="00187C02">
        <w:fldChar w:fldCharType="end"/>
      </w:r>
      <w:r>
        <w:t>、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10"/>
        </w:rPr>
        <w:pict w14:anchorId="36BEC821">
          <v:shape id="_x0000_i1065" type="#_x0000_t75" style="width:85.3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C162D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C162D&quot; wsp:rsidRDefault=&quot;000C162D&quot; wsp:rsidP=&quot;000C162D&quot;&gt;&lt;m:oMathPara&gt;&lt;m:oMath&gt;&lt;m:r&gt;&lt;w:rPr&gt;&lt;w:rFonts w:ascii=&quot;Cambria Math&quot; w:h-ansi=&quot;Cambria Math&quot; w:cs=&quot;Cambria Math&quot;/&gt;&lt;wx:font wx:val=&quot;Cambria Math&quot;/&gt;&lt;w:i/&gt;&lt;/w:rPr&gt;&lt;m:t&gt;R=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e&gt;&lt;/m:nary&gt;&lt;m:r&gt;&lt;w:rPr&gt;&lt;w:rFonts w:ascii=&quot;Cambria Math&quot; w:h-ansi=&quot;Cambria Math&quot; w:cs=&quot;Cambria Math&quot;/&gt;&lt;wx:font wx:val=&quot;Cambria Math&quot;/&gt;&lt;w:i/&gt;&lt;/w:rPr&gt;&lt;m:t&gt;/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e&gt;&lt;/m:nary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1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10"/>
        </w:rPr>
        <w:pict w14:anchorId="5CCFD0D6">
          <v:shape id="_x0000_i1066" type="#_x0000_t75" style="width:85.3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C162D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0C162D&quot; wsp:rsidRDefault=&quot;000C162D&quot; wsp:rsidP=&quot;000C162D&quot;&gt;&lt;m:oMathPara&gt;&lt;m:oMath&gt;&lt;m:r&gt;&lt;w:rPr&gt;&lt;w:rFonts w:ascii=&quot;Cambria Math&quot; w:h-ansi=&quot;Cambria Math&quot; w:cs=&quot;Cambria Math&quot;/&gt;&lt;wx:font wx:val=&quot;Cambria Math&quot;/&gt;&lt;w:i/&gt;&lt;/w:rPr&gt;&lt;m:t&gt;R=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c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e&gt;&lt;/m:nary&gt;&lt;m:r&gt;&lt;w:rPr&gt;&lt;w:rFonts w:ascii=&quot;Cambria Math&quot; w:h-ansi=&quot;Cambria Math&quot; w:cs=&quot;Cambria Math&quot;/&gt;&lt;wx:font wx:val=&quot;Cambria Math&quot;/&gt;&lt;w:i/&gt;&lt;/w:rPr&gt;&lt;m:t&gt;/&lt;/m:t&gt;&lt;/m:r&gt;&lt;m:nary&gt;&lt;m:naryPr&gt;&lt;m:chr m:val=&quot;âˆ‘&quot;/&gt;&lt;m:limLoc m:val=&quot;subSup&quot;/&gt;&lt;m:grow m:val=&quot;1&quot;/&gt;&lt;m:supHide m:val=&quot;1&quot;/&gt;&lt;m:ctrlPr&gt;&lt;w:rPr&gt;&lt;w:rFonts w:ascii=&quot;Cambria Math&quot; w:h-ansi=&quot;Cambria Math&quot;/&gt;&lt;wx:font wx:val=&quot;Cambria Math&quot;/&gt;&lt;/w:rPr&gt;&lt;/m:ctrlPr&gt;&lt;/m:naryPr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/&gt;&lt;m:e&gt;&lt;m:sSubSup&gt;&lt;m:sSubSupPr&gt;&lt;m:ctrlPr&gt;&lt;w:rPr&gt;&lt;w:rFonts w:ascii=&quot;Cambria Math&quot; w:h-ansi=&quot;Cambria Math&quot;/&gt;&lt;wx:font wx:val=&quot;Cambria Math&quot;/&gt;&lt;/w:rPr&gt;&lt;/m:ctrlPr&gt;&lt;/m:sSubSupPr&gt;&lt;m:e&gt;&lt;m:r&gt;&lt;w:rPr&gt;&lt;w:rFonts w:ascii=&quot;Cambria Math&quot; w:h-ansi=&quot;Cambria Math&quot; w:cs=&quot;Cambria Math&quot;/&gt;&lt;wx:font wx:val=&quot;Cambria Math&quot;/&gt;&lt;w:i/&gt;&lt;/w:rPr&gt;&lt;m:t&gt;n&lt;/m:t&gt;&lt;/m:r&gt;&lt;/m:e&gt;&lt;m:sub&gt;&lt;m:r&gt;&lt;w:rPr&gt;&lt;w:rFonts w:ascii=&quot;Cambria Math&quot; w:h-ansi=&quot;Cambria Math&quot; w:cs=&quot;Cambria Math&quot;/&gt;&lt;wx:font wx:val=&quot;Cambria Math&quot;/&gt;&lt;w:i/&gt;&lt;/w:rPr&gt;&lt;m:t&gt;i&lt;/m:t&gt;&lt;/m:r&gt;&lt;/m:sub&gt;&lt;m:sup&gt;&lt;m:r&gt;&lt;w:rPr&gt;&lt;w:rFonts w:ascii=&quot;Cambria Math&quot; w:h-ansi=&quot;Cambria Math&quot; w:cs=&quot;Cambria Math&quot;/&gt;&lt;wx:font wx:val=&quot;Cambria Math&quot;/&gt;&lt;w:i/&gt;&lt;/w:rPr&gt;&lt;m:t&gt;R&lt;/m:t&gt;&lt;/m:r&gt;&lt;/m:sup&gt;&lt;/m:sSubSup&gt;&lt;/m:e&gt;&lt;/m:nary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1" o:title="" chromakey="white"/>
          </v:shape>
        </w:pict>
      </w:r>
      <w:r w:rsidR="00187C02" w:rsidRPr="00187C02">
        <w:fldChar w:fldCharType="end"/>
      </w:r>
      <w:r>
        <w:t>，</w:t>
      </w:r>
      <w:r w:rsidR="00187C02" w:rsidRPr="00187C02">
        <w:fldChar w:fldCharType="begin"/>
      </w:r>
      <w:r w:rsidR="00187C02" w:rsidRPr="00187C02">
        <w:instrText xml:space="preserve"> QUOTE </w:instrText>
      </w:r>
      <w:r w:rsidR="00187C02" w:rsidRPr="00187C02">
        <w:rPr>
          <w:position w:val="-8"/>
        </w:rPr>
        <w:pict w14:anchorId="032B43A1">
          <v:shape id="_x0000_i1067" type="#_x0000_t75" style="width:82.9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12362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D12362&quot; wsp:rsidRDefault=&quot;00D12362&quot; wsp:rsidP=&quot;00D1236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F&lt;/m:t&gt;&lt;/m:r&gt;&lt;/m:e&gt;&lt;m:sub&gt;&lt;m:r&gt;&lt;w:rPr&gt;&lt;w:rFonts w:ascii=&quot;Cambria Math&quot; w:h-ansi=&quot;Cambria Math&quot; w:cs=&quot;Cambria Math&quot;/&gt;&lt;wx:font wx:val=&quot;Cambria Math&quot;/&gt;&lt;w:i/&gt;&lt;/w:rPr&gt;&lt;m:t&gt;1&lt;/m:t&gt;&lt;/m:r&gt;&lt;/m:sub&gt;&lt;/m:sSub&gt;&lt;m:r&gt;&lt;w:rPr&gt;&lt;w:rFonts w:ascii=&quot;Cambria Math&quot; w:h-ansi=&quot;Cambria Math&quot; w:cs=&quot;Cambria Math&quot;/&gt;&lt;wx:font wx:val=&quot;Cambria Math&quot;/&gt;&lt;w:i/&gt;&lt;/w:rPr&gt;&lt;m:t&gt;=2PR/(P+R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2" o:title="" chromakey="white"/>
          </v:shape>
        </w:pict>
      </w:r>
      <w:r w:rsidR="00187C02" w:rsidRPr="00187C02">
        <w:instrText xml:space="preserve"> </w:instrText>
      </w:r>
      <w:r w:rsidR="00187C02" w:rsidRPr="00187C02">
        <w:fldChar w:fldCharType="separate"/>
      </w:r>
      <w:r w:rsidR="00187C02" w:rsidRPr="00187C02">
        <w:rPr>
          <w:position w:val="-8"/>
        </w:rPr>
        <w:pict w14:anchorId="47495F8C">
          <v:shape id="_x0000_i1068" type="#_x0000_t75" style="width:82.9pt;height:15.7pt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cr=&quot;http://schemas.microsoft.com/office/comments/2020/reactions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oel=&quot;http://schemas.microsoft.com/office/2019/extlst&quot; xmlns:m=&quot;http://schemas.openxmlformats.org/officeDocument/2006/math&quot; xmlns:rd=&quot;http://schemas.microsoft.com/office/reactions/2026/reactionDetails&quot; xmlns:v=&quot;urn:schemas-microsoft-com:vml&quot; xmlns:w10=&quot;urn:schemas-microsoft-com:office:word&quot; xmlns:w=&quot;http://schemas.microsoft.com/office/word/2003/wordml&quot; xmlns:w16cei=&quot;http://schemas.microsoft.com/office/word/2026/wordml/cei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10&quot;/&gt;&lt;w:doNotEmbedSystemFonts/&gt;&lt;w:bordersDontSurroundHeader/&gt;&lt;w:bordersDontSurroundFooter/&gt;&lt;w:stylePaneFormatFilter w:val=&quot;3F01&quot;/&gt;&lt;w:defaultTabStop w:val=&quot;420&quot;/&gt;&lt;w:drawingGridHorizontalSpacing w:val=&quot;105&quot;/&gt;&lt;w:drawingGridVerticalSpacing w:val=&quot;156&quot;/&gt;&lt;w:displayHorizontalDrawingGridEvery w:val=&quot;0&quot;/&gt;&lt;w:displayVerticalDrawingGridEvery w:val=&quot;2&quot;/&gt;&lt;w:punctuationKerning/&gt;&lt;w:characterSpacingControl w:val=&quot;CompressPunctuation&quot;/&gt;&lt;w:webPageEncoding w:val=&quot;x-cp20936&quot;/&gt;&lt;w:optimizeForBrowser/&gt;&lt;w:allowPNG/&gt;&lt;w:pixelsPerInch w:val=&quot;144&quot;/&gt;&lt;w:validateAgainstSchema/&gt;&lt;w:saveInvalidXML w:val=&quot;off&quot;/&gt;&lt;w:ignoreMixedContent w:val=&quot;off&quot;/&gt;&lt;w:alwaysShowPlaceholderText w:val=&quot;off&quot;/&gt;&lt;w:compat&gt;&lt;w:spaceForUL/&gt;&lt;w:balanceSingleByteDoubleByteWidth/&gt;&lt;w:doNotLeaveBackslashAlone/&gt;&lt;w:ulTrailSpace/&gt;&lt;w:doNotExpandShiftReturn/&gt;&lt;w:adjustLineHeightInTable/&gt;&lt;w:breakWrappedTables/&gt;&lt;w:snapToGridInCell/&gt;&lt;w:wrapTextWithPunct/&gt;&lt;w:useAsianBreakRules/&gt;&lt;w:dontGrowAutofit/&gt;&lt;w:useFELayout/&gt;&lt;/w:compat&gt;&lt;w:docVars&gt;&lt;w:docVar w:name=&quot;commondata&quot; w:val=&quot;eyJoZGlkIjoiZmU4OWUzOGJiZGIxMjI0ZTNiNmRkMDY4YjkwMmFmNTIifQ==&quot;/&gt;&lt;/w:docVars&gt;&lt;wsp:rsids&gt;&lt;wsp:rsidRoot wsp:val=&quot;00C41AAC&quot;/&gt;&lt;wsp:rsid wsp:val=&quot;000074E9&quot;/&gt;&lt;wsp:rsid wsp:val=&quot;00023B94&quot;/&gt;&lt;wsp:rsid wsp:val=&quot;00031E57&quot;/&gt;&lt;wsp:rsid wsp:val=&quot;00046F7C&quot;/&gt;&lt;wsp:rsid wsp:val=&quot;00085E30&quot;/&gt;&lt;wsp:rsid wsp:val=&quot;000A3FD5&quot;/&gt;&lt;wsp:rsid wsp:val=&quot;000A4037&quot;/&gt;&lt;wsp:rsid wsp:val=&quot;000D2E84&quot;/&gt;&lt;wsp:rsid wsp:val=&quot;000E373F&quot;/&gt;&lt;wsp:rsid wsp:val=&quot;000F366F&quot;/&gt;&lt;wsp:rsid wsp:val=&quot;00101E28&quot;/&gt;&lt;wsp:rsid wsp:val=&quot;001168E2&quot;/&gt;&lt;wsp:rsid wsp:val=&quot;00124140&quot;/&gt;&lt;wsp:rsid wsp:val=&quot;00130F39&quot;/&gt;&lt;wsp:rsid wsp:val=&quot;00164C62&quot;/&gt;&lt;wsp:rsid wsp:val=&quot;0017354F&quot;/&gt;&lt;wsp:rsid wsp:val=&quot;00182907&quot;/&gt;&lt;wsp:rsid wsp:val=&quot;00182AE5&quot;/&gt;&lt;wsp:rsid wsp:val=&quot;00187C02&quot;/&gt;&lt;wsp:rsid wsp:val=&quot;001A31C3&quot;/&gt;&lt;wsp:rsid wsp:val=&quot;001A5177&quot;/&gt;&lt;wsp:rsid wsp:val=&quot;001E128C&quot;/&gt;&lt;wsp:rsid wsp:val=&quot;00201548&quot;/&gt;&lt;wsp:rsid wsp:val=&quot;00206108&quot;/&gt;&lt;wsp:rsid wsp:val=&quot;002317E2&quot;/&gt;&lt;wsp:rsid wsp:val=&quot;002577F0&quot;/&gt;&lt;wsp:rsid wsp:val=&quot;00273E81&quot;/&gt;&lt;wsp:rsid wsp:val=&quot;002A0413&quot;/&gt;&lt;wsp:rsid wsp:val=&quot;002F243B&quot;/&gt;&lt;wsp:rsid wsp:val=&quot;002F5AD1&quot;/&gt;&lt;wsp:rsid wsp:val=&quot;002F7D31&quot;/&gt;&lt;wsp:rsid wsp:val=&quot;0034492F&quot;/&gt;&lt;wsp:rsid wsp:val=&quot;00364297&quot;/&gt;&lt;wsp:rsid wsp:val=&quot;0036469F&quot;/&gt;&lt;wsp:rsid wsp:val=&quot;0039125D&quot;/&gt;&lt;wsp:rsid wsp:val=&quot;00393B94&quot;/&gt;&lt;wsp:rsid wsp:val=&quot;003C14E6&quot;/&gt;&lt;wsp:rsid wsp:val=&quot;003D0104&quot;/&gt;&lt;wsp:rsid wsp:val=&quot;003D3F9B&quot;/&gt;&lt;wsp:rsid wsp:val=&quot;00416FAF&quot;/&gt;&lt;wsp:rsid wsp:val=&quot;00421BCA&quot;/&gt;&lt;wsp:rsid wsp:val=&quot;00445B46&quot;/&gt;&lt;wsp:rsid wsp:val=&quot;00447CB3&quot;/&gt;&lt;wsp:rsid wsp:val=&quot;004827CD&quot;/&gt;&lt;wsp:rsid wsp:val=&quot;004B4046&quot;/&gt;&lt;wsp:rsid wsp:val=&quot;004B555F&quot;/&gt;&lt;wsp:rsid wsp:val=&quot;004C0165&quot;/&gt;&lt;wsp:rsid wsp:val=&quot;004D2743&quot;/&gt;&lt;wsp:rsid wsp:val=&quot;004E0828&quot;/&gt;&lt;wsp:rsid wsp:val=&quot;004F3CE0&quot;/&gt;&lt;wsp:rsid wsp:val=&quot;005079F0&quot;/&gt;&lt;wsp:rsid wsp:val=&quot;005103EA&quot;/&gt;&lt;wsp:rsid wsp:val=&quot;0051401F&quot;/&gt;&lt;wsp:rsid wsp:val=&quot;00546D4B&quot;/&gt;&lt;wsp:rsid wsp:val=&quot;00575241&quot;/&gt;&lt;wsp:rsid wsp:val=&quot;00587F92&quot;/&gt;&lt;wsp:rsid wsp:val=&quot;005A56DA&quot;/&gt;&lt;wsp:rsid wsp:val=&quot;005C0018&quot;/&gt;&lt;wsp:rsid wsp:val=&quot;005D3BF6&quot;/&gt;&lt;wsp:rsid wsp:val=&quot;00615488&quot;/&gt;&lt;wsp:rsid wsp:val=&quot;0062037C&quot;/&gt;&lt;wsp:rsid wsp:val=&quot;00636D9B&quot;/&gt;&lt;wsp:rsid wsp:val=&quot;00643DD7&quot;/&gt;&lt;wsp:rsid wsp:val=&quot;006872D3&quot;/&gt;&lt;wsp:rsid wsp:val=&quot;00690B1C&quot;/&gt;&lt;wsp:rsid wsp:val=&quot;006C474C&quot;/&gt;&lt;wsp:rsid wsp:val=&quot;006C6B34&quot;/&gt;&lt;wsp:rsid wsp:val=&quot;006D5B2A&quot;/&gt;&lt;wsp:rsid wsp:val=&quot;006E7135&quot;/&gt;&lt;wsp:rsid wsp:val=&quot;006F2F1D&quot;/&gt;&lt;wsp:rsid wsp:val=&quot;00717173&quot;/&gt;&lt;wsp:rsid wsp:val=&quot;00726036&quot;/&gt;&lt;wsp:rsid wsp:val=&quot;00756AD2&quot;/&gt;&lt;wsp:rsid wsp:val=&quot;00761761&quot;/&gt;&lt;wsp:rsid wsp:val=&quot;007717FA&quot;/&gt;&lt;wsp:rsid wsp:val=&quot;00774315&quot;/&gt;&lt;wsp:rsid wsp:val=&quot;00775C88&quot;/&gt;&lt;wsp:rsid wsp:val=&quot;00795F58&quot;/&gt;&lt;wsp:rsid wsp:val=&quot;007969F8&quot;/&gt;&lt;wsp:rsid wsp:val=&quot;007A4DA6&quot;/&gt;&lt;wsp:rsid wsp:val=&quot;007B1CE9&quot;/&gt;&lt;wsp:rsid wsp:val=&quot;007B3081&quot;/&gt;&lt;wsp:rsid wsp:val=&quot;007B4A73&quot;/&gt;&lt;wsp:rsid wsp:val=&quot;007C644B&quot;/&gt;&lt;wsp:rsid wsp:val=&quot;00802C71&quot;/&gt;&lt;wsp:rsid wsp:val=&quot;00833CFB&quot;/&gt;&lt;wsp:rsid wsp:val=&quot;00874E90&quot;/&gt;&lt;wsp:rsid wsp:val=&quot;00885DCF&quot;/&gt;&lt;wsp:rsid wsp:val=&quot;008A30DA&quot;/&gt;&lt;wsp:rsid wsp:val=&quot;008B32C8&quot;/&gt;&lt;wsp:rsid wsp:val=&quot;008C1526&quot;/&gt;&lt;wsp:rsid wsp:val=&quot;008E7F02&quot;/&gt;&lt;wsp:rsid wsp:val=&quot;0091636D&quot;/&gt;&lt;wsp:rsid wsp:val=&quot;00916F66&quot;/&gt;&lt;wsp:rsid wsp:val=&quot;00936131&quot;/&gt;&lt;wsp:rsid wsp:val=&quot;0093796D&quot;/&gt;&lt;wsp:rsid wsp:val=&quot;00941733&quot;/&gt;&lt;wsp:rsid wsp:val=&quot;00944273&quot;/&gt;&lt;wsp:rsid wsp:val=&quot;00982BB7&quot;/&gt;&lt;wsp:rsid wsp:val=&quot;00983FFB&quot;/&gt;&lt;wsp:rsid wsp:val=&quot;009A4AE0&quot;/&gt;&lt;wsp:rsid wsp:val=&quot;009D3937&quot;/&gt;&lt;wsp:rsid wsp:val=&quot;009D55D0&quot;/&gt;&lt;wsp:rsid wsp:val=&quot;009D7831&quot;/&gt;&lt;wsp:rsid wsp:val=&quot;009D7D0F&quot;/&gt;&lt;wsp:rsid wsp:val=&quot;009F557D&quot;/&gt;&lt;wsp:rsid wsp:val=&quot;00A12A31&quot;/&gt;&lt;wsp:rsid wsp:val=&quot;00A15E13&quot;/&gt;&lt;wsp:rsid wsp:val=&quot;00A17F91&quot;/&gt;&lt;wsp:rsid wsp:val=&quot;00A2220B&quot;/&gt;&lt;wsp:rsid wsp:val=&quot;00A357B9&quot;/&gt;&lt;wsp:rsid wsp:val=&quot;00A5490B&quot;/&gt;&lt;wsp:rsid wsp:val=&quot;00A67CAC&quot;/&gt;&lt;wsp:rsid wsp:val=&quot;00AB7A24&quot;/&gt;&lt;wsp:rsid wsp:val=&quot;00B051DB&quot;/&gt;&lt;wsp:rsid wsp:val=&quot;00B136C4&quot;/&gt;&lt;wsp:rsid wsp:val=&quot;00B30B7F&quot;/&gt;&lt;wsp:rsid wsp:val=&quot;00B317CF&quot;/&gt;&lt;wsp:rsid wsp:val=&quot;00B31B70&quot;/&gt;&lt;wsp:rsid wsp:val=&quot;00B57F45&quot;/&gt;&lt;wsp:rsid wsp:val=&quot;00B649D2&quot;/&gt;&lt;wsp:rsid wsp:val=&quot;00B7211C&quot;/&gt;&lt;wsp:rsid wsp:val=&quot;00BB3DF1&quot;/&gt;&lt;wsp:rsid wsp:val=&quot;00BB6FC8&quot;/&gt;&lt;wsp:rsid wsp:val=&quot;00BD0CDE&quot;/&gt;&lt;wsp:rsid wsp:val=&quot;00BD4003&quot;/&gt;&lt;wsp:rsid wsp:val=&quot;00BF3BCA&quot;/&gt;&lt;wsp:rsid wsp:val=&quot;00BF733F&quot;/&gt;&lt;wsp:rsid wsp:val=&quot;00C14427&quot;/&gt;&lt;wsp:rsid wsp:val=&quot;00C23C2D&quot;/&gt;&lt;wsp:rsid wsp:val=&quot;00C30225&quot;/&gt;&lt;wsp:rsid wsp:val=&quot;00C34C23&quot;/&gt;&lt;wsp:rsid wsp:val=&quot;00C41AAC&quot;/&gt;&lt;wsp:rsid wsp:val=&quot;00C45D0F&quot;/&gt;&lt;wsp:rsid wsp:val=&quot;00C90433&quot;/&gt;&lt;wsp:rsid wsp:val=&quot;00C959DA&quot;/&gt;&lt;wsp:rsid wsp:val=&quot;00CA034F&quot;/&gt;&lt;wsp:rsid wsp:val=&quot;00CA6549&quot;/&gt;&lt;wsp:rsid wsp:val=&quot;00CA68D4&quot;/&gt;&lt;wsp:rsid wsp:val=&quot;00CC7FB6&quot;/&gt;&lt;wsp:rsid wsp:val=&quot;00CE5063&quot;/&gt;&lt;wsp:rsid wsp:val=&quot;00D04F49&quot;/&gt;&lt;wsp:rsid wsp:val=&quot;00D05457&quot;/&gt;&lt;wsp:rsid wsp:val=&quot;00D12362&quot;/&gt;&lt;wsp:rsid wsp:val=&quot;00D4102C&quot;/&gt;&lt;wsp:rsid wsp:val=&quot;00D478BE&quot;/&gt;&lt;wsp:rsid wsp:val=&quot;00D60B07&quot;/&gt;&lt;wsp:rsid wsp:val=&quot;00D7209A&quot;/&gt;&lt;wsp:rsid wsp:val=&quot;00D75291&quot;/&gt;&lt;wsp:rsid wsp:val=&quot;00DB1B99&quot;/&gt;&lt;wsp:rsid wsp:val=&quot;00E0779F&quot;/&gt;&lt;wsp:rsid wsp:val=&quot;00E42468&quot;/&gt;&lt;wsp:rsid wsp:val=&quot;00E47D17&quot;/&gt;&lt;wsp:rsid wsp:val=&quot;00E55907&quot;/&gt;&lt;wsp:rsid wsp:val=&quot;00E6077F&quot;/&gt;&lt;wsp:rsid wsp:val=&quot;00E62D9C&quot;/&gt;&lt;wsp:rsid wsp:val=&quot;00E67831&quot;/&gt;&lt;wsp:rsid wsp:val=&quot;00E70CCB&quot;/&gt;&lt;wsp:rsid wsp:val=&quot;00E86C88&quot;/&gt;&lt;wsp:rsid wsp:val=&quot;00E9233F&quot;/&gt;&lt;wsp:rsid wsp:val=&quot;00EA5606&quot;/&gt;&lt;wsp:rsid wsp:val=&quot;00EB1FC5&quot;/&gt;&lt;wsp:rsid wsp:val=&quot;00EB60D5&quot;/&gt;&lt;wsp:rsid wsp:val=&quot;00EE405D&quot;/&gt;&lt;wsp:rsid wsp:val=&quot;00F02F7D&quot;/&gt;&lt;wsp:rsid wsp:val=&quot;00F125D2&quot;/&gt;&lt;wsp:rsid wsp:val=&quot;00F218AF&quot;/&gt;&lt;wsp:rsid wsp:val=&quot;00F31B6C&quot;/&gt;&lt;wsp:rsid wsp:val=&quot;00F45B8C&quot;/&gt;&lt;wsp:rsid wsp:val=&quot;00F53DC4&quot;/&gt;&lt;wsp:rsid wsp:val=&quot;00F56EA6&quot;/&gt;&lt;wsp:rsid wsp:val=&quot;00F74BD7&quot;/&gt;&lt;wsp:rsid wsp:val=&quot;00F76AA0&quot;/&gt;&lt;wsp:rsid wsp:val=&quot;00F94127&quot;/&gt;&lt;wsp:rsid wsp:val=&quot;00F96DF2&quot;/&gt;&lt;wsp:rsid wsp:val=&quot;00FA1527&quot;/&gt;&lt;wsp:rsid wsp:val=&quot;00FA33F6&quot;/&gt;&lt;wsp:rsid wsp:val=&quot;00FC4615&quot;/&gt;&lt;wsp:rsid wsp:val=&quot;00FD19A8&quot;/&gt;&lt;wsp:rsid wsp:val=&quot;110901A0&quot;/&gt;&lt;wsp:rsid wsp:val=&quot;15DD0556&quot;/&gt;&lt;wsp:rsid wsp:val=&quot;23717C27&quot;/&gt;&lt;wsp:rsid wsp:val=&quot;334A64A3&quot;/&gt;&lt;wsp:rsid wsp:val=&quot;35E843DA&quot;/&gt;&lt;wsp:rsid wsp:val=&quot;467F0CF9&quot;/&gt;&lt;wsp:rsid wsp:val=&quot;519531C9&quot;/&gt;&lt;wsp:rsid wsp:val=&quot;54CE4645&quot;/&gt;&lt;wsp:rsid wsp:val=&quot;55C149C2&quot;/&gt;&lt;wsp:rsid wsp:val=&quot;57947A7F&quot;/&gt;&lt;wsp:rsid wsp:val=&quot;5F223248&quot;/&gt;&lt;wsp:rsid wsp:val=&quot;71C6263A&quot;/&gt;&lt;/wsp:rsids&gt;&lt;/w:docPr&gt;&lt;w:body&gt;&lt;wx:sect&gt;&lt;w:p wsp:rsidR=&quot;00D12362&quot; wsp:rsidRDefault=&quot;00D12362&quot; wsp:rsidP=&quot;00D12362&quot;&gt;&lt;m:oMathPara&gt;&lt;m:oMath&gt;&lt;m:sSub&gt;&lt;m:sSubPr&gt;&lt;m:ctrlPr&gt;&lt;w:rPr&gt;&lt;w:rFonts w:ascii=&quot;Cambria Math&quot; w:h-ansi=&quot;Cambria Math&quot;/&gt;&lt;wx:font wx:val=&quot;Cambria Math&quot;/&gt;&lt;/w:rPr&gt;&lt;/m:ctrlPr&gt;&lt;/m:sSubPr&gt;&lt;m:e&gt;&lt;m:r&gt;&lt;w:rPr&gt;&lt;w:rFonts w:ascii=&quot;Cambria Math&quot; w:h-ansi=&quot;Cambria Math&quot; w:cs=&quot;Cambria Math&quot;/&gt;&lt;wx:font wx:val=&quot;Cambria Math&quot;/&gt;&lt;w:i/&gt;&lt;/w:rPr&gt;&lt;m:t&gt;F&lt;/m:t&gt;&lt;/m:r&gt;&lt;/m:e&gt;&lt;m:sub&gt;&lt;m:r&gt;&lt;w:rPr&gt;&lt;w:rFonts w:ascii=&quot;Cambria Math&quot; w:h-ansi=&quot;Cambria Math&quot; w:cs=&quot;Cambria Math&quot;/&gt;&lt;wx:font wx:val=&quot;Cambria Math&quot;/&gt;&lt;w:i/&gt;&lt;/w:rPr&gt;&lt;m:t&gt;1&lt;/m:t&gt;&lt;/m:r&gt;&lt;/m:sub&gt;&lt;/m:sSub&gt;&lt;m:r&gt;&lt;w:rPr&gt;&lt;w:rFonts w:ascii=&quot;Cambria Math&quot; w:h-ansi=&quot;Cambria Math&quot; w:cs=&quot;Cambria Math&quot;/&gt;&lt;wx:font wx:val=&quot;Cambria Math&quot;/&gt;&lt;w:i/&gt;&lt;/w:rPr&gt;&lt;m:t&gt;=2PR/(P+R)&lt;/m:t&gt;&lt;/m:r&gt;&lt;/m:oMath&gt;&lt;/m:oMathPara&gt;&lt;/w:p&gt;&lt;w:sectPr wsp:rsidR=&quot;00000000&quot;&gt;&lt;w:pgSz w:w=&quot;12240&quot; w:h=&quot;15840&quot;/&gt;&lt;w:pgMar w:top=&quot;1440&quot; w:right=&quot;1440&quot; w:bottom=&quot;1440&quot; w:left=&quot;1440&quot; w:header=&quot;720&quot; w:footer=&quot;720&quot; w:gutter=&quot;0&quot;/&gt;&lt;w:cols w:space=&quot;720&quot;/&gt;&lt;/w:sectPr&gt;&lt;/wx:sect&gt;&lt;/w:body&gt;&lt;/w:wordDocument&gt;">
            <v:imagedata r:id="rId32" o:title="" chromakey="white"/>
          </v:shape>
        </w:pict>
      </w:r>
      <w:r w:rsidR="00187C02" w:rsidRPr="00187C02">
        <w:fldChar w:fldCharType="end"/>
      </w:r>
      <w:r>
        <w:t>。另报逐图</w:t>
      </w:r>
      <w:r>
        <w:t>F1</w:t>
      </w:r>
      <w:r>
        <w:t>的宏平均。此处</w:t>
      </w:r>
      <w:r>
        <w:t>Precision</w:t>
      </w:r>
      <w:r>
        <w:t>表示预测边缘的查准率，不等同于像素准确率；人工边缘并集仅用于显示。</w:t>
      </w:r>
    </w:p>
    <w:p w14:paraId="102A7F38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采用</w:t>
      </w:r>
      <w:r>
        <w:t>20000</w:t>
      </w:r>
      <w:r>
        <w:t>次按图配对</w:t>
      </w:r>
      <w:r>
        <w:t>bootstrap</w:t>
      </w:r>
      <w:r>
        <w:t>。主比较中，</w:t>
      </w:r>
      <w:r>
        <w:t>RGB</w:t>
      </w:r>
      <w:r>
        <w:t>对</w:t>
      </w:r>
      <w:r>
        <w:t>5</w:t>
      </w:r>
      <w:r>
        <w:t>种对照的</w:t>
      </w:r>
      <w:r>
        <w:t>P/F1</w:t>
      </w:r>
      <w:r>
        <w:t>共</w:t>
      </w:r>
      <w:r>
        <w:t>10</w:t>
      </w:r>
      <w:r>
        <w:t>项使用</w:t>
      </w:r>
      <w:r>
        <w:t>99.5%</w:t>
      </w:r>
      <w:r>
        <w:t>双侧区间作</w:t>
      </w:r>
      <w:r>
        <w:t>Bonferroni</w:t>
      </w:r>
      <w:r>
        <w:t>校正；消融的</w:t>
      </w:r>
      <w:r>
        <w:t>5</w:t>
      </w:r>
      <w:r>
        <w:t>个预定对比</w:t>
      </w:r>
      <w:r>
        <w:t>×P/F1</w:t>
      </w:r>
      <w:r>
        <w:t>另作同样校正。</w:t>
      </w:r>
      <w:r>
        <w:t>Recall</w:t>
      </w:r>
      <w:r>
        <w:t>及宏平均差值用</w:t>
      </w:r>
      <w:r>
        <w:t>95%</w:t>
      </w:r>
      <w:r>
        <w:t>描述区间。噪声比较单独对</w:t>
      </w:r>
      <w:r>
        <w:t>RGB</w:t>
      </w:r>
      <w:r>
        <w:t>减灰度</w:t>
      </w:r>
      <w:r>
        <w:t>/Canny</w:t>
      </w:r>
      <w:r>
        <w:t>的三档</w:t>
      </w:r>
      <w:r>
        <w:t>F1</w:t>
      </w:r>
      <w:r>
        <w:t>共</w:t>
      </w:r>
      <w:r>
        <w:t>6</w:t>
      </w:r>
      <w:r>
        <w:t>项使用</w:t>
      </w:r>
      <w:r>
        <w:t>99.1667%</w:t>
      </w:r>
      <w:r>
        <w:t>区间，各比较族分别校正。</w:t>
      </w:r>
    </w:p>
    <w:p w14:paraId="495F3786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消融在</w:t>
      </w:r>
      <w:r>
        <w:t>200</w:t>
      </w:r>
      <w:r>
        <w:t>张图上设置灰度</w:t>
      </w:r>
      <w:r>
        <w:t>/RGB</w:t>
      </w:r>
      <w:r>
        <w:t>与相位关</w:t>
      </w:r>
      <w:r>
        <w:t>/</w:t>
      </w:r>
      <w:r>
        <w:t>开的</w:t>
      </w:r>
      <w:r>
        <w:t>2×2</w:t>
      </w:r>
      <w:r>
        <w:t>配置，再加入最终门控，统一使用高阈值</w:t>
      </w:r>
      <w:r>
        <w:t>0.32</w:t>
      </w:r>
      <w:r>
        <w:t>、低高比</w:t>
      </w:r>
      <w:r>
        <w:t>0.3</w:t>
      </w:r>
      <w:r>
        <w:t>。噪声实验固定取测试清单数值</w:t>
      </w:r>
      <w:r>
        <w:t>ID</w:t>
      </w:r>
      <w:r>
        <w:t>排序前</w:t>
      </w:r>
      <w:r>
        <w:t>10</w:t>
      </w:r>
      <w:r>
        <w:t>张，对</w:t>
      </w:r>
      <w:r>
        <w:t>0—1</w:t>
      </w:r>
      <w:r>
        <w:t>的</w:t>
      </w:r>
      <w:r>
        <w:t>RGB</w:t>
      </w:r>
      <w:r>
        <w:t>通道独立添加标准差</w:t>
      </w:r>
      <w:r>
        <w:t>0.02</w:t>
      </w:r>
      <w:r>
        <w:t>、</w:t>
      </w:r>
      <w:r>
        <w:t>0.05</w:t>
      </w:r>
      <w:r>
        <w:t>、</w:t>
      </w:r>
      <w:r>
        <w:t>0.10</w:t>
      </w:r>
      <w:r>
        <w:t>的零均值高斯噪声，截断后量化为</w:t>
      </w:r>
      <w:r>
        <w:t>uint8</w:t>
      </w:r>
      <w:r>
        <w:t>。种子为</w:t>
      </w:r>
      <w:r>
        <w:t>42</w:t>
      </w:r>
      <w:r>
        <w:t>、</w:t>
      </w:r>
      <w:r>
        <w:t>137</w:t>
      </w:r>
      <w:r>
        <w:t>、</w:t>
      </w:r>
      <w:r>
        <w:t>2026</w:t>
      </w:r>
      <w:r>
        <w:t>加每图固定偏移，同图同种子跨强度共享标准噪声场；所有方法处理同一输入。三个种子的匹配计数先在图内平均，再汇总和重采样，统计单位是</w:t>
      </w:r>
      <w:r>
        <w:t>10</w:t>
      </w:r>
      <w:r>
        <w:t>张图，不是</w:t>
      </w:r>
      <w:r>
        <w:t>30</w:t>
      </w:r>
      <w:r>
        <w:t>张图。</w:t>
      </w:r>
    </w:p>
    <w:p w14:paraId="64E1E1A6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t>4</w:t>
      </w:r>
      <w:r>
        <w:rPr>
          <w:b/>
          <w:sz w:val="24"/>
        </w:rPr>
        <w:t>结果与分析</w:t>
      </w:r>
    </w:p>
    <w:p w14:paraId="489A9291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4.1</w:t>
      </w:r>
      <w:r>
        <w:rPr>
          <w:b/>
        </w:rPr>
        <w:t>完整</w:t>
      </w:r>
      <w:r>
        <w:rPr>
          <w:b/>
        </w:rPr>
        <w:t>200</w:t>
      </w:r>
      <w:r>
        <w:rPr>
          <w:b/>
        </w:rPr>
        <w:t>图对比</w:t>
      </w:r>
    </w:p>
    <w:p w14:paraId="6CF5A8C7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表</w:t>
      </w:r>
      <w:r>
        <w:t>1</w:t>
      </w:r>
      <w:r>
        <w:t>显示，</w:t>
      </w:r>
      <w:r>
        <w:t>RGB</w:t>
      </w:r>
      <w:r>
        <w:t>主方法在六种固定配置中取得最高的</w:t>
      </w:r>
      <w:r>
        <w:t>Precision</w:t>
      </w:r>
      <w:r>
        <w:t>和</w:t>
      </w:r>
      <w:r>
        <w:t>F1</w:t>
      </w:r>
      <w:r>
        <w:t>，而</w:t>
      </w:r>
      <w:r>
        <w:t>Canny</w:t>
      </w:r>
      <w:r>
        <w:t>保留了更高的</w:t>
      </w:r>
      <w:r>
        <w:t>Recall</w:t>
      </w:r>
      <w:r>
        <w:t>。</w:t>
      </w:r>
      <w:r>
        <w:t>RGB</w:t>
      </w:r>
      <w:r>
        <w:t>主方法</w:t>
      </w:r>
      <w:r>
        <w:t>P/R/F1</w:t>
      </w:r>
      <w:r>
        <w:t>的边际</w:t>
      </w:r>
      <w:r>
        <w:t>95%</w:t>
      </w:r>
      <w:r>
        <w:t>区间分别为</w:t>
      </w:r>
      <w:r>
        <w:t>[52.319,58.481]%</w:t>
      </w:r>
      <w:r>
        <w:t>、</w:t>
      </w:r>
      <w:r>
        <w:t>[63.914,67.647]%</w:t>
      </w:r>
      <w:r>
        <w:t>和</w:t>
      </w:r>
      <w:r>
        <w:t>[58.031,62.228]%</w:t>
      </w:r>
      <w:r>
        <w:t>。</w:t>
      </w:r>
    </w:p>
    <w:p w14:paraId="2758CDE9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表</w:t>
      </w:r>
      <w:r>
        <w:rPr>
          <w:b/>
        </w:rPr>
        <w:t>1</w:t>
      </w:r>
      <w:r>
        <w:rPr>
          <w:b/>
        </w:rPr>
        <w:t>完整</w:t>
      </w:r>
      <w:r>
        <w:rPr>
          <w:b/>
        </w:rPr>
        <w:t>200</w:t>
      </w:r>
      <w:r>
        <w:rPr>
          <w:b/>
        </w:rPr>
        <w:t>图固定工作点结果，单位：</w:t>
      </w:r>
      <w:r>
        <w:rPr>
          <w:b/>
        </w:rPr>
        <w:t>%</w:t>
      </w:r>
      <w:r>
        <w:rPr>
          <w:b/>
        </w:rPr>
        <w:t>。</w:t>
      </w:r>
      <w:r>
        <w:t>P/R/F1</w:t>
      </w:r>
      <w:r>
        <w:t>按匹配计数汇总，宏平均</w:t>
      </w:r>
      <w:r>
        <w:t>F1</w:t>
      </w:r>
      <w:r>
        <w:t>为逐图平均。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417"/>
        <w:gridCol w:w="1417"/>
        <w:gridCol w:w="1417"/>
        <w:gridCol w:w="1417"/>
      </w:tblGrid>
      <w:tr w:rsidR="0062037C" w14:paraId="5E11217F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E0219D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rPr>
                <w:b/>
              </w:rPr>
              <w:t>方法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763FD3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7B7FE8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E6C3AC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F1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ED4F89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宏平均</w:t>
            </w:r>
            <w:r>
              <w:rPr>
                <w:b/>
              </w:rPr>
              <w:t>F1</w:t>
            </w:r>
          </w:p>
        </w:tc>
      </w:tr>
      <w:tr w:rsidR="0062037C" w14:paraId="7339E60B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3EE019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RGB</w:t>
            </w:r>
            <w:r>
              <w:t>主方法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280C8D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55.381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766587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65.816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219986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60.149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0B8D56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59.771</w:t>
            </w:r>
          </w:p>
        </w:tc>
      </w:tr>
      <w:tr w:rsidR="0062037C" w14:paraId="128D32E6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3B30FB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灰度</w:t>
            </w:r>
            <w:r>
              <w:t>FFT</w:t>
            </w:r>
            <w:r>
              <w:t>＋相位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D2BFC2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54.503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13669E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66.069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54A007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59.731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8C0449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59.394</w:t>
            </w:r>
          </w:p>
        </w:tc>
      </w:tr>
      <w:tr w:rsidR="0062037C" w14:paraId="64AE0799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E654E1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Sobel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5325D7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40.154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DF6460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74.211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1A845A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52.112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54437E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51.900</w:t>
            </w:r>
          </w:p>
        </w:tc>
      </w:tr>
      <w:tr w:rsidR="0062037C" w14:paraId="0A9912E0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6655B9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Canny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F34538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46.840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B332DD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78.097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B300A1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58.558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2C111B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58.969</w:t>
            </w:r>
          </w:p>
        </w:tc>
      </w:tr>
      <w:tr w:rsidR="0062037C" w14:paraId="7D68FAEB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75DB97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理想高通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75FCE2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37.137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33973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70.161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6FD854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48.567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CAE967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48.847</w:t>
            </w:r>
          </w:p>
        </w:tc>
      </w:tr>
      <w:tr w:rsidR="0062037C" w14:paraId="54459E2A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6EF5CB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高斯高通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D8404B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35.833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274506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71.140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8FF7D5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47.660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237B80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48.110</w:t>
            </w:r>
          </w:p>
        </w:tc>
      </w:tr>
    </w:tbl>
    <w:p w14:paraId="0DD181BC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相对灰度，</w:t>
      </w:r>
      <w:r>
        <w:t>RGB</w:t>
      </w:r>
      <w:r>
        <w:t>主方法</w:t>
      </w:r>
      <w:r>
        <w:t>Precision</w:t>
      </w:r>
      <w:r>
        <w:t>增加</w:t>
      </w:r>
      <w:r>
        <w:t>0.877</w:t>
      </w:r>
      <w:r>
        <w:t>个百分点，</w:t>
      </w:r>
      <w:r>
        <w:t>99.5%</w:t>
      </w:r>
      <w:r>
        <w:t>配对区间为</w:t>
      </w:r>
      <w:r>
        <w:t>[0.682,1.087]</w:t>
      </w:r>
      <w:r>
        <w:t>；</w:t>
      </w:r>
      <w:r>
        <w:t>F1</w:t>
      </w:r>
      <w:r>
        <w:t>增加</w:t>
      </w:r>
      <w:r>
        <w:t>0.418</w:t>
      </w:r>
      <w:r>
        <w:t>个百分点，区间为</w:t>
      </w:r>
      <w:r>
        <w:t>[0.235,0.603]</w:t>
      </w:r>
      <w:r>
        <w:t>；</w:t>
      </w:r>
      <w:r>
        <w:t>Recall</w:t>
      </w:r>
      <w:r>
        <w:t>下降</w:t>
      </w:r>
      <w:r>
        <w:t>0.252</w:t>
      </w:r>
      <w:r>
        <w:t>个百分点。相对</w:t>
      </w:r>
      <w:r>
        <w:t>Canny</w:t>
      </w:r>
      <w:r>
        <w:t>，</w:t>
      </w:r>
      <w:r>
        <w:t>Precision</w:t>
      </w:r>
      <w:r>
        <w:t>增加</w:t>
      </w:r>
      <w:r>
        <w:t>8.541</w:t>
      </w:r>
      <w:r>
        <w:t>个百分点，</w:t>
      </w:r>
      <w:r>
        <w:t>F1</w:t>
      </w:r>
      <w:r>
        <w:t>增加</w:t>
      </w:r>
      <w:r>
        <w:t>1.591</w:t>
      </w:r>
      <w:r>
        <w:t>个百分点，后者区间为</w:t>
      </w:r>
      <w:r>
        <w:t>[0.462,2.741]</w:t>
      </w:r>
      <w:r>
        <w:t>，同时</w:t>
      </w:r>
      <w:r>
        <w:t>Recall</w:t>
      </w:r>
      <w:r>
        <w:t>低</w:t>
      </w:r>
      <w:r>
        <w:t>12.281</w:t>
      </w:r>
      <w:r>
        <w:t>个百分点。因此，本方法的优势表现为更高查准率下的</w:t>
      </w:r>
      <w:r>
        <w:t>F1</w:t>
      </w:r>
      <w:r>
        <w:t>平衡，并非全面提高所有指标。</w:t>
      </w:r>
    </w:p>
    <w:p w14:paraId="396ABFEC" w14:textId="4863926C" w:rsidR="0062037C" w:rsidRDefault="00187C02">
      <w:pPr>
        <w:keepNext/>
        <w:keepLines/>
        <w:widowControl/>
        <w:autoSpaceDE w:val="0"/>
        <w:autoSpaceDN w:val="0"/>
        <w:snapToGrid w:val="0"/>
        <w:spacing w:line="288" w:lineRule="auto"/>
        <w:jc w:val="center"/>
      </w:pPr>
      <w:r w:rsidRPr="00B534A7">
        <w:rPr>
          <w:noProof/>
        </w:rPr>
        <w:lastRenderedPageBreak/>
        <w:pict w14:anchorId="2F42D2D7">
          <v:shape id="Picture 2" o:spid="_x0000_i1071" type="#_x0000_t75" style="width:453.15pt;height:251.5pt;visibility:visible;mso-wrap-style:square">
            <v:imagedata r:id="rId33" o:title=""/>
          </v:shape>
        </w:pict>
      </w:r>
    </w:p>
    <w:p w14:paraId="4F51842B" w14:textId="77777777" w:rsidR="0062037C" w:rsidRDefault="003946E5">
      <w:pPr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图</w:t>
      </w:r>
      <w:r>
        <w:rPr>
          <w:b/>
        </w:rPr>
        <w:t>2</w:t>
      </w:r>
      <w:r>
        <w:rPr>
          <w:b/>
        </w:rPr>
        <w:t>固定示例</w:t>
      </w:r>
      <w:r>
        <w:rPr>
          <w:b/>
        </w:rPr>
        <w:t>bsds_3063</w:t>
      </w:r>
      <w:r>
        <w:rPr>
          <w:b/>
        </w:rPr>
        <w:t>的原图、人工边界显示并集与六方法结果。</w:t>
      </w:r>
      <w:r>
        <w:t>所有面板保留原生图幅；评分使用各位标注者的原始边界，并集不作为单一评分标签。该图按数值</w:t>
      </w:r>
      <w:r>
        <w:t>ID</w:t>
      </w:r>
      <w:r>
        <w:t>固定，不按性能筛选。</w:t>
      </w:r>
    </w:p>
    <w:p w14:paraId="054851BF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图</w:t>
      </w:r>
      <w:r>
        <w:t>2</w:t>
      </w:r>
      <w:r>
        <w:t>中</w:t>
      </w:r>
      <w:r>
        <w:t>RGB</w:t>
      </w:r>
      <w:r>
        <w:t>与灰度结果均保留飞机主要外轮廓，但遗漏部分人工标出的云层边界和机体细节。</w:t>
      </w:r>
      <w:r>
        <w:t>RGB</w:t>
      </w:r>
      <w:r>
        <w:t>单图</w:t>
      </w:r>
      <w:r>
        <w:t>F1</w:t>
      </w:r>
      <w:r>
        <w:t>约</w:t>
      </w:r>
      <w:r>
        <w:t>76.8%</w:t>
      </w:r>
      <w:r>
        <w:t>，低于灰度的</w:t>
      </w:r>
      <w:r>
        <w:t>77.3%</w:t>
      </w:r>
      <w:r>
        <w:t>，说明数据集总体收益不保证每图都改善。</w:t>
      </w:r>
      <w:r>
        <w:t>Canny</w:t>
      </w:r>
      <w:r>
        <w:t>保留更多边缘的同时也包含更多云层与局部细节响应。该例还表明，</w:t>
      </w:r>
      <w:r>
        <w:t>“</w:t>
      </w:r>
      <w:r>
        <w:t>线条更少、更干净</w:t>
      </w:r>
      <w:r>
        <w:t>”</w:t>
      </w:r>
      <w:r>
        <w:t>不能单独作为质量更好的依据。</w:t>
      </w:r>
    </w:p>
    <w:p w14:paraId="4274C3FC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4.2</w:t>
      </w:r>
      <w:r>
        <w:rPr>
          <w:b/>
        </w:rPr>
        <w:t>模块消融</w:t>
      </w:r>
    </w:p>
    <w:p w14:paraId="148F6BD9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表</w:t>
      </w:r>
      <w:r>
        <w:t>2</w:t>
      </w:r>
      <w:r>
        <w:t>表明，颜色融合与相位支持在当前工作点分别有</w:t>
      </w:r>
      <w:r>
        <w:t>F1</w:t>
      </w:r>
      <w:r>
        <w:t>收益。无相位时，加入颜色使</w:t>
      </w:r>
      <w:r>
        <w:t>F1</w:t>
      </w:r>
      <w:r>
        <w:t>增加</w:t>
      </w:r>
      <w:r>
        <w:t>0.346</w:t>
      </w:r>
      <w:r>
        <w:t>个百分点；有相位时增加</w:t>
      </w:r>
      <w:r>
        <w:t>0.397</w:t>
      </w:r>
      <w:r>
        <w:t>个百分点。灰度和</w:t>
      </w:r>
      <w:r>
        <w:t>RGB</w:t>
      </w:r>
      <w:r>
        <w:t>路径加入相位后分别增加</w:t>
      </w:r>
      <w:r>
        <w:t>0.662</w:t>
      </w:r>
      <w:r>
        <w:t>、</w:t>
      </w:r>
      <w:r>
        <w:t>0.713</w:t>
      </w:r>
      <w:r>
        <w:t>个百分点，四项</w:t>
      </w:r>
      <w:r>
        <w:t>99.5%</w:t>
      </w:r>
      <w:r>
        <w:t>配对区间均高于</w:t>
      </w:r>
      <w:r>
        <w:t>0</w:t>
      </w:r>
      <w:r>
        <w:t>。</w:t>
      </w:r>
    </w:p>
    <w:p w14:paraId="5D291A61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表</w:t>
      </w:r>
      <w:r>
        <w:rPr>
          <w:b/>
        </w:rPr>
        <w:t>2</w:t>
      </w:r>
      <w:r>
        <w:rPr>
          <w:b/>
        </w:rPr>
        <w:t>完整</w:t>
      </w:r>
      <w:r>
        <w:rPr>
          <w:b/>
        </w:rPr>
        <w:t>200</w:t>
      </w:r>
      <w:r>
        <w:rPr>
          <w:b/>
        </w:rPr>
        <w:t>图模块消融，单位：</w:t>
      </w:r>
      <w:r>
        <w:rPr>
          <w:b/>
        </w:rPr>
        <w:t>%</w:t>
      </w:r>
      <w:r>
        <w:rPr>
          <w:b/>
        </w:rPr>
        <w:t>。</w:t>
      </w:r>
      <w:r>
        <w:t>尺度及阈值固定，</w:t>
      </w:r>
      <w:r>
        <w:t>RGB</w:t>
      </w:r>
      <w:r>
        <w:t>配置的颜色权重均为</w:t>
      </w:r>
      <w:r>
        <w:t>0.25</w:t>
      </w:r>
      <w: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1890"/>
        <w:gridCol w:w="1890"/>
        <w:gridCol w:w="1890"/>
      </w:tblGrid>
      <w:tr w:rsidR="0062037C" w14:paraId="4897444E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E5DE12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rPr>
                <w:b/>
              </w:rPr>
              <w:t>配置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85226B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864075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639D53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rPr>
                <w:b/>
              </w:rPr>
              <w:t>F1</w:t>
            </w:r>
          </w:p>
        </w:tc>
      </w:tr>
      <w:tr w:rsidR="0062037C" w14:paraId="19058DD9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24454A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灰度</w:t>
            </w:r>
            <w:r>
              <w:t>FFT</w:t>
            </w:r>
            <w:r>
              <w:t>，无相位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8329BD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51.107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E4E2E5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69.969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E13D9D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59.068</w:t>
            </w:r>
          </w:p>
        </w:tc>
      </w:tr>
      <w:tr w:rsidR="0062037C" w14:paraId="2C28F36C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1F8132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灰度</w:t>
            </w:r>
            <w:r>
              <w:t>FFT</w:t>
            </w:r>
            <w:r>
              <w:t>＋相位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AC19F5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54.501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6C87B8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66.069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9F9521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59.730</w:t>
            </w:r>
          </w:p>
        </w:tc>
      </w:tr>
      <w:tr w:rsidR="0062037C" w14:paraId="7C69E51C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0F474F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RGB</w:t>
            </w:r>
            <w:r>
              <w:t>融合，无相位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2F69B4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51.292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F70D95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70.593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D0FC3F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59.414</w:t>
            </w:r>
          </w:p>
        </w:tc>
      </w:tr>
      <w:tr w:rsidR="0062037C" w14:paraId="44BF25A4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87566A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RGB</w:t>
            </w:r>
            <w:r>
              <w:t>融合＋相位，无额外门控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0AE212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54.724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FA3E8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66.713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8FCD2E" w14:textId="77777777" w:rsidR="0062037C" w:rsidRDefault="003946E5">
            <w:pPr>
              <w:keepNext/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60.127</w:t>
            </w:r>
          </w:p>
        </w:tc>
      </w:tr>
      <w:tr w:rsidR="0062037C" w14:paraId="43184BAF" w14:textId="77777777">
        <w:trPr>
          <w:cantSplit/>
          <w:jc w:val="center"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13ECCD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left"/>
            </w:pPr>
            <w:r>
              <w:t>RGB</w:t>
            </w:r>
            <w:r>
              <w:t>主方法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7067B7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55.375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47990A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65.818</w:t>
            </w:r>
          </w:p>
        </w:tc>
        <w:tc>
          <w:tcPr>
            <w:tcW w:w="18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C7125C" w14:textId="77777777" w:rsidR="0062037C" w:rsidRDefault="003946E5">
            <w:pPr>
              <w:widowControl/>
              <w:autoSpaceDE w:val="0"/>
              <w:autoSpaceDN w:val="0"/>
              <w:snapToGrid w:val="0"/>
              <w:spacing w:line="288" w:lineRule="auto"/>
              <w:jc w:val="center"/>
            </w:pPr>
            <w:r>
              <w:t>60.147</w:t>
            </w:r>
          </w:p>
        </w:tc>
      </w:tr>
    </w:tbl>
    <w:p w14:paraId="161C4095" w14:textId="035BCD74" w:rsidR="0062037C" w:rsidRDefault="00187C02">
      <w:pPr>
        <w:keepNext/>
        <w:keepLines/>
        <w:widowControl/>
        <w:autoSpaceDE w:val="0"/>
        <w:autoSpaceDN w:val="0"/>
        <w:snapToGrid w:val="0"/>
        <w:spacing w:line="288" w:lineRule="auto"/>
        <w:jc w:val="center"/>
      </w:pPr>
      <w:r w:rsidRPr="00B534A7">
        <w:rPr>
          <w:noProof/>
        </w:rPr>
        <w:lastRenderedPageBreak/>
        <w:pict w14:anchorId="5D2A5B26">
          <v:shape id="Picture 3" o:spid="_x0000_i1070" type="#_x0000_t75" style="width:453.85pt;height:190.4pt;visibility:visible;mso-wrap-style:square">
            <v:imagedata r:id="rId34" o:title=""/>
          </v:shape>
        </w:pict>
      </w:r>
    </w:p>
    <w:p w14:paraId="54E65CF5" w14:textId="77777777" w:rsidR="0062037C" w:rsidRDefault="003946E5">
      <w:pPr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图</w:t>
      </w:r>
      <w:r>
        <w:rPr>
          <w:b/>
        </w:rPr>
        <w:t>3</w:t>
      </w:r>
      <w:r>
        <w:rPr>
          <w:b/>
        </w:rPr>
        <w:t>预定模块对比的配对差值，单位：百分点。</w:t>
      </w:r>
      <w:r>
        <w:t>依次为无相位时加颜色、有相位时加颜色、灰度加相位、</w:t>
      </w:r>
      <w:r>
        <w:t>RGB</w:t>
      </w:r>
      <w:r>
        <w:t>加相位、额外弱连接门控。</w:t>
      </w:r>
      <w:r>
        <w:t>P/F1</w:t>
      </w:r>
      <w:r>
        <w:t>为</w:t>
      </w:r>
      <w:r>
        <w:t>99.5%</w:t>
      </w:r>
      <w:r>
        <w:t>校正区间，</w:t>
      </w:r>
      <w:r>
        <w:t>Recall</w:t>
      </w:r>
      <w:r>
        <w:t>为</w:t>
      </w:r>
      <w:r>
        <w:t>95%</w:t>
      </w:r>
      <w:r>
        <w:t>描述区间。</w:t>
      </w:r>
    </w:p>
    <w:p w14:paraId="24891220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额外门控的效果更接近工作点调整：</w:t>
      </w:r>
      <w:r>
        <w:t>Precision</w:t>
      </w:r>
      <w:r>
        <w:t>增加</w:t>
      </w:r>
      <w:r>
        <w:t>0.651</w:t>
      </w:r>
      <w:r>
        <w:t>个百分点，</w:t>
      </w:r>
      <w:r>
        <w:t>Recall</w:t>
      </w:r>
      <w:r>
        <w:t>下降</w:t>
      </w:r>
      <w:r>
        <w:t>0.895</w:t>
      </w:r>
      <w:r>
        <w:t>个百分点，</w:t>
      </w:r>
      <w:r>
        <w:t>F1</w:t>
      </w:r>
      <w:r>
        <w:t>仅增加</w:t>
      </w:r>
      <w:r>
        <w:t>0.020</w:t>
      </w:r>
      <w:r>
        <w:t>个百分点，其</w:t>
      </w:r>
      <w:r>
        <w:t>99.5%</w:t>
      </w:r>
      <w:r>
        <w:t>区间</w:t>
      </w:r>
      <w:r>
        <w:t>[−0.111,0.148]</w:t>
      </w:r>
      <w:r>
        <w:t>跨</w:t>
      </w:r>
      <w:r>
        <w:t>0</w:t>
      </w:r>
      <w:r>
        <w:t>。不能据此认定门控独立提高或稳定维持</w:t>
      </w:r>
      <w:r>
        <w:t>F1</w:t>
      </w:r>
      <w:r>
        <w:t>。相位支持本身同样使响应衰减，移除模块会改变有效阈值，因而消融只说明固定工作点的差异，不代表每个配置独立调优后的全阈值优势。</w:t>
      </w:r>
    </w:p>
    <w:p w14:paraId="3989176A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主比较与消融中相同掩膜的末位分数略有不同，来自原生匹配器等价匹配选择的微小计数波动，算法及参数未变。表</w:t>
      </w:r>
      <w:r>
        <w:t>1</w:t>
      </w:r>
      <w:r>
        <w:t>、表</w:t>
      </w:r>
      <w:r>
        <w:t>2</w:t>
      </w:r>
      <w:r>
        <w:t>分别保留本轮原始评分，不能将末位差异解释为算法改进。</w:t>
      </w:r>
    </w:p>
    <w:p w14:paraId="5B54036A" w14:textId="77777777" w:rsidR="0062037C" w:rsidRDefault="003946E5">
      <w:pPr>
        <w:keepNext/>
        <w:widowControl/>
        <w:autoSpaceDE w:val="0"/>
        <w:autoSpaceDN w:val="0"/>
        <w:snapToGrid w:val="0"/>
        <w:spacing w:line="288" w:lineRule="auto"/>
        <w:outlineLvl w:val="1"/>
      </w:pPr>
      <w:r>
        <w:rPr>
          <w:b/>
        </w:rPr>
        <w:t>4.3</w:t>
      </w:r>
      <w:r>
        <w:rPr>
          <w:b/>
        </w:rPr>
        <w:t>高斯噪声实验</w:t>
      </w:r>
    </w:p>
    <w:p w14:paraId="4113E568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同</w:t>
      </w:r>
      <w:r>
        <w:t>10</w:t>
      </w:r>
      <w:r>
        <w:t>张图上，</w:t>
      </w:r>
      <w:r>
        <w:t>RGB</w:t>
      </w:r>
      <w:r>
        <w:t>主方法在干净、</w:t>
      </w:r>
      <w:r>
        <w:t>0.02</w:t>
      </w:r>
      <w:r>
        <w:t>、</w:t>
      </w:r>
      <w:r>
        <w:t>0.05</w:t>
      </w:r>
      <w:r>
        <w:t>、</w:t>
      </w:r>
      <w:r>
        <w:t>0.10</w:t>
      </w:r>
      <w:r>
        <w:t>噪声条件下的</w:t>
      </w:r>
      <w:r>
        <w:t>F1</w:t>
      </w:r>
      <w:r>
        <w:t>依次为</w:t>
      </w:r>
      <w:r>
        <w:t>65.153%</w:t>
      </w:r>
      <w:r>
        <w:t>、</w:t>
      </w:r>
      <w:r>
        <w:t>65.035%</w:t>
      </w:r>
      <w:r>
        <w:t>、</w:t>
      </w:r>
      <w:r>
        <w:t>64.425%</w:t>
      </w:r>
      <w:r>
        <w:t>、</w:t>
      </w:r>
      <w:r>
        <w:t>63.046%</w:t>
      </w:r>
      <w:r>
        <w:t>，最高噪声档较干净图下降约</w:t>
      </w:r>
      <w:r>
        <w:t>2.108</w:t>
      </w:r>
      <w:r>
        <w:t>个百分点。</w:t>
      </w:r>
      <w:r>
        <w:t>Precision</w:t>
      </w:r>
      <w:r>
        <w:t>由</w:t>
      </w:r>
      <w:r>
        <w:t>65.762%</w:t>
      </w:r>
      <w:r>
        <w:t>升至</w:t>
      </w:r>
      <w:r>
        <w:t>67.128%</w:t>
      </w:r>
      <w:r>
        <w:t>，但</w:t>
      </w:r>
      <w:r>
        <w:t>Recall</w:t>
      </w:r>
      <w:r>
        <w:t>由</w:t>
      </w:r>
      <w:r>
        <w:t>64.556%</w:t>
      </w:r>
      <w:r>
        <w:t>降至</w:t>
      </w:r>
      <w:r>
        <w:t>59.431%</w:t>
      </w:r>
      <w:r>
        <w:t>，反映的是检出减少带来的取舍。</w:t>
      </w:r>
    </w:p>
    <w:p w14:paraId="33548FD6" w14:textId="6A6F9E6B" w:rsidR="0062037C" w:rsidRDefault="00187C02">
      <w:pPr>
        <w:keepNext/>
        <w:keepLines/>
        <w:widowControl/>
        <w:autoSpaceDE w:val="0"/>
        <w:autoSpaceDN w:val="0"/>
        <w:snapToGrid w:val="0"/>
        <w:spacing w:line="288" w:lineRule="auto"/>
        <w:jc w:val="center"/>
      </w:pPr>
      <w:r w:rsidRPr="00B534A7">
        <w:rPr>
          <w:noProof/>
        </w:rPr>
        <w:pict w14:anchorId="3C85454B">
          <v:shape id="Picture 4" o:spid="_x0000_i1069" type="#_x0000_t75" style="width:453.15pt;height:207.8pt;visibility:visible;mso-wrap-style:square">
            <v:imagedata r:id="rId35" o:title=""/>
          </v:shape>
        </w:pict>
      </w:r>
    </w:p>
    <w:p w14:paraId="4E1EE267" w14:textId="77777777" w:rsidR="0062037C" w:rsidRDefault="003946E5">
      <w:pPr>
        <w:widowControl/>
        <w:autoSpaceDE w:val="0"/>
        <w:autoSpaceDN w:val="0"/>
        <w:snapToGrid w:val="0"/>
        <w:spacing w:line="288" w:lineRule="auto"/>
        <w:jc w:val="center"/>
      </w:pPr>
      <w:r>
        <w:rPr>
          <w:b/>
        </w:rPr>
        <w:t>图</w:t>
      </w:r>
      <w:r>
        <w:rPr>
          <w:b/>
        </w:rPr>
        <w:t>4</w:t>
      </w:r>
      <w:r>
        <w:rPr>
          <w:b/>
        </w:rPr>
        <w:t>六方法在固定</w:t>
      </w:r>
      <w:r>
        <w:rPr>
          <w:b/>
        </w:rPr>
        <w:t>10</w:t>
      </w:r>
      <w:r>
        <w:rPr>
          <w:b/>
        </w:rPr>
        <w:t>图上的噪声表现。</w:t>
      </w:r>
      <w:r>
        <w:t>左图为</w:t>
      </w:r>
      <w:r>
        <w:t>F1</w:t>
      </w:r>
      <w:r>
        <w:t>曲线，仅</w:t>
      </w:r>
      <w:r>
        <w:t>RGB</w:t>
      </w:r>
      <w:r>
        <w:t>主方法显示边际</w:t>
      </w:r>
      <w:r>
        <w:t>95%</w:t>
      </w:r>
      <w:r>
        <w:t>区间带；右图为</w:t>
      </w:r>
      <w:r>
        <w:t>RGB</w:t>
      </w:r>
      <w:r>
        <w:t>减灰度</w:t>
      </w:r>
      <w:r>
        <w:t>/Canny</w:t>
      </w:r>
      <w:r>
        <w:t>的</w:t>
      </w:r>
      <w:r>
        <w:t>F1</w:t>
      </w:r>
      <w:r>
        <w:t>差值及</w:t>
      </w:r>
      <w:r>
        <w:t>99.1667%</w:t>
      </w:r>
      <w:r>
        <w:t>校正区间。每图三个种子先平均，</w:t>
      </w:r>
      <w:r>
        <w:t>bootstrap</w:t>
      </w:r>
      <w:r>
        <w:t>以图为单位。</w:t>
      </w:r>
    </w:p>
    <w:p w14:paraId="11E06535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RGB</w:t>
      </w:r>
      <w:r>
        <w:t>相对灰度的三档</w:t>
      </w:r>
      <w:r>
        <w:t>F1</w:t>
      </w:r>
      <w:r>
        <w:t>差值区间均跨</w:t>
      </w:r>
      <w:r>
        <w:t>0</w:t>
      </w:r>
      <w:r>
        <w:t>；相对</w:t>
      </w:r>
      <w:r>
        <w:t>Canny</w:t>
      </w:r>
      <w:r>
        <w:t>，仅</w:t>
      </w:r>
      <w:r>
        <w:t>0.02</w:t>
      </w:r>
      <w:r>
        <w:t>档区间</w:t>
      </w:r>
      <w:r>
        <w:t>[0.809,3.173]</w:t>
      </w:r>
      <w:r>
        <w:t>个百分点整体高于</w:t>
      </w:r>
      <w:r>
        <w:t>0</w:t>
      </w:r>
      <w:r>
        <w:t>，其余两档跨</w:t>
      </w:r>
      <w:r>
        <w:t>0</w:t>
      </w:r>
      <w:r>
        <w:t>。因此，现有实验不支持</w:t>
      </w:r>
      <w:r>
        <w:t>RGB</w:t>
      </w:r>
      <w:r>
        <w:t>普遍优于灰度的抗噪结论。两种高通方法在</w:t>
      </w:r>
      <w:r>
        <w:t>0.10</w:t>
      </w:r>
      <w:r>
        <w:t>档下降较大，显示仅保留高频容易受到该类退化影响。灰度由同一噪声</w:t>
      </w:r>
      <w:r>
        <w:t>RGB</w:t>
      </w:r>
      <w:r>
        <w:t>转换，其实际噪声强度不等于</w:t>
      </w:r>
      <w:r>
        <w:t>RGB</w:t>
      </w:r>
      <w:r>
        <w:t>单通道标准差。此外，</w:t>
      </w:r>
      <w:r>
        <w:t>10</w:t>
      </w:r>
      <w:r>
        <w:t>图干净</w:t>
      </w:r>
      <w:r>
        <w:t>F1</w:t>
      </w:r>
      <w:r>
        <w:t>高于全</w:t>
      </w:r>
      <w:r>
        <w:t>200</w:t>
      </w:r>
      <w:r>
        <w:t>图结果是图像范围不同，不能解释为噪声带来提升。</w:t>
      </w:r>
    </w:p>
    <w:p w14:paraId="68976949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lastRenderedPageBreak/>
        <w:t>5</w:t>
      </w:r>
      <w:r>
        <w:rPr>
          <w:b/>
          <w:sz w:val="24"/>
        </w:rPr>
        <w:t>讨论与结论</w:t>
      </w:r>
    </w:p>
    <w:p w14:paraId="13AEF6DB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本实验用微分乘子求梯度、高斯频响控制尺度，再以颜色张量、相位支持和连接构成检测流程。纹理同样可能具有梯度和相位支持，弱轮廓也可能在平滑或连接中丢失。因此，继续加强筛选可能提高</w:t>
      </w:r>
      <w:r>
        <w:t>Precision</w:t>
      </w:r>
      <w:r>
        <w:t>，却未必提高</w:t>
      </w:r>
      <w:r>
        <w:t>F1</w:t>
      </w:r>
      <w:r>
        <w:t>。</w:t>
      </w:r>
    </w:p>
    <w:p w14:paraId="3A40E129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数据此前已观察，区间不覆盖历史多轮选参的不确定性；旧</w:t>
      </w:r>
      <w:r>
        <w:t>88</w:t>
      </w:r>
      <w:r>
        <w:t>图验证未满足全部</w:t>
      </w:r>
      <w:r>
        <w:t>F1</w:t>
      </w:r>
      <w:r>
        <w:t>稳定性与</w:t>
      </w:r>
      <w:r>
        <w:t>Recall</w:t>
      </w:r>
      <w:r>
        <w:t>要求，后续比较不改变该判断。各对照选参预算不同，当前</w:t>
      </w:r>
      <w:r>
        <w:t>RGB</w:t>
      </w:r>
      <w:r>
        <w:t>尚无完整</w:t>
      </w:r>
      <w:r>
        <w:t>PR/ODS/OIS/AP</w:t>
      </w:r>
      <w:r>
        <w:t>、全</w:t>
      </w:r>
      <w:r>
        <w:t>200</w:t>
      </w:r>
      <w:r>
        <w:t>图噪声、参数敏感性及严格速度基准，故结果仅适用于所列配置，不与异口径文献直接排名。</w:t>
      </w:r>
    </w:p>
    <w:p w14:paraId="660AC52C" w14:textId="77777777" w:rsidR="0062037C" w:rsidRDefault="003946E5">
      <w:pPr>
        <w:widowControl/>
        <w:autoSpaceDE w:val="0"/>
        <w:autoSpaceDN w:val="0"/>
        <w:snapToGrid w:val="0"/>
        <w:spacing w:line="288" w:lineRule="auto"/>
        <w:ind w:firstLine="420"/>
      </w:pPr>
      <w:r>
        <w:t>普通二维</w:t>
      </w:r>
      <w:r>
        <w:t>FFT</w:t>
      </w:r>
      <w:r>
        <w:t>可结合彩色联合梯度与相位信息提取自然图边缘。当前</w:t>
      </w:r>
      <w:r>
        <w:t>200</w:t>
      </w:r>
      <w:r>
        <w:t>图的</w:t>
      </w:r>
      <w:r>
        <w:t>Precision</w:t>
      </w:r>
      <w:r>
        <w:t>、</w:t>
      </w:r>
      <w:r>
        <w:t>Recall</w:t>
      </w:r>
      <w:r>
        <w:t>、</w:t>
      </w:r>
      <w:r>
        <w:t>F1</w:t>
      </w:r>
      <w:r>
        <w:t>为</w:t>
      </w:r>
      <w:r>
        <w:t>55.38%</w:t>
      </w:r>
      <w:r>
        <w:t>、</w:t>
      </w:r>
      <w:r>
        <w:t>65.82%</w:t>
      </w:r>
      <w:r>
        <w:t>、</w:t>
      </w:r>
      <w:r>
        <w:t>60.15%</w:t>
      </w:r>
      <w:r>
        <w:t>，消融支持颜色融合与相位支持的收益，门控的独立</w:t>
      </w:r>
      <w:r>
        <w:t>F1</w:t>
      </w:r>
      <w:r>
        <w:t>收益尚未确认。本文将频域理论与</w:t>
      </w:r>
      <w:r>
        <w:t>MATLAB</w:t>
      </w:r>
      <w:r>
        <w:t>实验相联系，后续需以独立数据和全阈值评价检验泛化。</w:t>
      </w:r>
    </w:p>
    <w:p w14:paraId="463B1CAC" w14:textId="77777777" w:rsidR="0062037C" w:rsidRDefault="003946E5">
      <w:pPr>
        <w:keepNext/>
        <w:widowControl/>
        <w:autoSpaceDE w:val="0"/>
        <w:autoSpaceDN w:val="0"/>
        <w:snapToGrid w:val="0"/>
        <w:spacing w:before="126" w:line="288" w:lineRule="auto"/>
        <w:outlineLvl w:val="0"/>
      </w:pPr>
      <w:r>
        <w:rPr>
          <w:b/>
          <w:sz w:val="24"/>
        </w:rPr>
        <w:t>参考文献</w:t>
      </w:r>
    </w:p>
    <w:p w14:paraId="64C7DDB4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[1]CANNY J. A computational approach to edge detection[J]. IEEE Transactions on Pattern Analysis and Machine Intelligence, 1986, PAMI-8(6): 679–698. </w:t>
      </w:r>
      <w:hyperlink r:id="rId36">
        <w:r>
          <w:t>DOI:10.1109/TPAMI.1986.4767851</w:t>
        </w:r>
      </w:hyperlink>
      <w:r>
        <w:t>.</w:t>
      </w:r>
    </w:p>
    <w:p w14:paraId="62913FD2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简要介绍：介绍多阶段边缘检测的原理，作为本文</w:t>
      </w:r>
      <w:r>
        <w:t>Canny</w:t>
      </w:r>
      <w:r>
        <w:t>对照及边缘连接分析的依据。</w:t>
      </w:r>
    </w:p>
    <w:p w14:paraId="794A37AC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[2]DI ZENZO S. A note on the gradient of a multi-image[J]. Computer Vision, Graphics, and Image Processing, 1986, 33(1): 116–125. </w:t>
      </w:r>
      <w:hyperlink r:id="rId37">
        <w:r>
          <w:t>DOI:10.1016/0734-189X(86)90223-9</w:t>
        </w:r>
      </w:hyperlink>
      <w:r>
        <w:t>90223-9).</w:t>
      </w:r>
    </w:p>
    <w:p w14:paraId="2F46C044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简要介绍：给出多通道张量梯度与最大变化方向，支撑本文灰度和颜色梯度的联合描述。</w:t>
      </w:r>
    </w:p>
    <w:p w14:paraId="484AB111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[3]KOVESI P. Phase congruency detects corners and edges[C]//Digital Image Computing: Techniques and Applications 2003. CSIRO Publishing, 2003: 309–318. </w:t>
      </w:r>
      <w:hyperlink r:id="rId38">
        <w:r>
          <w:t>作者原稿</w:t>
        </w:r>
      </w:hyperlink>
      <w:r>
        <w:t>.</w:t>
      </w:r>
    </w:p>
    <w:p w14:paraId="7477B423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简要介绍：利用相位一致性主矩检测边缘与角点，支撑本文相位支持的构造。</w:t>
      </w:r>
    </w:p>
    <w:p w14:paraId="2F469030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[4]LI Y, BI Y, ZHANG W, et al. M²GF: Multi-scale and multi-directional Gabor filters for image edge detection[J]. Applied Sciences, 2023, 13(16): 9409. </w:t>
      </w:r>
      <w:hyperlink r:id="rId39">
        <w:r>
          <w:t>DOI:10.3390/app13169409</w:t>
        </w:r>
      </w:hyperlink>
      <w:r>
        <w:t>.</w:t>
      </w:r>
    </w:p>
    <w:p w14:paraId="41164373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</w:t>
      </w:r>
      <w:r>
        <w:t>2023</w:t>
      </w:r>
      <w:r>
        <w:t>年的非深度学习方法，在</w:t>
      </w:r>
      <w:r>
        <w:t>Lab</w:t>
      </w:r>
      <w:r>
        <w:t>空间融合多尺度、多方向</w:t>
      </w:r>
      <w:r>
        <w:t>Gabor</w:t>
      </w:r>
      <w:r>
        <w:t>响应；本文借鉴颜色与方向互补的思路，未完整复现。</w:t>
      </w:r>
    </w:p>
    <w:p w14:paraId="0E266D98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[5]GAO X, GAO S. Research on real-time edge detection algorithm for video frames based on Gabor filtering and directional enhanced Sobel operator[J]. Discover Computing, 2026, 29: 137. </w:t>
      </w:r>
      <w:hyperlink r:id="rId40">
        <w:r>
          <w:t>DOI:10.1007/s10791-026-10008-0</w:t>
        </w:r>
      </w:hyperlink>
      <w:r>
        <w:t>.</w:t>
      </w:r>
    </w:p>
    <w:p w14:paraId="73471963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</w:t>
      </w:r>
      <w:r>
        <w:t>2026</w:t>
      </w:r>
      <w:r>
        <w:t>年的非深度学习研究，结合</w:t>
      </w:r>
      <w:r>
        <w:t>Gabor</w:t>
      </w:r>
      <w:r>
        <w:t>、增强</w:t>
      </w:r>
      <w:r>
        <w:t>Sobel</w:t>
      </w:r>
      <w:r>
        <w:t>与局部一致性，并讨论</w:t>
      </w:r>
      <w:r>
        <w:t>FFT</w:t>
      </w:r>
      <w:r>
        <w:t>实现；仅作相关工作，不作同场分数排名。</w:t>
      </w:r>
    </w:p>
    <w:p w14:paraId="09A5DB83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[6]COOLEY J W, TUKEY J W. An algorithm for the machine calculation of complex Fourier series[J]. Mathematics of Computation, 1965, 19(90): 297–301. </w:t>
      </w:r>
      <w:hyperlink r:id="rId41">
        <w:r>
          <w:t>DOI:10.1090/S0025-5718-1965-0178586-1</w:t>
        </w:r>
      </w:hyperlink>
      <w:r>
        <w:t>.</w:t>
      </w:r>
    </w:p>
    <w:p w14:paraId="3AE2DD79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简要介绍：给出</w:t>
      </w:r>
      <w:r>
        <w:t>DFT</w:t>
      </w:r>
      <w:r>
        <w:t>的快速计算算法，为本文</w:t>
      </w:r>
      <w:r>
        <w:t>FFT</w:t>
      </w:r>
      <w:r>
        <w:t>实现提供基础。</w:t>
      </w:r>
    </w:p>
    <w:p w14:paraId="2C573D3B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[7]MATHWORKS. fft2: 2-D fast Fourier transform[EB/OL]. [2026-10-27]. </w:t>
      </w:r>
      <w:hyperlink r:id="rId42">
        <w:r>
          <w:t>官方文档</w:t>
        </w:r>
      </w:hyperlink>
      <w:r>
        <w:t>.</w:t>
      </w:r>
    </w:p>
    <w:p w14:paraId="29D4C4D8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简要介绍：说明</w:t>
      </w:r>
      <w:r>
        <w:t>MATLAB</w:t>
      </w:r>
      <w:r>
        <w:t>二维</w:t>
      </w:r>
      <w:r>
        <w:t>FFT</w:t>
      </w:r>
      <w:r>
        <w:t>的接口与计算约定，用于核对程序实现。</w:t>
      </w:r>
    </w:p>
    <w:p w14:paraId="62906616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[8]KOVESI P. MATLAB and Octave Functions for Computer Vision and Image Processing[EB/OL]. [2026-10-27]. </w:t>
      </w:r>
      <w:hyperlink r:id="rId43">
        <w:r>
          <w:t>作者软件页</w:t>
        </w:r>
      </w:hyperlink>
      <w:r>
        <w:t>.</w:t>
      </w:r>
    </w:p>
    <w:p w14:paraId="58A94F1B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简要介绍：提供本文实际调用的</w:t>
      </w:r>
      <w:r>
        <w:t>phasecong3</w:t>
      </w:r>
      <w:r>
        <w:t>及其依赖代码，原代码版权与许可予以保留。</w:t>
      </w:r>
    </w:p>
    <w:p w14:paraId="724C94F9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[9]ARBELÁEZ P, MAIRE M, FOWLKES C, et al. Contour detection and hierarchical image segmentation[J]. IEEE Transactions on Pattern Analysis and Machine Intelligence, 2011, 33(5): 898–916. </w:t>
      </w:r>
      <w:hyperlink r:id="rId44">
        <w:r>
          <w:t>DOI:10.1109/TPAMI.2010.161</w:t>
        </w:r>
      </w:hyperlink>
      <w:r>
        <w:t>.</w:t>
      </w:r>
    </w:p>
    <w:p w14:paraId="7EFC104F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简要介绍：介绍</w:t>
      </w:r>
      <w:r>
        <w:t>BSDS</w:t>
      </w:r>
      <w:r>
        <w:t>数据与轮廓评价，是本文自然图、多人标注及官方匹配评价的来源。</w:t>
      </w:r>
    </w:p>
    <w:p w14:paraId="270AB0A5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 xml:space="preserve">[10]MATHWORKS. edge: Find edges in 2-D grayscale image[EB/OL]. [2026-10-27]. </w:t>
      </w:r>
      <w:hyperlink r:id="rId45">
        <w:r>
          <w:t>官方文档</w:t>
        </w:r>
      </w:hyperlink>
      <w:r>
        <w:t>.</w:t>
      </w:r>
    </w:p>
    <w:p w14:paraId="60276CDA" w14:textId="77777777" w:rsidR="0062037C" w:rsidRDefault="003946E5">
      <w:pPr>
        <w:keepLines/>
        <w:widowControl/>
        <w:autoSpaceDE w:val="0"/>
        <w:autoSpaceDN w:val="0"/>
        <w:snapToGrid w:val="0"/>
        <w:spacing w:line="288" w:lineRule="auto"/>
      </w:pPr>
      <w:r>
        <w:t>简要介绍：说明</w:t>
      </w:r>
      <w:r>
        <w:t>Sobel</w:t>
      </w:r>
      <w:r>
        <w:t>、</w:t>
      </w:r>
      <w:r>
        <w:t>Canny</w:t>
      </w:r>
      <w:r>
        <w:t>等边缘算子的</w:t>
      </w:r>
      <w:r>
        <w:t>MATLAB</w:t>
      </w:r>
      <w:r>
        <w:t>接口和参数，用于核对传统对照。</w:t>
      </w:r>
    </w:p>
    <w:sectPr w:rsidR="0062037C">
      <w:footerReference w:type="even" r:id="rId46"/>
      <w:footerReference w:type="default" r:id="rId47"/>
      <w:pgSz w:w="11906" w:h="16838"/>
      <w:pgMar w:top="1247" w:right="1304" w:bottom="1134" w:left="1531" w:header="680" w:footer="68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000D1" w14:textId="77777777" w:rsidR="003946E5" w:rsidRDefault="003946E5">
      <w:r>
        <w:separator/>
      </w:r>
    </w:p>
  </w:endnote>
  <w:endnote w:type="continuationSeparator" w:id="0">
    <w:p w14:paraId="2AC02D46" w14:textId="77777777" w:rsidR="003946E5" w:rsidRDefault="00394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CA463" w14:textId="77777777" w:rsidR="00A17F91" w:rsidRDefault="00A17F9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57B0ED5" w14:textId="77777777" w:rsidR="00A17F91" w:rsidRDefault="00A17F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6EEB" w14:textId="77777777" w:rsidR="00A17F91" w:rsidRDefault="00A17F9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  <w:p w14:paraId="4D96FF6B" w14:textId="77777777" w:rsidR="00A17F91" w:rsidRDefault="00A17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51EC0" w14:textId="77777777" w:rsidR="003946E5" w:rsidRDefault="003946E5">
      <w:r>
        <w:separator/>
      </w:r>
    </w:p>
  </w:footnote>
  <w:footnote w:type="continuationSeparator" w:id="0">
    <w:p w14:paraId="3DD2345B" w14:textId="77777777" w:rsidR="003946E5" w:rsidRDefault="003946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E14D5"/>
    <w:multiLevelType w:val="multilevel"/>
    <w:tmpl w:val="561E14D5"/>
    <w:lvl w:ilvl="0">
      <w:start w:val="1"/>
      <w:numFmt w:val="decimal"/>
      <w:lvlText w:val="[%1]"/>
      <w:lvlJc w:val="right"/>
      <w:pPr>
        <w:tabs>
          <w:tab w:val="num" w:pos="780"/>
        </w:tabs>
        <w:ind w:left="780" w:hanging="360"/>
      </w:pPr>
      <w:rPr>
        <w:rFonts w:hAnsi="Times New Roman" w:hint="default"/>
      </w:rPr>
    </w:lvl>
    <w:lvl w:ilvl="1">
      <w:start w:val="1"/>
      <w:numFmt w:val="decimal"/>
      <w:lvlText w:val="[%2]"/>
      <w:lvlJc w:val="righ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1129"/>
        </w:tabs>
        <w:ind w:left="1129" w:hanging="709"/>
      </w:pPr>
    </w:lvl>
    <w:lvl w:ilvl="3">
      <w:start w:val="1"/>
      <w:numFmt w:val="decimal"/>
      <w:lvlText w:val="%1.%2.%3.%4."/>
      <w:lvlJc w:val="left"/>
      <w:pPr>
        <w:tabs>
          <w:tab w:val="num" w:pos="1271"/>
        </w:tabs>
        <w:ind w:left="1271" w:hanging="851"/>
      </w:pPr>
    </w:lvl>
    <w:lvl w:ilvl="4">
      <w:start w:val="1"/>
      <w:numFmt w:val="decimal"/>
      <w:lvlText w:val="%1.%2.%3.%4.%5."/>
      <w:lvlJc w:val="left"/>
      <w:pPr>
        <w:tabs>
          <w:tab w:val="num" w:pos="1412"/>
        </w:tabs>
        <w:ind w:left="1412" w:hanging="992"/>
      </w:pPr>
    </w:lvl>
    <w:lvl w:ilvl="5">
      <w:start w:val="1"/>
      <w:numFmt w:val="decimal"/>
      <w:lvlText w:val="%1.%2.%3.%4.%5.%6."/>
      <w:lvlJc w:val="left"/>
      <w:pPr>
        <w:tabs>
          <w:tab w:val="num" w:pos="1554"/>
        </w:tabs>
        <w:ind w:left="155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696"/>
        </w:tabs>
        <w:ind w:left="169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838"/>
        </w:tabs>
        <w:ind w:left="183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979"/>
        </w:tabs>
        <w:ind w:left="1979" w:hanging="1559"/>
      </w:pPr>
    </w:lvl>
  </w:abstractNum>
  <w:num w:numId="1" w16cid:durableId="723986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mU4OWUzOGJiZGIxMjI0ZTNiNmRkMDY4YjkwMmFmNTIifQ=="/>
  </w:docVars>
  <w:rsids>
    <w:rsidRoot w:val="00C41AAC"/>
    <w:rsid w:val="000074E9"/>
    <w:rsid w:val="00023B94"/>
    <w:rsid w:val="00031E57"/>
    <w:rsid w:val="00046F7C"/>
    <w:rsid w:val="00085E30"/>
    <w:rsid w:val="000A3FD5"/>
    <w:rsid w:val="000A4037"/>
    <w:rsid w:val="000D2E84"/>
    <w:rsid w:val="000E373F"/>
    <w:rsid w:val="000F366F"/>
    <w:rsid w:val="00101E28"/>
    <w:rsid w:val="001168E2"/>
    <w:rsid w:val="00124140"/>
    <w:rsid w:val="00130F39"/>
    <w:rsid w:val="00164C62"/>
    <w:rsid w:val="0017354F"/>
    <w:rsid w:val="00182907"/>
    <w:rsid w:val="00182AE5"/>
    <w:rsid w:val="00187C02"/>
    <w:rsid w:val="001A31C3"/>
    <w:rsid w:val="001A5177"/>
    <w:rsid w:val="001E128C"/>
    <w:rsid w:val="00201548"/>
    <w:rsid w:val="00206108"/>
    <w:rsid w:val="002317E2"/>
    <w:rsid w:val="002577F0"/>
    <w:rsid w:val="00273E81"/>
    <w:rsid w:val="002A0413"/>
    <w:rsid w:val="002F243B"/>
    <w:rsid w:val="002F5AD1"/>
    <w:rsid w:val="002F7D31"/>
    <w:rsid w:val="0034492F"/>
    <w:rsid w:val="00364297"/>
    <w:rsid w:val="0036469F"/>
    <w:rsid w:val="0039125D"/>
    <w:rsid w:val="00393B94"/>
    <w:rsid w:val="003946E5"/>
    <w:rsid w:val="003C14E6"/>
    <w:rsid w:val="003D0104"/>
    <w:rsid w:val="003D3F9B"/>
    <w:rsid w:val="00416FAF"/>
    <w:rsid w:val="00421BCA"/>
    <w:rsid w:val="00445B46"/>
    <w:rsid w:val="00447CB3"/>
    <w:rsid w:val="004827CD"/>
    <w:rsid w:val="004B4046"/>
    <w:rsid w:val="004B555F"/>
    <w:rsid w:val="004C0165"/>
    <w:rsid w:val="004D2743"/>
    <w:rsid w:val="004E0828"/>
    <w:rsid w:val="004F3CE0"/>
    <w:rsid w:val="005079F0"/>
    <w:rsid w:val="005103EA"/>
    <w:rsid w:val="0051401F"/>
    <w:rsid w:val="00546D4B"/>
    <w:rsid w:val="00575241"/>
    <w:rsid w:val="00587F92"/>
    <w:rsid w:val="005A56DA"/>
    <w:rsid w:val="005C0018"/>
    <w:rsid w:val="005D3BF6"/>
    <w:rsid w:val="00615488"/>
    <w:rsid w:val="0062037C"/>
    <w:rsid w:val="00636D9B"/>
    <w:rsid w:val="00643DD7"/>
    <w:rsid w:val="006872D3"/>
    <w:rsid w:val="00690B1C"/>
    <w:rsid w:val="006C474C"/>
    <w:rsid w:val="006C6B34"/>
    <w:rsid w:val="006D5B2A"/>
    <w:rsid w:val="006E7135"/>
    <w:rsid w:val="006F2F1D"/>
    <w:rsid w:val="00717173"/>
    <w:rsid w:val="00726036"/>
    <w:rsid w:val="00756AD2"/>
    <w:rsid w:val="00761761"/>
    <w:rsid w:val="007717FA"/>
    <w:rsid w:val="00774315"/>
    <w:rsid w:val="00775C88"/>
    <w:rsid w:val="00795F58"/>
    <w:rsid w:val="007969F8"/>
    <w:rsid w:val="007A4DA6"/>
    <w:rsid w:val="007B1CE9"/>
    <w:rsid w:val="007B3081"/>
    <w:rsid w:val="007B4A73"/>
    <w:rsid w:val="007C644B"/>
    <w:rsid w:val="00802C71"/>
    <w:rsid w:val="00833CFB"/>
    <w:rsid w:val="00874E90"/>
    <w:rsid w:val="00885DCF"/>
    <w:rsid w:val="008A30DA"/>
    <w:rsid w:val="008B32C8"/>
    <w:rsid w:val="008C1526"/>
    <w:rsid w:val="008E7F02"/>
    <w:rsid w:val="0091636D"/>
    <w:rsid w:val="00916F66"/>
    <w:rsid w:val="00936131"/>
    <w:rsid w:val="0093796D"/>
    <w:rsid w:val="00941733"/>
    <w:rsid w:val="00944273"/>
    <w:rsid w:val="00982BB7"/>
    <w:rsid w:val="00983FFB"/>
    <w:rsid w:val="009A4AE0"/>
    <w:rsid w:val="009D3937"/>
    <w:rsid w:val="009D55D0"/>
    <w:rsid w:val="009D7831"/>
    <w:rsid w:val="009D7D0F"/>
    <w:rsid w:val="009F557D"/>
    <w:rsid w:val="00A12A31"/>
    <w:rsid w:val="00A15E13"/>
    <w:rsid w:val="00A17F91"/>
    <w:rsid w:val="00A2220B"/>
    <w:rsid w:val="00A357B9"/>
    <w:rsid w:val="00A5490B"/>
    <w:rsid w:val="00A67CAC"/>
    <w:rsid w:val="00AB7A24"/>
    <w:rsid w:val="00B051DB"/>
    <w:rsid w:val="00B136C4"/>
    <w:rsid w:val="00B30B7F"/>
    <w:rsid w:val="00B317CF"/>
    <w:rsid w:val="00B31B70"/>
    <w:rsid w:val="00B57F45"/>
    <w:rsid w:val="00B649D2"/>
    <w:rsid w:val="00B7211C"/>
    <w:rsid w:val="00BB3DF1"/>
    <w:rsid w:val="00BB6FC8"/>
    <w:rsid w:val="00BD0CDE"/>
    <w:rsid w:val="00BD4003"/>
    <w:rsid w:val="00BF3BCA"/>
    <w:rsid w:val="00BF733F"/>
    <w:rsid w:val="00C14427"/>
    <w:rsid w:val="00C23C2D"/>
    <w:rsid w:val="00C30225"/>
    <w:rsid w:val="00C34C23"/>
    <w:rsid w:val="00C41AAC"/>
    <w:rsid w:val="00C45D0F"/>
    <w:rsid w:val="00C90433"/>
    <w:rsid w:val="00C959DA"/>
    <w:rsid w:val="00CA034F"/>
    <w:rsid w:val="00CA6549"/>
    <w:rsid w:val="00CA68D4"/>
    <w:rsid w:val="00CC7FB6"/>
    <w:rsid w:val="00CE5063"/>
    <w:rsid w:val="00D04F49"/>
    <w:rsid w:val="00D05457"/>
    <w:rsid w:val="00D4102C"/>
    <w:rsid w:val="00D478BE"/>
    <w:rsid w:val="00D60B07"/>
    <w:rsid w:val="00D7209A"/>
    <w:rsid w:val="00D75291"/>
    <w:rsid w:val="00DB1B99"/>
    <w:rsid w:val="00E0779F"/>
    <w:rsid w:val="00E42468"/>
    <w:rsid w:val="00E47D17"/>
    <w:rsid w:val="00E55907"/>
    <w:rsid w:val="00E6077F"/>
    <w:rsid w:val="00E62D9C"/>
    <w:rsid w:val="00E67831"/>
    <w:rsid w:val="00E70CCB"/>
    <w:rsid w:val="00E86C88"/>
    <w:rsid w:val="00E9233F"/>
    <w:rsid w:val="00EA5606"/>
    <w:rsid w:val="00EB1FC5"/>
    <w:rsid w:val="00EB60D5"/>
    <w:rsid w:val="00EE405D"/>
    <w:rsid w:val="00F02F7D"/>
    <w:rsid w:val="00F125D2"/>
    <w:rsid w:val="00F218AF"/>
    <w:rsid w:val="00F31B6C"/>
    <w:rsid w:val="00F45B8C"/>
    <w:rsid w:val="00F53DC4"/>
    <w:rsid w:val="00F56EA6"/>
    <w:rsid w:val="00F74BD7"/>
    <w:rsid w:val="00F76AA0"/>
    <w:rsid w:val="00F94127"/>
    <w:rsid w:val="00F96DF2"/>
    <w:rsid w:val="00FA1527"/>
    <w:rsid w:val="00FA33F6"/>
    <w:rsid w:val="00FC4615"/>
    <w:rsid w:val="00FD19A8"/>
    <w:rsid w:val="110901A0"/>
    <w:rsid w:val="15DD0556"/>
    <w:rsid w:val="23717C27"/>
    <w:rsid w:val="334A64A3"/>
    <w:rsid w:val="35E843DA"/>
    <w:rsid w:val="467F0CF9"/>
    <w:rsid w:val="519531C9"/>
    <w:rsid w:val="54CE4645"/>
    <w:rsid w:val="55C149C2"/>
    <w:rsid w:val="57947A7F"/>
    <w:rsid w:val="5F223248"/>
    <w:rsid w:val="71C62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079C41"/>
  <w15:chartTrackingRefBased/>
  <w15:docId w15:val="{E869AF2F-261A-4867-9C1A-B18926EAC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Pr>
      <w:kern w:val="2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Title1">
    <w:name w:val="Titl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doi.org/10.3390/app13169409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yperlink" Target="https://www.mathworks.com/help/matlab/ref/fft2.html" TargetMode="External"/><Relationship Id="rId47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doi.org/10.1016/0734-189X(86" TargetMode="External"/><Relationship Id="rId40" Type="http://schemas.openxmlformats.org/officeDocument/2006/relationships/hyperlink" Target="https://doi.org/10.1007/s10791-026-10008-0" TargetMode="External"/><Relationship Id="rId45" Type="http://schemas.openxmlformats.org/officeDocument/2006/relationships/hyperlink" Target="https://www.mathworks.com/help/images/ref/edge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doi.org/10.1109/TPAMI.1986.4767851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s://doi.org/10.1109/TPAMI.2010.16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www.peterkovesi.com/matlabfns/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yperlink" Target="https://www.peterkovesi.com/papers/phasecorners.pdf" TargetMode="External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hyperlink" Target="https://doi.org/10.1090/S0025-5718-1965-0178586-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1336</Words>
  <Characters>7620</Characters>
  <Application>Microsoft Office Word</Application>
  <DocSecurity>0</DocSecurity>
  <Lines>63</Lines>
  <Paragraphs>17</Paragraphs>
  <ScaleCrop>false</ScaleCrop>
  <Company>SU</Company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上海大学2010～2011学年冬季学期研究生课程考试</dc:title>
  <dc:subject/>
  <dc:creator>Shuozhong Wang</dc:creator>
  <cp:keywords/>
  <cp:lastModifiedBy>SäniaJK Ryu</cp:lastModifiedBy>
  <cp:revision>4</cp:revision>
  <cp:lastPrinted>2008-05-05T05:07:00Z</cp:lastPrinted>
  <dcterms:created xsi:type="dcterms:W3CDTF">2026-10-27T14:01:00Z</dcterms:created>
  <dcterms:modified xsi:type="dcterms:W3CDTF">2026-10-28T02:22:00Z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084C98F448D94AC3B71EF4379E4BCE48_12</vt:lpwstr>
  </property>
  <property fmtid="{D5CDD505-2E9C-101B-9397-08002B2CF9AE}" pid="4" name="KSOTemplateDocerSaveRecord">
    <vt:lpwstr>eyJoZGlkIjoiZmU4OWUzOGJiZGIxMjI0ZTNiNmRkMDY4YjkwMmFmNTIiLCJ1c2VySWQiOiIyNjk2NTg1NzMifQ==</vt:lpwstr>
  </property>
</Properties>
</file>