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GrowthLoop AI</w:t>
      </w:r>
    </w:p>
    <w:p>
      <w:r>
        <w:t>PRODUCT REQUIREMENTS DOCUMENT  |  v0.1  |  20 October 2026</w:t>
      </w:r>
    </w:p>
    <w:p>
      <w:pPr>
        <w:pStyle w:val="Subtitle"/>
      </w:pPr>
      <w:r>
        <w:t>Learn what converts. Know why. Test what works next.</w:t>
      </w:r>
    </w:p>
    <w:p>
      <w:pPr>
        <w:pStyle w:val="Heading1"/>
      </w:pPr>
      <w:r>
        <w:t>1. Executive summary</w:t>
      </w:r>
    </w:p>
    <w:p>
      <w:r>
        <w:t>GrowthLoop AI is an evidence-aware marketing experimentation assistant for early-stage US B2B SaaS teams. It structures every content asset as a testable hypothesis, tracks campaign and qualified-lead outcomes, and recommends the next controlled experiment. The hackathon MVP uses clearly labeled synthetic data and human-approved drafts; real publishing and revenue attribution are later integrations.</w:t>
      </w:r>
    </w:p>
    <w:p>
      <w:pPr>
        <w:pStyle w:val="Heading1"/>
      </w:pPr>
      <w:r>
        <w:t>2. Problem and opportunity</w:t>
      </w:r>
    </w:p>
    <w:p>
      <w:pPr>
        <w:pStyle w:val="ListBullet"/>
      </w:pPr>
      <w:r>
        <w:t>Teams measure impressions and clicks but often cannot connect channel and message to qualified leads or revenue.</w:t>
      </w:r>
    </w:p>
    <w:p>
      <w:pPr>
        <w:pStyle w:val="ListBullet"/>
      </w:pPr>
      <w:r>
        <w:t>Campaign content changes multiple factors at once, making causal explanations unreliable.</w:t>
      </w:r>
    </w:p>
    <w:p>
      <w:pPr>
        <w:pStyle w:val="ListBullet"/>
      </w:pPr>
      <w:r>
        <w:t>Insights from past campaigns are rarely preserved as structured, reusable experiment knowledge.</w:t>
      </w:r>
    </w:p>
    <w:p>
      <w:pPr>
        <w:pStyle w:val="ListBullet"/>
      </w:pPr>
      <w:r>
        <w:t>Existing content, publishing, analytics and CRM products are strong individually; the proposed wedge is their evidence-aware learning loop.</w:t>
      </w:r>
    </w:p>
    <w:p>
      <w:pPr>
        <w:pStyle w:val="Heading1"/>
      </w:pPr>
      <w:r>
        <w:t>3. Target user, jobs and goals</w:t>
      </w:r>
    </w:p>
    <w:p>
      <w:r>
        <w:t>Primary persona: founder or growth generalist at a 2–30-person B2B SaaS company. Secondary: fractional growth marketer or agency. Demo vertical: AI phone ordering for independent US restaurants.</w:t>
      </w:r>
    </w:p>
    <w:p>
      <w:r>
        <w:t>Job to be done: “When I launch marketing content, help me identify which messages appear to produce qualified leads, understand uncertainty, and choose a better-controlled next test.”</w:t>
      </w:r>
    </w:p>
    <w:tbl>
      <w:tblPr>
        <w:tblStyle w:val="LightShading-Accent1"/>
        <w:tblW w:type="auto" w:w="0"/>
        <w:tblLook w:firstColumn="1" w:firstRow="1" w:lastColumn="0" w:lastRow="0" w:noHBand="0" w:noVBand="1" w:val="04A0"/>
      </w:tblPr>
      <w:tblGrid>
        <w:gridCol w:w="4320"/>
        <w:gridCol w:w="4320"/>
      </w:tblGrid>
      <w:tr>
        <w:tc>
          <w:tcPr>
            <w:tcW w:type="dxa" w:w="4320"/>
          </w:tcPr>
          <w:p>
            <w:r>
              <w:t>Goal</w:t>
            </w:r>
          </w:p>
        </w:tc>
        <w:tc>
          <w:tcPr>
            <w:tcW w:type="dxa" w:w="4320"/>
          </w:tcPr>
          <w:p>
            <w:r>
              <w:t>MVP success measure</w:t>
            </w:r>
          </w:p>
        </w:tc>
      </w:tr>
      <w:tr>
        <w:tc>
          <w:tcPr>
            <w:tcW w:type="dxa" w:w="4320"/>
          </w:tcPr>
          <w:p>
            <w:r>
              <w:t>Content traceability</w:t>
            </w:r>
          </w:p>
        </w:tc>
        <w:tc>
          <w:tcPr>
            <w:tcW w:type="dxa" w:w="4320"/>
          </w:tcPr>
          <w:p>
            <w:r>
              <w:t>Every variant has content DNA, campaign ID, hypothesis and lineage</w:t>
            </w:r>
          </w:p>
        </w:tc>
      </w:tr>
      <w:tr>
        <w:tc>
          <w:tcPr>
            <w:tcW w:type="dxa" w:w="4320"/>
          </w:tcPr>
          <w:p>
            <w:r>
              <w:t>Decision support</w:t>
            </w:r>
          </w:p>
        </w:tc>
        <w:tc>
          <w:tcPr>
            <w:tcW w:type="dxa" w:w="4320"/>
          </w:tcPr>
          <w:p>
            <w:r>
              <w:t>Dashboard calculates accurate rates and explains the evidence</w:t>
            </w:r>
          </w:p>
        </w:tc>
      </w:tr>
      <w:tr>
        <w:tc>
          <w:tcPr>
            <w:tcW w:type="dxa" w:w="4320"/>
          </w:tcPr>
          <w:p>
            <w:r>
              <w:t>Learning loop</w:t>
            </w:r>
          </w:p>
        </w:tc>
        <w:tc>
          <w:tcPr>
            <w:tcW w:type="dxa" w:w="4320"/>
          </w:tcPr>
          <w:p>
            <w:r>
              <w:t>One complete generate → simulate → analyze → propose → approve cycle</w:t>
            </w:r>
          </w:p>
        </w:tc>
      </w:tr>
      <w:tr>
        <w:tc>
          <w:tcPr>
            <w:tcW w:type="dxa" w:w="4320"/>
          </w:tcPr>
          <w:p>
            <w:r>
              <w:t>Trust</w:t>
            </w:r>
          </w:p>
        </w:tc>
        <w:tc>
          <w:tcPr>
            <w:tcW w:type="dxa" w:w="4320"/>
          </w:tcPr>
          <w:p>
            <w:r>
              <w:t>Synthetic data and causal uncertainty are visible; no live posting</w:t>
            </w:r>
          </w:p>
        </w:tc>
      </w:tr>
    </w:tbl>
    <w:p>
      <w:pPr>
        <w:pStyle w:val="Heading1"/>
      </w:pPr>
      <w:r>
        <w:t>4. Product scope</w:t>
      </w:r>
    </w:p>
    <w:tbl>
      <w:tblPr>
        <w:tblStyle w:val="LightShading-Accent1"/>
        <w:tblW w:type="auto" w:w="0"/>
        <w:tblLook w:firstColumn="1" w:firstRow="1" w:lastColumn="0" w:lastRow="0" w:noHBand="0" w:noVBand="1" w:val="04A0"/>
      </w:tblPr>
      <w:tblGrid>
        <w:gridCol w:w="4320"/>
        <w:gridCol w:w="4320"/>
      </w:tblGrid>
      <w:tr>
        <w:tc>
          <w:tcPr>
            <w:tcW w:type="dxa" w:w="4320"/>
          </w:tcPr>
          <w:p>
            <w:r>
              <w:t>MVP / P0</w:t>
            </w:r>
          </w:p>
        </w:tc>
        <w:tc>
          <w:tcPr>
            <w:tcW w:type="dxa" w:w="4320"/>
          </w:tcPr>
          <w:p>
            <w:r>
              <w:t>Later / P1–P2</w:t>
            </w:r>
          </w:p>
        </w:tc>
      </w:tr>
      <w:tr>
        <w:tc>
          <w:tcPr>
            <w:tcW w:type="dxa" w:w="4320"/>
          </w:tcPr>
          <w:p>
            <w:r>
              <w:t>Campaign setup, ICP, goal and channel</w:t>
            </w:r>
          </w:p>
        </w:tc>
        <w:tc>
          <w:tcPr>
            <w:tcW w:type="dxa" w:w="4320"/>
          </w:tcPr>
          <w:p>
            <w:r>
              <w:t>Real social account OAuth and publishing</w:t>
            </w:r>
          </w:p>
        </w:tc>
      </w:tr>
      <w:tr>
        <w:tc>
          <w:tcPr>
            <w:tcW w:type="dxa" w:w="4320"/>
          </w:tcPr>
          <w:p>
            <w:r>
              <w:t>Generate 3 content variants with structured DNA</w:t>
            </w:r>
          </w:p>
        </w:tc>
        <w:tc>
          <w:tcPr>
            <w:tcW w:type="dxa" w:w="4320"/>
          </w:tcPr>
          <w:p>
            <w:r>
              <w:t>Automated ingestion from GA4, PostHog and CRM</w:t>
            </w:r>
          </w:p>
        </w:tc>
      </w:tr>
      <w:tr>
        <w:tc>
          <w:tcPr>
            <w:tcW w:type="dxa" w:w="4320"/>
          </w:tcPr>
          <w:p>
            <w:r>
              <w:t>Human review and approval states</w:t>
            </w:r>
          </w:p>
        </w:tc>
        <w:tc>
          <w:tcPr>
            <w:tcW w:type="dxa" w:w="4320"/>
          </w:tcPr>
          <w:p>
            <w:r>
              <w:t>SEO/GEO provider integrations</w:t>
            </w:r>
          </w:p>
        </w:tc>
      </w:tr>
      <w:tr>
        <w:tc>
          <w:tcPr>
            <w:tcW w:type="dxa" w:w="4320"/>
          </w:tcPr>
          <w:p>
            <w:r>
              <w:t>Synthetic metric seed + validated CSV import</w:t>
            </w:r>
          </w:p>
        </w:tc>
        <w:tc>
          <w:tcPr>
            <w:tcW w:type="dxa" w:w="4320"/>
          </w:tcPr>
          <w:p>
            <w:r>
              <w:t>Multi-channel revenue attribution and identity stitching</w:t>
            </w:r>
          </w:p>
        </w:tc>
      </w:tr>
      <w:tr>
        <w:tc>
          <w:tcPr>
            <w:tcW w:type="dxa" w:w="4320"/>
          </w:tcPr>
          <w:p>
            <w:r>
              <w:t>Content/channel dashboard and funnel rates</w:t>
            </w:r>
          </w:p>
        </w:tc>
        <w:tc>
          <w:tcPr>
            <w:tcW w:type="dxa" w:w="4320"/>
          </w:tcPr>
          <w:p>
            <w:r>
              <w:t>Multi-agent specialization and scheduling</w:t>
            </w:r>
          </w:p>
        </w:tc>
      </w:tr>
      <w:tr>
        <w:tc>
          <w:tcPr>
            <w:tcW w:type="dxa" w:w="4320"/>
          </w:tcPr>
          <w:p>
            <w:r>
              <w:t>Evidence-aware insights and next-test proposals</w:t>
            </w:r>
          </w:p>
        </w:tc>
        <w:tc>
          <w:tcPr>
            <w:tcW w:type="dxa" w:w="4320"/>
          </w:tcPr>
          <w:p>
            <w:r>
              <w:t>Optimization with live randomized experiments</w:t>
            </w:r>
          </w:p>
        </w:tc>
      </w:tr>
      <w:tr>
        <w:tc>
          <w:tcPr>
            <w:tcW w:type="dxa" w:w="4320"/>
          </w:tcPr>
          <w:p>
            <w:r>
              <w:t>Experiment memory, audit log, lineage</w:t>
            </w:r>
          </w:p>
        </w:tc>
        <w:tc>
          <w:tcPr>
            <w:tcW w:type="dxa" w:w="4320"/>
          </w:tcPr>
          <w:p>
            <w:r>
              <w:t>Budget recommendations with approvals</w:t>
            </w:r>
          </w:p>
        </w:tc>
      </w:tr>
    </w:tbl>
    <w:p>
      <w:pPr>
        <w:pStyle w:val="Heading1"/>
      </w:pPr>
      <w:r>
        <w:t>5. User journey and screens</w:t>
      </w:r>
    </w:p>
    <w:p>
      <w:pPr>
        <w:pStyle w:val="ListBullet"/>
      </w:pPr>
      <w:r>
        <w:t>Screen A — Campaign setup: product, target ICP, objective, channel, baseline assumptions.</w:t>
      </w:r>
    </w:p>
    <w:p>
      <w:pPr>
        <w:pStyle w:val="ListBullet"/>
      </w:pPr>
      <w:r>
        <w:t>Screen B — Content Studio: three variants, each with hook, pain point, value proposition, proof, CTA, format, channel and test hypothesis.</w:t>
      </w:r>
    </w:p>
    <w:p>
      <w:pPr>
        <w:pStyle w:val="ListBullet"/>
      </w:pPr>
      <w:r>
        <w:t>Screen C — Review queue: compare drafts, approve/reject, label simulated publication, assign content IDs and UTM fields.</w:t>
      </w:r>
    </w:p>
    <w:p>
      <w:pPr>
        <w:pStyle w:val="ListBullet"/>
      </w:pPr>
      <w:r>
        <w:t>Screen D — Performance: impressions, clicks, qualified leads, customers and rates; source and synthetic-data disclosure.</w:t>
      </w:r>
    </w:p>
    <w:p>
      <w:pPr>
        <w:pStyle w:val="ListBullet"/>
      </w:pPr>
      <w:r>
        <w:t>Screen E — Insights &amp; Experiments: strongest observed association, limitations, proposed single-variable test, approval and next-round lineage.</w:t>
      </w:r>
    </w:p>
    <w:p>
      <w:pPr>
        <w:pStyle w:val="Heading1"/>
      </w:pPr>
      <w:r>
        <w:t>6. Functional requirements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Priority</w:t>
            </w:r>
          </w:p>
        </w:tc>
        <w:tc>
          <w:tcPr>
            <w:tcW w:type="dxa" w:w="2880"/>
          </w:tcPr>
          <w:p>
            <w:r>
              <w:t>Requirement / acceptance</w:t>
            </w:r>
          </w:p>
        </w:tc>
      </w:tr>
      <w:tr>
        <w:tc>
          <w:tcPr>
            <w:tcW w:type="dxa" w:w="2880"/>
          </w:tcPr>
          <w:p>
            <w:r>
              <w:t>FR-01</w:t>
            </w:r>
          </w:p>
        </w:tc>
        <w:tc>
          <w:tcPr>
            <w:tcW w:type="dxa" w:w="2880"/>
          </w:tcPr>
          <w:p>
            <w:r>
              <w:t>P0</w:t>
            </w:r>
          </w:p>
        </w:tc>
        <w:tc>
          <w:tcPr>
            <w:tcW w:type="dxa" w:w="2880"/>
          </w:tcPr>
          <w:p>
            <w:r>
              <w:t>Create/edit campaign with ICP, product, goal, channel.</w:t>
            </w:r>
          </w:p>
        </w:tc>
      </w:tr>
      <w:tr>
        <w:tc>
          <w:tcPr>
            <w:tcW w:type="dxa" w:w="2880"/>
          </w:tcPr>
          <w:p>
            <w:r>
              <w:t>FR-02</w:t>
            </w:r>
          </w:p>
        </w:tc>
        <w:tc>
          <w:tcPr>
            <w:tcW w:type="dxa" w:w="2880"/>
          </w:tcPr>
          <w:p>
            <w:r>
              <w:t>P0</w:t>
            </w:r>
          </w:p>
        </w:tc>
        <w:tc>
          <w:tcPr>
            <w:tcW w:type="dxa" w:w="2880"/>
          </w:tcPr>
          <w:p>
            <w:r>
              <w:t>Generate 3 schema-valid variants; no missing content DNA fields.</w:t>
            </w:r>
          </w:p>
        </w:tc>
      </w:tr>
      <w:tr>
        <w:tc>
          <w:tcPr>
            <w:tcW w:type="dxa" w:w="2880"/>
          </w:tcPr>
          <w:p>
            <w:r>
              <w:t>FR-03</w:t>
            </w:r>
          </w:p>
        </w:tc>
        <w:tc>
          <w:tcPr>
            <w:tcW w:type="dxa" w:w="2880"/>
          </w:tcPr>
          <w:p>
            <w:r>
              <w:t>P0</w:t>
            </w:r>
          </w:p>
        </w:tc>
        <w:tc>
          <w:tcPr>
            <w:tcW w:type="dxa" w:w="2880"/>
          </w:tcPr>
          <w:p>
            <w:r>
              <w:t>Track draft, approved, rejected and simulated-published statuses.</w:t>
            </w:r>
          </w:p>
        </w:tc>
      </w:tr>
      <w:tr>
        <w:tc>
          <w:tcPr>
            <w:tcW w:type="dxa" w:w="2880"/>
          </w:tcPr>
          <w:p>
            <w:r>
              <w:t>FR-04</w:t>
            </w:r>
          </w:p>
        </w:tc>
        <w:tc>
          <w:tcPr>
            <w:tcW w:type="dxa" w:w="2880"/>
          </w:tcPr>
          <w:p>
            <w:r>
              <w:t>P0</w:t>
            </w:r>
          </w:p>
        </w:tc>
        <w:tc>
          <w:tcPr>
            <w:tcW w:type="dxa" w:w="2880"/>
          </w:tcPr>
          <w:p>
            <w:r>
              <w:t>Import synthetic/CSV metrics; validate nonnegative counts, IDs and time windows.</w:t>
            </w:r>
          </w:p>
        </w:tc>
      </w:tr>
      <w:tr>
        <w:tc>
          <w:tcPr>
            <w:tcW w:type="dxa" w:w="2880"/>
          </w:tcPr>
          <w:p>
            <w:r>
              <w:t>FR-05</w:t>
            </w:r>
          </w:p>
        </w:tc>
        <w:tc>
          <w:tcPr>
            <w:tcW w:type="dxa" w:w="2880"/>
          </w:tcPr>
          <w:p>
            <w:r>
              <w:t>P0</w:t>
            </w:r>
          </w:p>
        </w:tc>
        <w:tc>
          <w:tcPr>
            <w:tcW w:type="dxa" w:w="2880"/>
          </w:tcPr>
          <w:p>
            <w:r>
              <w:t>Compute CTR, qualified-lead rate and lead-to-customer rate deterministically.</w:t>
            </w:r>
          </w:p>
        </w:tc>
      </w:tr>
      <w:tr>
        <w:tc>
          <w:tcPr>
            <w:tcW w:type="dxa" w:w="2880"/>
          </w:tcPr>
          <w:p>
            <w:r>
              <w:t>FR-06</w:t>
            </w:r>
          </w:p>
        </w:tc>
        <w:tc>
          <w:tcPr>
            <w:tcW w:type="dxa" w:w="2880"/>
          </w:tcPr>
          <w:p>
            <w:r>
              <w:t>P0</w:t>
            </w:r>
          </w:p>
        </w:tc>
        <w:tc>
          <w:tcPr>
            <w:tcW w:type="dxa" w:w="2880"/>
          </w:tcPr>
          <w:p>
            <w:r>
              <w:t>Explain rankings with numerators, denominators, sample size and limitations.</w:t>
            </w:r>
          </w:p>
        </w:tc>
      </w:tr>
      <w:tr>
        <w:tc>
          <w:tcPr>
            <w:tcW w:type="dxa" w:w="2880"/>
          </w:tcPr>
          <w:p>
            <w:r>
              <w:t>FR-07</w:t>
            </w:r>
          </w:p>
        </w:tc>
        <w:tc>
          <w:tcPr>
            <w:tcW w:type="dxa" w:w="2880"/>
          </w:tcPr>
          <w:p>
            <w:r>
              <w:t>P0</w:t>
            </w:r>
          </w:p>
        </w:tc>
        <w:tc>
          <w:tcPr>
            <w:tcW w:type="dxa" w:w="2880"/>
          </w:tcPr>
          <w:p>
            <w:r>
              <w:t>Propose follow-up experiment changing one chosen factor.</w:t>
            </w:r>
          </w:p>
        </w:tc>
      </w:tr>
      <w:tr>
        <w:tc>
          <w:tcPr>
            <w:tcW w:type="dxa" w:w="2880"/>
          </w:tcPr>
          <w:p>
            <w:r>
              <w:t>FR-08</w:t>
            </w:r>
          </w:p>
        </w:tc>
        <w:tc>
          <w:tcPr>
            <w:tcW w:type="dxa" w:w="2880"/>
          </w:tcPr>
          <w:p>
            <w:r>
              <w:t>P0</w:t>
            </w:r>
          </w:p>
        </w:tc>
        <w:tc>
          <w:tcPr>
            <w:tcW w:type="dxa" w:w="2880"/>
          </w:tcPr>
          <w:p>
            <w:r>
              <w:t>Persist experiment hypothesis, outcome, source, lineage and approval.</w:t>
            </w:r>
          </w:p>
        </w:tc>
      </w:tr>
      <w:tr>
        <w:tc>
          <w:tcPr>
            <w:tcW w:type="dxa" w:w="2880"/>
          </w:tcPr>
          <w:p>
            <w:r>
              <w:t>FR-09</w:t>
            </w:r>
          </w:p>
        </w:tc>
        <w:tc>
          <w:tcPr>
            <w:tcW w:type="dxa" w:w="2880"/>
          </w:tcPr>
          <w:p>
            <w:r>
              <w:t>P0</w:t>
            </w:r>
          </w:p>
        </w:tc>
        <w:tc>
          <w:tcPr>
            <w:tcW w:type="dxa" w:w="2880"/>
          </w:tcPr>
          <w:p>
            <w:r>
              <w:t>Block real publishing and external actions in demo mode.</w:t>
            </w:r>
          </w:p>
        </w:tc>
      </w:tr>
      <w:tr>
        <w:tc>
          <w:tcPr>
            <w:tcW w:type="dxa" w:w="2880"/>
          </w:tcPr>
          <w:p>
            <w:r>
              <w:t>FR-10</w:t>
            </w:r>
          </w:p>
        </w:tc>
        <w:tc>
          <w:tcPr>
            <w:tcW w:type="dxa" w:w="2880"/>
          </w:tcPr>
          <w:p>
            <w:r>
              <w:t>P1</w:t>
            </w:r>
          </w:p>
        </w:tc>
        <w:tc>
          <w:tcPr>
            <w:tcW w:type="dxa" w:w="2880"/>
          </w:tcPr>
          <w:p>
            <w:r>
              <w:t>Connect approved publishing and analytics APIs with idempotency and retry.</w:t>
            </w:r>
          </w:p>
        </w:tc>
      </w:tr>
    </w:tbl>
    <w:p>
      <w:pPr>
        <w:pStyle w:val="Heading1"/>
      </w:pPr>
      <w:r>
        <w:t>7. Data model and metric definitions</w:t>
      </w:r>
    </w:p>
    <w:p>
      <w:r>
        <w:t>Core entities: Campaign, ContentVariant, MetricSnapshot, Experiment, Recommendation, ApprovalEvent. Fields and example shapes are specified in README.md. Each metric snapshot must retain time window, source, and is_synthetic flag.</w:t>
      </w:r>
    </w:p>
    <w:p>
      <w:pPr>
        <w:pStyle w:val="ListBullet"/>
      </w:pPr>
      <w:r>
        <w:t>CTR = clicks / impressions. Qualified lead rate = qualified_leads / clicks. Lead-to-customer rate = conversions / qualified_leads.</w:t>
      </w:r>
    </w:p>
    <w:p>
      <w:pPr>
        <w:pStyle w:val="ListBullet"/>
      </w:pPr>
      <w:r>
        <w:t>Zero denominator means N/A, never 0% or fabricated data. All rates show sample size and date range.</w:t>
      </w:r>
    </w:p>
    <w:p>
      <w:pPr>
        <w:pStyle w:val="ListBullet"/>
      </w:pPr>
      <w:r>
        <w:t>Do not sum cumulative snapshots across overlapping windows. Prefer event-level data or non-overlapping periods.</w:t>
      </w:r>
    </w:p>
    <w:p>
      <w:pPr>
        <w:pStyle w:val="ListBullet"/>
      </w:pPr>
      <w:r>
        <w:t>Attribution from UTM is directional and may miss cross-device, dark social or multi-touch journeys.</w:t>
      </w:r>
    </w:p>
    <w:p>
      <w:pPr>
        <w:pStyle w:val="ListBullet"/>
      </w:pPr>
      <w:r>
        <w:t>Observed performance differences do not establish that a specific hook caused conversion.</w:t>
      </w:r>
    </w:p>
    <w:p>
      <w:pPr>
        <w:pStyle w:val="Heading1"/>
      </w:pPr>
      <w:r>
        <w:t>8. Agent architecture and evaluation</w:t>
      </w:r>
    </w:p>
    <w:p>
      <w:r>
        <w:t>MVP: one agent orchestrated by a deterministic workflow. Its tools read campaign records, request metric calculations, draft content and write proposed experiments. LLM outputs must conform to schemas. Calculations and permission checks are ordinary code. Shared experiment memory is stored in the database; RAG is optional if retrieval becomes complex. Fine-tuning is not needed.</w:t>
      </w:r>
    </w:p>
    <w:p>
      <w:r>
        <w:t>Possible post-MVP split: Research Agent, Content Agent, Analytics Agent and Experiment Agent under an Orchestrator. Split only when independent contexts, permissions or evaluation justify the overhead.</w:t>
      </w:r>
    </w:p>
    <w:tbl>
      <w:tblPr>
        <w:tblStyle w:val="LightShading-Accent1"/>
        <w:tblW w:type="auto" w:w="0"/>
        <w:tblLook w:firstColumn="1" w:firstRow="1" w:lastColumn="0" w:lastRow="0" w:noHBand="0" w:noVBand="1" w:val="04A0"/>
      </w:tblPr>
      <w:tblGrid>
        <w:gridCol w:w="4320"/>
        <w:gridCol w:w="4320"/>
      </w:tblGrid>
      <w:tr>
        <w:tc>
          <w:tcPr>
            <w:tcW w:type="dxa" w:w="4320"/>
          </w:tcPr>
          <w:p>
            <w:r>
              <w:t>Evaluation</w:t>
            </w:r>
          </w:p>
        </w:tc>
        <w:tc>
          <w:tcPr>
            <w:tcW w:type="dxa" w:w="4320"/>
          </w:tcPr>
          <w:p>
            <w:r>
              <w:t>Pass condition</w:t>
            </w:r>
          </w:p>
        </w:tc>
      </w:tr>
      <w:tr>
        <w:tc>
          <w:tcPr>
            <w:tcW w:type="dxa" w:w="4320"/>
          </w:tcPr>
          <w:p>
            <w:r>
              <w:t>Math accuracy</w:t>
            </w:r>
          </w:p>
        </w:tc>
        <w:tc>
          <w:tcPr>
            <w:tcW w:type="dxa" w:w="4320"/>
          </w:tcPr>
          <w:p>
            <w:r>
              <w:t>Matches fixture-based expected rates, including zero denominator</w:t>
            </w:r>
          </w:p>
        </w:tc>
      </w:tr>
      <w:tr>
        <w:tc>
          <w:tcPr>
            <w:tcW w:type="dxa" w:w="4320"/>
          </w:tcPr>
          <w:p>
            <w:r>
              <w:t>Hypothesis discipline</w:t>
            </w:r>
          </w:p>
        </w:tc>
        <w:tc>
          <w:tcPr>
            <w:tcW w:type="dxa" w:w="4320"/>
          </w:tcPr>
          <w:p>
            <w:r>
              <w:t>Distinguishes correlation from causal evidence</w:t>
            </w:r>
          </w:p>
        </w:tc>
      </w:tr>
      <w:tr>
        <w:tc>
          <w:tcPr>
            <w:tcW w:type="dxa" w:w="4320"/>
          </w:tcPr>
          <w:p>
            <w:r>
              <w:t>Single-variable test</w:t>
            </w:r>
          </w:p>
        </w:tc>
        <w:tc>
          <w:tcPr>
            <w:tcW w:type="dxa" w:w="4320"/>
          </w:tcPr>
          <w:p>
            <w:r>
              <w:t>Only one selected DNA factor differs between test and control</w:t>
            </w:r>
          </w:p>
        </w:tc>
      </w:tr>
      <w:tr>
        <w:tc>
          <w:tcPr>
            <w:tcW w:type="dxa" w:w="4320"/>
          </w:tcPr>
          <w:p>
            <w:r>
              <w:t>Memory integrity</w:t>
            </w:r>
          </w:p>
        </w:tc>
        <w:tc>
          <w:tcPr>
            <w:tcW w:type="dxa" w:w="4320"/>
          </w:tcPr>
          <w:p>
            <w:r>
              <w:t>Recommendation references real stored variant IDs and metrics</w:t>
            </w:r>
          </w:p>
        </w:tc>
      </w:tr>
      <w:tr>
        <w:tc>
          <w:tcPr>
            <w:tcW w:type="dxa" w:w="4320"/>
          </w:tcPr>
          <w:p>
            <w:r>
              <w:t>Safety</w:t>
            </w:r>
          </w:p>
        </w:tc>
        <w:tc>
          <w:tcPr>
            <w:tcW w:type="dxa" w:w="4320"/>
          </w:tcPr>
          <w:p>
            <w:r>
              <w:t>No external posting, spend or messaging without explicit approval</w:t>
            </w:r>
          </w:p>
        </w:tc>
      </w:tr>
      <w:tr>
        <w:tc>
          <w:tcPr>
            <w:tcW w:type="dxa" w:w="4320"/>
          </w:tcPr>
          <w:p>
            <w:r>
              <w:t>Robustness</w:t>
            </w:r>
          </w:p>
        </w:tc>
        <w:tc>
          <w:tcPr>
            <w:tcW w:type="dxa" w:w="4320"/>
          </w:tcPr>
          <w:p>
            <w:r>
              <w:t>Invalid imports and missing metrics produce clear recoverable errors</w:t>
            </w:r>
          </w:p>
        </w:tc>
      </w:tr>
    </w:tbl>
    <w:p>
      <w:pPr>
        <w:pStyle w:val="Heading1"/>
      </w:pPr>
      <w:r>
        <w:t>9. Integrations and dependencies</w:t>
      </w:r>
    </w:p>
    <w:p>
      <w:r>
        <w:t>Proposed workflow: Clay / Semrush / Profound for research → content drafting and optional Markup AI review → Blotato / Kit for approved distribution → GA4 / PostHog / HubSpot for behavioral and commercial signals → GrowthLoop AI for analysis and next-test planning. These are conceptual adapters, NOT verified plug-and-play connections. Confirm API availability, rate limits, pricing, data rights and Base44 plan limitations before promising integrations.</w:t>
      </w:r>
    </w:p>
    <w:p>
      <w:pPr>
        <w:pStyle w:val="Heading1"/>
      </w:pPr>
      <w:r>
        <w:t>10. Privacy, quality and operational requirements</w:t>
      </w:r>
    </w:p>
    <w:p>
      <w:pPr>
        <w:pStyle w:val="ListBullet"/>
      </w:pPr>
      <w:r>
        <w:t>No personal contact details or sensitive records in public demo seed data.</w:t>
      </w:r>
    </w:p>
    <w:p>
      <w:pPr>
        <w:pStyle w:val="ListBullet"/>
      </w:pPr>
      <w:r>
        <w:t>No spam, unsupported claims, scraping against terms, or autonomous public posting.</w:t>
      </w:r>
    </w:p>
    <w:p>
      <w:pPr>
        <w:pStyle w:val="ListBullet"/>
      </w:pPr>
      <w:r>
        <w:t>Separate simulated data from live data at storage, API and UI levels.</w:t>
      </w:r>
    </w:p>
    <w:p>
      <w:pPr>
        <w:pStyle w:val="ListBullet"/>
      </w:pPr>
      <w:r>
        <w:t>Require approval for public content and external actions; log who approved what.</w:t>
      </w:r>
    </w:p>
    <w:p>
      <w:pPr>
        <w:pStyle w:val="ListBullet"/>
      </w:pPr>
      <w:r>
        <w:t>Log errors and retries; make publishing idempotent to avoid duplicate posts.</w:t>
      </w:r>
    </w:p>
    <w:p>
      <w:pPr>
        <w:pStyle w:val="ListBullet"/>
      </w:pPr>
      <w:r>
        <w:t>Use least-privilege API credentials in secret storage, never source control.</w:t>
      </w:r>
    </w:p>
    <w:p>
      <w:pPr>
        <w:pStyle w:val="ListBullet"/>
      </w:pPr>
      <w:r>
        <w:t>Keep human review for brand claims, legal compliance and experiment interpretation.</w:t>
      </w:r>
    </w:p>
    <w:p>
      <w:pPr>
        <w:pStyle w:val="Heading1"/>
      </w:pPr>
      <w:r>
        <w:t>11. Build milestones and team handoffs</w:t>
      </w:r>
    </w:p>
    <w:tbl>
      <w:tblPr>
        <w:tblStyle w:val="LightShading-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Deliverable / owner role</w:t>
            </w:r>
          </w:p>
        </w:tc>
      </w:tr>
      <w:tr>
        <w:tc>
          <w:tcPr>
            <w:tcW w:type="dxa" w:w="4320"/>
          </w:tcPr>
          <w:p>
            <w:r>
              <w:t>M1 — Scope &amp; design</w:t>
            </w:r>
          </w:p>
        </w:tc>
        <w:tc>
          <w:tcPr>
            <w:tcW w:type="dxa" w:w="4320"/>
          </w:tcPr>
          <w:p>
            <w:r>
              <w:t>Product lead: user flow, content DNA, demo story</w:t>
            </w:r>
          </w:p>
        </w:tc>
      </w:tr>
      <w:tr>
        <w:tc>
          <w:tcPr>
            <w:tcW w:type="dxa" w:w="4320"/>
          </w:tcPr>
          <w:p>
            <w:r>
              <w:t>M2 — Data &amp; metrics</w:t>
            </w:r>
          </w:p>
        </w:tc>
        <w:tc>
          <w:tcPr>
            <w:tcW w:type="dxa" w:w="4320"/>
          </w:tcPr>
          <w:p>
            <w:r>
              <w:t>Data lead: schema, fixture CSV, formula unit tests</w:t>
            </w:r>
          </w:p>
        </w:tc>
      </w:tr>
      <w:tr>
        <w:tc>
          <w:tcPr>
            <w:tcW w:type="dxa" w:w="4320"/>
          </w:tcPr>
          <w:p>
            <w:r>
              <w:t>M3 — UI</w:t>
            </w:r>
          </w:p>
        </w:tc>
        <w:tc>
          <w:tcPr>
            <w:tcW w:type="dxa" w:w="4320"/>
          </w:tcPr>
          <w:p>
            <w:r>
              <w:t>App lead: campaign, studio, dashboard and experiment screens</w:t>
            </w:r>
          </w:p>
        </w:tc>
      </w:tr>
      <w:tr>
        <w:tc>
          <w:tcPr>
            <w:tcW w:type="dxa" w:w="4320"/>
          </w:tcPr>
          <w:p>
            <w:r>
              <w:t>M4 — Agent</w:t>
            </w:r>
          </w:p>
        </w:tc>
        <w:tc>
          <w:tcPr>
            <w:tcW w:type="dxa" w:w="4320"/>
          </w:tcPr>
          <w:p>
            <w:r>
              <w:t>AI lead: structured drafting, insights, recommendation evals</w:t>
            </w:r>
          </w:p>
        </w:tc>
      </w:tr>
      <w:tr>
        <w:tc>
          <w:tcPr>
            <w:tcW w:type="dxa" w:w="4320"/>
          </w:tcPr>
          <w:p>
            <w:r>
              <w:t>M5 — QA &amp; demo</w:t>
            </w:r>
          </w:p>
        </w:tc>
        <w:tc>
          <w:tcPr>
            <w:tcW w:type="dxa" w:w="4320"/>
          </w:tcPr>
          <w:p>
            <w:r>
              <w:t>QA lead: edge cases, approval checks, 2-minute walkthrough</w:t>
            </w:r>
          </w:p>
        </w:tc>
      </w:tr>
    </w:tbl>
    <w:p>
      <w:r>
        <w:t>Collaboration: one GitHub Issue per feature, PR review before merge, one designated integration owner, shared test fixtures and Definition of Done. Suggested Claude model: Sonnet for implementation; Opus for difficult review/debugging, subject to team availability.</w:t>
      </w:r>
    </w:p>
    <w:p>
      <w:pPr>
        <w:pStyle w:val="Heading1"/>
      </w:pPr>
      <w:r>
        <w:t>12. Demo narrative and risks</w:t>
      </w:r>
    </w:p>
    <w:p>
      <w:r>
        <w:t>Demo: (1) Create restaurant AI SaaS campaign; (2) inspect three labeled content DNA variants; (3) simulate publishing and import clearly synthetic results; (4) show which content produced more qualified leads; (5) ask Agent what can and cannot be inferred; (6) approve a one-variable next experiment and show stored lineage.</w:t>
      </w:r>
    </w:p>
    <w:tbl>
      <w:tblPr>
        <w:tblStyle w:val="LightShading-Accent1"/>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Misleading causal conclusions</w:t>
            </w:r>
          </w:p>
        </w:tc>
        <w:tc>
          <w:tcPr>
            <w:tcW w:type="dxa" w:w="4320"/>
          </w:tcPr>
          <w:p>
            <w:r>
              <w:t>Require evidence notes, controlled-test proposals and uncertainty labels</w:t>
            </w:r>
          </w:p>
        </w:tc>
      </w:tr>
      <w:tr>
        <w:tc>
          <w:tcPr>
            <w:tcW w:type="dxa" w:w="4320"/>
          </w:tcPr>
          <w:p>
            <w:r>
              <w:t>No real traffic or customers</w:t>
            </w:r>
          </w:p>
        </w:tc>
        <w:tc>
          <w:tcPr>
            <w:tcW w:type="dxa" w:w="4320"/>
          </w:tcPr>
          <w:p>
            <w:r>
              <w:t>Demo synthetic workflow; do not claim commercial uplift</w:t>
            </w:r>
          </w:p>
        </w:tc>
      </w:tr>
      <w:tr>
        <w:tc>
          <w:tcPr>
            <w:tcW w:type="dxa" w:w="4320"/>
          </w:tcPr>
          <w:p>
            <w:r>
              <w:t>Platform/API restrictions</w:t>
            </w:r>
          </w:p>
        </w:tc>
        <w:tc>
          <w:tcPr>
            <w:tcW w:type="dxa" w:w="4320"/>
          </w:tcPr>
          <w:p>
            <w:r>
              <w:t>Design adapter boundary; keep offline/demo path</w:t>
            </w:r>
          </w:p>
        </w:tc>
      </w:tr>
      <w:tr>
        <w:tc>
          <w:tcPr>
            <w:tcW w:type="dxa" w:w="4320"/>
          </w:tcPr>
          <w:p>
            <w:r>
              <w:t>Multi-agent complexity</w:t>
            </w:r>
          </w:p>
        </w:tc>
        <w:tc>
          <w:tcPr>
            <w:tcW w:type="dxa" w:w="4320"/>
          </w:tcPr>
          <w:p>
            <w:r>
              <w:t>Start single-agent; split only after measurement</w:t>
            </w:r>
          </w:p>
        </w:tc>
      </w:tr>
      <w:tr>
        <w:tc>
          <w:tcPr>
            <w:tcW w:type="dxa" w:w="4320"/>
          </w:tcPr>
          <w:p>
            <w:r>
              <w:t>Vanity-metric optimization</w:t>
            </w:r>
          </w:p>
        </w:tc>
        <w:tc>
          <w:tcPr>
            <w:tcW w:type="dxa" w:w="4320"/>
          </w:tcPr>
          <w:p>
            <w:r>
              <w:t>Prioritize qualified leads and downstream conversion over views</w:t>
            </w:r>
          </w:p>
        </w:tc>
      </w:tr>
    </w:tbl>
    <w:p>
      <w:pPr>
        <w:pStyle w:val="Heading1"/>
      </w:pPr>
      <w:r>
        <w:t>13. Open decisions</w:t>
      </w:r>
    </w:p>
    <w:p>
      <w:pPr>
        <w:pStyle w:val="ListBullet"/>
      </w:pPr>
      <w:r>
        <w:t>Confirm hackathon requirements and whether Base44 is mandatory for this submission.</w:t>
      </w:r>
    </w:p>
    <w:p>
      <w:pPr>
        <w:pStyle w:val="ListBullet"/>
      </w:pPr>
      <w:r>
        <w:t>Select first channel: LinkedIn plus one landing page is recommended.</w:t>
      </w:r>
    </w:p>
    <w:p>
      <w:pPr>
        <w:pStyle w:val="ListBullet"/>
      </w:pPr>
      <w:r>
        <w:t>Choose qualified-lead definition and primary experiment metric.</w:t>
      </w:r>
    </w:p>
    <w:p>
      <w:pPr>
        <w:pStyle w:val="ListBullet"/>
      </w:pPr>
      <w:r>
        <w:t>Confirm data storage/export constraints of chosen platform.</w:t>
      </w:r>
    </w:p>
    <w:p>
      <w:pPr>
        <w:pStyle w:val="ListBullet"/>
      </w:pPr>
      <w:r>
        <w:t>Assign five team roles and final GitHub merge/release owner.</w:t>
      </w:r>
    </w:p>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GrowthLoop AI  •  Draft for team alignment  •  Not a claim of deployed functionality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4A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4A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4A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