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60" w:line="276" w:lineRule="auto"/>
        <w:jc w:val="center"/>
      </w:pPr>
      <w:r>
        <w:rPr>
          <w:rFonts w:ascii="Calibri" w:hAnsi="Calibri" w:eastAsia="微软雅黑"/>
          <w:b/>
          <w:sz w:val="36"/>
          <w:szCs w:val="36"/>
        </w:rPr>
        <w:t xml:space="preserve">AgentTrace — 简历一页纸（项目总结）</w:t>
      </w:r>
    </w:p>
    <w:p>
      <w:pPr>
        <w:spacing w:before="0" w:after="80" w:line="276" w:lineRule="auto"/>
      </w:pPr>
      <w:r>
        <w:rPr>
          <w:rFonts w:ascii="Calibri" w:hAnsi="Calibri" w:eastAsia="微软雅黑"/>
          <w:i/>
          <w:sz w:val="18"/>
          <w:szCs w:val="18"/>
          <w:color w:val="595959"/>
        </w:rPr>
        <w:t xml:space="preserve">配套材料：`docs/interview-guide.md`（面试讲解稿）｜仓库 https://github.com/liushukai410/agenttrace ｜PyPI: agenttrace-forensics</w:t>
      </w:r>
    </w:p>
    <w:p>
      <w:pPr>
        <w:spacing w:before="200" w:after="80" w:line="276" w:lineRule="auto"/>
      </w:pPr>
      <w:r>
        <w:rPr>
          <w:rFonts w:ascii="Calibri" w:hAnsi="Calibri" w:eastAsia="微软雅黑"/>
          <w:b/>
          <w:sz w:val="26"/>
          <w:szCs w:val="26"/>
        </w:rPr>
        <w:t xml:space="preserve">项目定位</w:t>
      </w:r>
    </w:p>
    <w:p>
      <w:pPr>
        <w:spacing w:before="0" w:after="80" w:line="276" w:lineRule="auto"/>
      </w:pPr>
      <w:r>
        <w:rPr>
          <w:rFonts w:ascii="Calibri" w:hAnsi="Calibri" w:eastAsia="微软雅黑"/>
          <w:b/>
          <w:sz w:val="21"/>
          <w:szCs w:val="21"/>
        </w:rPr>
        <w:t xml:space="preserve">零依赖 AI Agent 取证审计框架</w:t>
      </w:r>
      <w:r>
        <w:rPr>
          <w:rFonts w:ascii="Calibri" w:hAnsi="Calibri" w:eastAsia="微软雅黑"/>
          <w:sz w:val="21"/>
          <w:szCs w:val="21"/>
        </w:rPr>
        <w:t xml:space="preserve">：以执法级证据保全思路记录 AI Agent 的每一步决策（用户输入、模型回复、工具调用、工具结果、错误），用密码学保证记录事后不可篡改，并支持事故时间线回放与高危行为自动标注。区别于 LangSmith/Langfuse 等"可信者视角"的可观测工具，AgentTrace 采用</w:t>
      </w:r>
      <w:r>
        <w:rPr>
          <w:rFonts w:ascii="Calibri" w:hAnsi="Calibri" w:eastAsia="微软雅黑"/>
          <w:b/>
          <w:sz w:val="21"/>
          <w:szCs w:val="21"/>
        </w:rPr>
        <w:t xml:space="preserve">不可信者视角</w:t>
      </w:r>
      <w:r>
        <w:rPr>
          <w:rFonts w:ascii="Calibri" w:hAnsi="Calibri" w:eastAsia="微软雅黑"/>
          <w:sz w:val="21"/>
          <w:szCs w:val="21"/>
        </w:rPr>
        <w:t xml:space="preserve">——假设数据库、日志文件乃至操作者都可能被改，记录本身必须可被独立验证。纯 Python 标准库实现，产品代码零第三方依赖（AST 扫描门禁）。</w:t>
      </w:r>
    </w:p>
    <w:p>
      <w:pPr>
        <w:spacing w:before="200" w:after="80" w:line="276" w:lineRule="auto"/>
      </w:pPr>
      <w:r>
        <w:rPr>
          <w:rFonts w:ascii="Calibri" w:hAnsi="Calibri" w:eastAsia="微软雅黑"/>
          <w:b/>
          <w:sz w:val="26"/>
          <w:szCs w:val="26"/>
        </w:rPr>
        <w:t xml:space="preserve">核心工作与成果</w:t>
      </w:r>
    </w:p>
    <w:p>
      <w:pPr>
        <w:spacing w:before="0" w:after="80" w:line="276" w:lineRule="auto"/>
      </w:pPr>
      <w:r>
        <w:rPr>
          <w:rFonts w:ascii="Calibri" w:hAnsi="Calibri" w:eastAsia="微软雅黑"/>
          <w:b/>
          <w:sz w:val="21"/>
          <w:szCs w:val="21"/>
        </w:rPr>
        <w:t xml:space="preserve">1. 防篡改证据链与多层外部锚定</w:t>
      </w:r>
    </w:p>
    <w:p>
      <w:pPr>
        <w:spacing w:before="0" w:after="60" w:line="276" w:lineRule="auto"/>
      </w:pPr>
      <w:r>
        <w:rPr>
          <w:rFonts w:ascii="Calibri" w:hAnsi="Calibri" w:eastAsia="微软雅黑"/>
          <w:sz w:val="21"/>
          <w:szCs w:val="21"/>
        </w:rPr>
        <w:t xml:space="preserve">• 设计 SHA-256 内容哈希链（prev_hash 链式绑定）+ SQLite 拒覆盖写入，检出内容篡改/中间删除/重放/时间戳伪造</w:t>
      </w:r>
    </w:p>
    <w:p>
      <w:pPr>
        <w:spacing w:before="0" w:after="60" w:line="276" w:lineRule="auto"/>
      </w:pPr>
      <w:r>
        <w:rPr>
          <w:rFonts w:ascii="Calibri" w:hAnsi="Calibri" w:eastAsia="微软雅黑"/>
          <w:sz w:val="21"/>
          <w:szCs w:val="21"/>
        </w:rPr>
        <w:t xml:space="preserve">• 实现 HMAC-SHA256 链尾承诺锚定（genesis/seq_max/tip_hash/meta_hash 四元组签名），攻克"哈希链可被整链重写"的根本缺陷；进一步纯 Python 实现 RFC 8032 Ed25519 非对称锚定（过官方向量 T1–T4），验证端无需私钥、公钥绑定即可检出整库伪造</w:t>
      </w:r>
    </w:p>
    <w:p>
      <w:pPr>
        <w:spacing w:before="0" w:after="60" w:line="276" w:lineRule="auto"/>
      </w:pPr>
      <w:r>
        <w:rPr>
          <w:rFonts w:ascii="Calibri" w:hAnsi="Calibri" w:eastAsia="微软雅黑"/>
          <w:sz w:val="21"/>
          <w:szCs w:val="21"/>
        </w:rPr>
        <w:t xml:space="preserve">• 对接 RFC 3161 权威时间戳（TSQ/TSR 零依赖 DER 编解码，freetsa.org 实测通过），形成"存在性证明"法律级时间锚</w:t>
      </w:r>
    </w:p>
    <w:p>
      <w:pPr>
        <w:spacing w:before="0" w:after="80" w:line="276" w:lineRule="auto"/>
      </w:pPr>
      <w:r>
        <w:rPr>
          <w:rFonts w:ascii="Calibri" w:hAnsi="Calibri" w:eastAsia="微软雅黑"/>
          <w:b/>
          <w:sz w:val="21"/>
          <w:szCs w:val="21"/>
        </w:rPr>
        <w:t xml:space="preserve">2. 零依赖密码学信任链（最大技术亮点）</w:t>
      </w:r>
    </w:p>
    <w:p>
      <w:pPr>
        <w:spacing w:before="0" w:after="60" w:line="276" w:lineRule="auto"/>
      </w:pPr>
      <w:r>
        <w:rPr>
          <w:rFonts w:ascii="Calibri" w:hAnsi="Calibri" w:eastAsia="微软雅黑"/>
          <w:sz w:val="21"/>
          <w:szCs w:val="21"/>
        </w:rPr>
        <w:t xml:space="preserve">• 手写 DER/ASN.1 解析栈，纯标准库实现 X.509 证书解析、PKCS#7/CMS SignedData 验证（signedAttrs [1]→SET 形态重建、messageDigest 比对、签名者证书匹配、CA 链判定、genTime 有效期窗口）</w:t>
      </w:r>
    </w:p>
    <w:p>
      <w:pPr>
        <w:spacing w:before="0" w:after="60" w:line="276" w:lineRule="auto"/>
      </w:pPr>
      <w:r>
        <w:rPr>
          <w:rFonts w:ascii="Calibri" w:hAnsi="Calibri" w:eastAsia="微软雅黑"/>
          <w:sz w:val="21"/>
          <w:szCs w:val="21"/>
        </w:rPr>
        <w:t xml:space="preserve">• 实现 RSA PKCS#1 v1.5 与 NIST P-256 ECDSA 双算法验签（手写椭圆曲线点加/倍点/标量乘、未压缩点解码、DER r,s 解析，只验不签），按证书公钥类型自动分派；摘要算法门禁仅放行 SHA-256、算法 OID 缺失即 fail-closed，防算法混淆攻击</w:t>
      </w:r>
    </w:p>
    <w:p>
      <w:pPr>
        <w:spacing w:before="0" w:after="60" w:line="276" w:lineRule="auto"/>
      </w:pPr>
      <w:r>
        <w:rPr>
          <w:rFonts w:ascii="Calibri" w:hAnsi="Calibri" w:eastAsia="微软雅黑"/>
          <w:sz w:val="21"/>
          <w:szCs w:val="21"/>
        </w:rPr>
        <w:t xml:space="preserve">• 实现 CRL 本地吊销检查（签名验证、序列号命中、nextUpdate 新鲜度）与 OCSP 在线检查（请求构造与 cryptography 逐字节一致、nonce 防重放、时间窗校验、CA/委派链验签）</w:t>
      </w:r>
    </w:p>
    <w:p>
      <w:pPr>
        <w:spacing w:before="0" w:after="60" w:line="276" w:lineRule="auto"/>
      </w:pPr>
      <w:r>
        <w:rPr>
          <w:rFonts w:ascii="Calibri" w:hAnsi="Calibri" w:eastAsia="微软雅黑"/>
          <w:sz w:val="21"/>
          <w:szCs w:val="21"/>
        </w:rPr>
        <w:t xml:space="preserve">• </w:t>
      </w:r>
      <w:r>
        <w:rPr>
          <w:rFonts w:ascii="Calibri" w:hAnsi="Calibri" w:eastAsia="微软雅黑"/>
          <w:b/>
          <w:sz w:val="21"/>
          <w:szCs w:val="21"/>
        </w:rPr>
        <w:t xml:space="preserve">每个自实现密码学组件均与 cryptography 库交叉验证</w:t>
      </w:r>
      <w:r>
        <w:rPr>
          <w:rFonts w:ascii="Calibri" w:hAnsi="Calibri" w:eastAsia="微软雅黑"/>
          <w:sz w:val="21"/>
          <w:szCs w:val="21"/>
        </w:rPr>
        <w:t xml:space="preserve">：8 组随机 EC 密钥逐组比对、多点位篡改/错 nonce/错 issuer 全部判定一致；产品代码仍保持零依赖</w:t>
      </w:r>
    </w:p>
    <w:p>
      <w:pPr>
        <w:spacing w:before="0" w:after="80" w:line="276" w:lineRule="auto"/>
      </w:pPr>
      <w:r>
        <w:rPr>
          <w:rFonts w:ascii="Calibri" w:hAnsi="Calibri" w:eastAsia="微软雅黑"/>
          <w:b/>
          <w:sz w:val="21"/>
          <w:szCs w:val="21"/>
        </w:rPr>
        <w:t xml:space="preserve">3. 真实 Agent 运行时零侵入采集</w:t>
      </w:r>
    </w:p>
    <w:p>
      <w:pPr>
        <w:spacing w:before="0" w:after="60" w:line="276" w:lineRule="auto"/>
      </w:pPr>
      <w:r>
        <w:rPr>
          <w:rFonts w:ascii="Calibri" w:hAnsi="Calibri" w:eastAsia="微软雅黑"/>
          <w:sz w:val="21"/>
          <w:szCs w:val="21"/>
        </w:rPr>
        <w:t xml:space="preserve">• 框架适配器层：OpenAI Chat Completions / Responses API（含流式 delta 合并）/ LangGraph 检查点 → 统一证据事件，不 import 任何 SDK</w:t>
      </w:r>
    </w:p>
    <w:p>
      <w:pPr>
        <w:spacing w:before="0" w:after="60" w:line="276" w:lineRule="auto"/>
      </w:pPr>
      <w:r>
        <w:rPr>
          <w:rFonts w:ascii="Calibri" w:hAnsi="Calibri" w:eastAsia="微软雅黑"/>
          <w:sz w:val="21"/>
          <w:szCs w:val="21"/>
        </w:rPr>
        <w:t xml:space="preserve">• 运行时钩子：鸭子类型包装 OpenAI 兼容客户端与工具函数（装饰器），请求/响应/流式块自动入链，返回值与异常语义不变；修复多 Recorder 实例 seq 冲突的真实并发缺陷</w:t>
      </w:r>
    </w:p>
    <w:p>
      <w:pPr>
        <w:spacing w:before="0" w:after="80" w:line="276" w:lineRule="auto"/>
      </w:pPr>
      <w:r>
        <w:rPr>
          <w:rFonts w:ascii="Calibri" w:hAnsi="Calibri" w:eastAsia="微软雅黑"/>
          <w:b/>
          <w:sz w:val="21"/>
          <w:szCs w:val="21"/>
        </w:rPr>
        <w:t xml:space="preserve">4. 风险分析与审计产出</w:t>
      </w:r>
    </w:p>
    <w:p>
      <w:pPr>
        <w:spacing w:before="0" w:after="60" w:line="276" w:lineRule="auto"/>
      </w:pPr>
      <w:r>
        <w:rPr>
          <w:rFonts w:ascii="Calibri" w:hAnsi="Calibri" w:eastAsia="微软雅黑"/>
          <w:sz w:val="21"/>
          <w:szCs w:val="21"/>
        </w:rPr>
        <w:t xml:space="preserve">• 规则引擎覆盖 21+ 风险类别（危险命令/敏感路径/密钥凭证/PII/数据外发/提示注入），经评审基准迭代将误报率从 36% 降至 0、高危漏报从 80% 降至 ≤25%（三态语境判定）</w:t>
      </w:r>
    </w:p>
    <w:p>
      <w:pPr>
        <w:spacing w:before="0" w:after="60" w:line="276" w:lineRule="auto"/>
      </w:pPr>
      <w:r>
        <w:rPr>
          <w:rFonts w:ascii="Calibri" w:hAnsi="Calibri" w:eastAsia="微软雅黑"/>
          <w:sz w:val="21"/>
          <w:szCs w:val="21"/>
        </w:rPr>
        <w:t xml:space="preserve">• 单文件 HTML 时间线回放报告（搜索/过滤/哈希展示）、`--redact` 渲染层脱敏（证据本体不动）、跨会话聚合审计画像、证据包一体归档与清单校验</w:t>
      </w:r>
    </w:p>
    <w:p>
      <w:pPr>
        <w:spacing w:before="200" w:after="80" w:line="276" w:lineRule="auto"/>
      </w:pPr>
      <w:r>
        <w:rPr>
          <w:rFonts w:ascii="Calibri" w:hAnsi="Calibri" w:eastAsia="微软雅黑"/>
          <w:b/>
          <w:sz w:val="26"/>
          <w:szCs w:val="26"/>
        </w:rPr>
        <w:t xml:space="preserve">量化成果</w:t>
      </w:r>
    </w:p>
    <w:tbl>
      <w:tblPr>
        <w:tblStyle w:val="TableGrid"/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0"/>
        <w:gridCol w:w="6800"/>
      </w:tblGrid>
      <w:tr>
        <w:tc>
          <w:tcPr>
            <w:tcW w:w="2600" w:type="dxa"/>
            <w:shd w:val="clear" w:fill="F2F2F2"/>
          </w:tcPr>
          <w:p>
            <w:pPr>
              <w:spacing w:after="20" w:line="264" w:lineRule="auto"/>
            </w:pPr>
            <w:r>
              <w:rPr>
                <w:rFonts w:ascii="Calibri" w:hAnsi="Calibri" w:eastAsia="微软雅黑"/>
                <w:b/>
                <w:sz w:val="19"/>
                <w:szCs w:val="19"/>
              </w:rPr>
              <w:t xml:space="preserve">维度</w:t>
            </w:r>
          </w:p>
        </w:tc>
        <w:tc>
          <w:tcPr>
            <w:tcW w:w="6800" w:type="dxa"/>
            <w:shd w:val="clear" w:fill="F2F2F2"/>
          </w:tcPr>
          <w:p>
            <w:pPr>
              <w:spacing w:after="20" w:line="264" w:lineRule="auto"/>
            </w:pPr>
            <w:r>
              <w:rPr>
                <w:rFonts w:ascii="Calibri" w:hAnsi="Calibri" w:eastAsia="微软雅黑"/>
                <w:b/>
                <w:sz w:val="19"/>
                <w:szCs w:val="19"/>
              </w:rPr>
              <w:t xml:space="preserve">数据</w:t>
            </w:r>
          </w:p>
        </w:tc>
      </w:tr>
      <w:tr>
        <w:tc>
          <w:tcPr>
            <w:tcW w:w="2600" w:type="dxa"/>
          </w:tcPr>
          <w:p>
            <w:pPr>
              <w:spacing w:after="20" w:line="264" w:lineRule="auto"/>
            </w:pPr>
            <w:r>
              <w:rPr>
                <w:rFonts w:ascii="Calibri" w:hAnsi="Calibri" w:eastAsia="微软雅黑"/>
                <w:sz w:val="19"/>
                <w:szCs w:val="19"/>
              </w:rPr>
              <w:t xml:space="preserve">代码规模</w:t>
            </w:r>
          </w:p>
        </w:tc>
        <w:tc>
          <w:tcPr>
            <w:tcW w:w="6800" w:type="dxa"/>
          </w:tcPr>
          <w:p>
            <w:pPr>
              <w:spacing w:after="20" w:line="264" w:lineRule="auto"/>
            </w:pPr>
            <w:r>
              <w:rPr>
                <w:rFonts w:ascii="Calibri" w:hAnsi="Calibri" w:eastAsia="微软雅黑"/>
                <w:sz w:val="19"/>
                <w:szCs w:val="19"/>
              </w:rPr>
              <w:t xml:space="preserve">产品代码 4,383 行 / 19 模块（纯标准库），含测试共 ~7,100 行</w:t>
            </w:r>
          </w:p>
        </w:tc>
      </w:tr>
      <w:tr>
        <w:tc>
          <w:tcPr>
            <w:tcW w:w="2600" w:type="dxa"/>
          </w:tcPr>
          <w:p>
            <w:pPr>
              <w:spacing w:after="20" w:line="264" w:lineRule="auto"/>
            </w:pPr>
            <w:r>
              <w:rPr>
                <w:rFonts w:ascii="Calibri" w:hAnsi="Calibri" w:eastAsia="微软雅黑"/>
                <w:sz w:val="19"/>
                <w:szCs w:val="19"/>
              </w:rPr>
              <w:t xml:space="preserve">测试</w:t>
            </w:r>
          </w:p>
        </w:tc>
        <w:tc>
          <w:tcPr>
            <w:tcW w:w="6800" w:type="dxa"/>
          </w:tcPr>
          <w:p>
            <w:pPr>
              <w:spacing w:after="20" w:line="264" w:lineRule="auto"/>
            </w:pPr>
            <w:r>
              <w:rPr>
                <w:rFonts w:ascii="Calibri" w:hAnsi="Calibri" w:eastAsia="微软雅黑"/>
                <w:b/>
                <w:sz w:val="19"/>
                <w:szCs w:val="19"/>
              </w:rPr>
              <w:t xml:space="preserve">170 个单元测试全绿</w:t>
            </w:r>
            <w:r>
              <w:rPr>
                <w:rFonts w:ascii="Calibri" w:hAnsi="Calibri" w:eastAsia="微软雅黑"/>
                <w:sz w:val="19"/>
                <w:szCs w:val="19"/>
              </w:rPr>
              <w:t xml:space="preserve">：密码学交叉验证、7 类篡改攻击门禁 7/7、CLI 端到端集成、误报/漏报回归</w:t>
            </w:r>
          </w:p>
        </w:tc>
      </w:tr>
      <w:tr>
        <w:tc>
          <w:tcPr>
            <w:tcW w:w="2600" w:type="dxa"/>
          </w:tcPr>
          <w:p>
            <w:pPr>
              <w:spacing w:after="20" w:line="264" w:lineRule="auto"/>
            </w:pPr>
            <w:r>
              <w:rPr>
                <w:rFonts w:ascii="Calibri" w:hAnsi="Calibri" w:eastAsia="微软雅黑"/>
                <w:sz w:val="19"/>
                <w:szCs w:val="19"/>
              </w:rPr>
              <w:t xml:space="preserve">性能</w:t>
            </w:r>
          </w:p>
        </w:tc>
        <w:tc>
          <w:tcPr>
            <w:tcW w:w="6800" w:type="dxa"/>
          </w:tcPr>
          <w:p>
            <w:pPr>
              <w:spacing w:after="20" w:line="264" w:lineRule="auto"/>
            </w:pPr>
            <w:r>
              <w:rPr>
                <w:rFonts w:ascii="Calibri" w:hAnsi="Calibri" w:eastAsia="微软雅黑"/>
                <w:sz w:val="19"/>
                <w:szCs w:val="19"/>
              </w:rPr>
              <w:t xml:space="preserve">10 万事件批量摄入 </w:t>
            </w:r>
            <w:r>
              <w:rPr>
                <w:rFonts w:ascii="Calibri" w:hAnsi="Calibri" w:eastAsia="微软雅黑"/>
                <w:b/>
                <w:sz w:val="19"/>
                <w:szCs w:val="19"/>
              </w:rPr>
              <w:t xml:space="preserve">1.17s（85,453 条/s，较逐条提交优化 79 倍，O(n²)→O(n)）</w:t>
            </w:r>
            <w:r>
              <w:rPr>
                <w:rFonts w:ascii="Calibri" w:hAnsi="Calibri" w:eastAsia="微软雅黑"/>
                <w:sz w:val="19"/>
                <w:szCs w:val="19"/>
              </w:rPr>
              <w:t xml:space="preserve">；全链 verify ~1s</w:t>
            </w:r>
          </w:p>
        </w:tc>
      </w:tr>
      <w:tr>
        <w:tc>
          <w:tcPr>
            <w:tcW w:w="2600" w:type="dxa"/>
          </w:tcPr>
          <w:p>
            <w:pPr>
              <w:spacing w:after="20" w:line="264" w:lineRule="auto"/>
            </w:pPr>
            <w:r>
              <w:rPr>
                <w:rFonts w:ascii="Calibri" w:hAnsi="Calibri" w:eastAsia="微软雅黑"/>
                <w:sz w:val="19"/>
                <w:szCs w:val="19"/>
              </w:rPr>
              <w:t xml:space="preserve">工程质量</w:t>
            </w:r>
          </w:p>
        </w:tc>
        <w:tc>
          <w:tcPr>
            <w:tcW w:w="6800" w:type="dxa"/>
          </w:tcPr>
          <w:p>
            <w:pPr>
              <w:spacing w:after="20" w:line="264" w:lineRule="auto"/>
            </w:pPr>
            <w:r>
              <w:rPr>
                <w:rFonts w:ascii="Calibri" w:hAnsi="Calibri" w:eastAsia="微软雅黑"/>
                <w:sz w:val="19"/>
                <w:szCs w:val="19"/>
              </w:rPr>
              <w:t xml:space="preserve">GitHub Actions 三系统（Ubuntu/Windows/macOS）× 三 Python 版本共 </w:t>
            </w:r>
            <w:r>
              <w:rPr>
                <w:rFonts w:ascii="Calibri" w:hAnsi="Calibri" w:eastAsia="微软雅黑"/>
                <w:b/>
                <w:sz w:val="19"/>
                <w:szCs w:val="19"/>
              </w:rPr>
              <w:t xml:space="preserve">9 job 全绿</w:t>
            </w:r>
            <w:r>
              <w:rPr>
                <w:rFonts w:ascii="Calibri" w:hAnsi="Calibri" w:eastAsia="微软雅黑"/>
                <w:sz w:val="19"/>
                <w:szCs w:val="19"/>
              </w:rPr>
              <w:t xml:space="preserve">；sdist+wheel 双产物发布 PyPI</w:t>
            </w:r>
          </w:p>
        </w:tc>
      </w:tr>
      <w:tr>
        <w:tc>
          <w:tcPr>
            <w:tcW w:w="2600" w:type="dxa"/>
          </w:tcPr>
          <w:p>
            <w:pPr>
              <w:spacing w:after="20" w:line="264" w:lineRule="auto"/>
            </w:pPr>
            <w:r>
              <w:rPr>
                <w:rFonts w:ascii="Calibri" w:hAnsi="Calibri" w:eastAsia="微软雅黑"/>
                <w:sz w:val="19"/>
                <w:szCs w:val="19"/>
              </w:rPr>
              <w:t xml:space="preserve">迭代过程</w:t>
            </w:r>
          </w:p>
        </w:tc>
        <w:tc>
          <w:tcPr>
            <w:tcW w:w="6800" w:type="dxa"/>
          </w:tcPr>
          <w:p>
            <w:pPr>
              <w:spacing w:after="20" w:line="264" w:lineRule="auto"/>
            </w:pPr>
            <w:r>
              <w:rPr>
                <w:rFonts w:ascii="Calibri" w:hAnsi="Calibri" w:eastAsia="微软雅黑"/>
                <w:b/>
                <w:sz w:val="19"/>
                <w:szCs w:val="19"/>
              </w:rPr>
              <w:t xml:space="preserve">六轮独立外部评审，评分 5.3 → 9.4</w:t>
            </w:r>
            <w:r>
              <w:rPr>
                <w:rFonts w:ascii="Calibri" w:hAnsi="Calibri" w:eastAsia="微软雅黑"/>
                <w:sz w:val="19"/>
                <w:szCs w:val="19"/>
              </w:rPr>
              <w:t xml:space="preserve">；攻击检出率 3/5 → 7/7</w:t>
            </w:r>
          </w:p>
        </w:tc>
      </w:tr>
      <w:tr>
        <w:tc>
          <w:tcPr>
            <w:tcW w:w="2600" w:type="dxa"/>
          </w:tcPr>
          <w:p>
            <w:pPr>
              <w:spacing w:after="20" w:line="264" w:lineRule="auto"/>
            </w:pPr>
            <w:r>
              <w:rPr>
                <w:rFonts w:ascii="Calibri" w:hAnsi="Calibri" w:eastAsia="微软雅黑"/>
                <w:sz w:val="19"/>
                <w:szCs w:val="19"/>
              </w:rPr>
              <w:t xml:space="preserve">安全纪律</w:t>
            </w:r>
          </w:p>
        </w:tc>
        <w:tc>
          <w:tcPr>
            <w:tcW w:w="6800" w:type="dxa"/>
          </w:tcPr>
          <w:p>
            <w:pPr>
              <w:spacing w:after="20" w:line="264" w:lineRule="auto"/>
            </w:pPr>
            <w:r>
              <w:rPr>
                <w:rFonts w:ascii="Calibri" w:hAnsi="Calibri" w:eastAsia="微软雅黑"/>
                <w:sz w:val="19"/>
                <w:szCs w:val="19"/>
              </w:rPr>
              <w:t xml:space="preserve">SECURITY.md 已知边界表 + "降级必须显式声明"工程纪律（任何"看似有效实则未验证"的路径按漏洞处理）</w:t>
            </w:r>
          </w:p>
        </w:tc>
      </w:tr>
    </w:tbl>
    <w:p>
      <w:pPr>
        <w:spacing w:before="0" w:after="80" w:line="276" w:lineRule="auto"/>
      </w:pPr>
      <w:r>
        <w:rPr>
          <w:rFonts w:eastAsia="微软雅黑"/>
          <w:sz w:val="21"/>
        </w:rPr>
        <w:t/>
      </w:r>
    </w:p>
    <w:p>
      <w:pPr>
        <w:spacing w:before="200" w:after="80" w:line="276" w:lineRule="auto"/>
      </w:pPr>
      <w:r>
        <w:rPr>
          <w:rFonts w:ascii="Calibri" w:hAnsi="Calibri" w:eastAsia="微软雅黑"/>
          <w:b/>
          <w:sz w:val="26"/>
          <w:szCs w:val="26"/>
        </w:rPr>
        <w:t xml:space="preserve">技术栈关键词</w:t>
      </w:r>
    </w:p>
    <w:p>
      <w:pPr>
        <w:spacing w:before="0" w:after="80" w:line="276" w:lineRule="auto"/>
      </w:pPr>
      <w:r>
        <w:rPr>
          <w:rFonts w:ascii="Calibri" w:hAnsi="Calibri" w:eastAsia="微软雅黑"/>
          <w:sz w:val="21"/>
          <w:szCs w:val="21"/>
        </w:rPr>
        <w:t xml:space="preserve">Python 标准库、密码学（SHA-256/HMAC/Ed25519/RSA/ECDSA P-256/X.509/PKCS#7-CMS/CRL/OCSP/RFC 3161/DER-ASN.1）、SQLite、哈希链/防篡改日志、LLM Agent 安全、OpenAI/LangGraph 适配、CI/CD（GitHub Actions 矩阵）、打包发布（setuptools/PyPI）。</w:t>
      </w:r>
    </w:p>
    <w:p>
      <w:pPr>
        <w:spacing w:before="200" w:after="80" w:line="276" w:lineRule="auto"/>
      </w:pPr>
      <w:r>
        <w:rPr>
          <w:rFonts w:ascii="Calibri" w:hAnsi="Calibri" w:eastAsia="微软雅黑"/>
          <w:b/>
          <w:sz w:val="26"/>
          <w:szCs w:val="26"/>
        </w:rPr>
        <w:t xml:space="preserve">现场可演示</w:t>
      </w:r>
    </w:p>
    <w:p>
      <w:pPr>
        <w:spacing w:before="0" w:after="80" w:line="276" w:lineRule="auto"/>
      </w:pPr>
      <w:r>
        <w:rPr>
          <w:rFonts w:ascii="Calibri" w:hAnsi="Calibri" w:eastAsia="微软雅黑"/>
          <w:sz w:val="21"/>
          <w:szCs w:val="21"/>
        </w:rPr>
        <w:t xml:space="preserve">① 正常库 verify 全绿 → 篡改一条事件后立即报警（对比演示）；② 零依赖 CMS 验签（RSA/ECDSA）+ CRL/OCSP 吊销拦截（吊销证书 exit 2）；③ 3 行代码包装真实 OpenAI 客户端自动入链（离线 demo 同构可跑）；④ 10 万事件秒级摄入与验证；⑤ HTML 事故时间线报告。</w:t>
      </w:r>
    </w:p>
    <w:sectPr>
      <w:pgSz w:w="11906" w:h="16838"/>
      <w:pgMar w:top="1000" w:right="1100" w:bottom="1000" w:left="1100" w:header="0" w:footer="0" w:gutter="0"/>
    </w:sectPr>
  </w:body>
</w:document>
</file>