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d0d0d" w:val="clear"/>
        <w:ind w:left="180" w:right="-360" w:firstLine="0"/>
        <w:jc w:val="center"/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</w:rPr>
      </w:pPr>
      <w:r w:rsidDel="00000000" w:rsidR="00000000" w:rsidRPr="00000000"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  <w:rtl w:val="0"/>
        </w:rPr>
        <w:t xml:space="preserve">Shawn A. Burgess</w:t>
      </w:r>
    </w:p>
    <w:p w:rsidR="00000000" w:rsidDel="00000000" w:rsidP="00000000" w:rsidRDefault="00000000" w:rsidRPr="00000000" w14:paraId="00000002">
      <w:pPr>
        <w:shd w:fill="0d0d0d" w:val="clear"/>
        <w:ind w:left="180" w:right="-360" w:firstLine="0"/>
        <w:jc w:val="center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Worcester, MA </w:t>
      </w:r>
      <w:r w:rsidDel="00000000" w:rsidR="00000000" w:rsidRPr="00000000">
        <w:rPr>
          <w:smallCaps w:val="1"/>
          <w:color w:val="f3f3f3"/>
          <w:sz w:val="24"/>
          <w:szCs w:val="24"/>
          <w:rtl w:val="0"/>
        </w:rPr>
        <w:t xml:space="preserve">♦</w:t>
      </w: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 (774) 232-2737</w:t>
        <w:br w:type="textWrapping"/>
        <w:t xml:space="preserve">shawn@shawnaburgess.com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PROFESSIONAL SUMMARY: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Senior Software Engineer specializing in modernization of multi-tenant scientific and enterprise platforms spanning chemistry, biology, registration, workflow, and data-intensive systems. Blend of deep hands-on full-stack delivery (C#, .NET, React, SQL, Java, Python) with architectural stewardship (service boundaries, API contracts, schema evolution, performance &amp; scalability, identity &amp; security). Known for converting legacy monolith &amp; scripting surfaces into tested, observable services, instituting feature flag governance for safe incremental rollouts; and driving measurable reductions in operational friction (faster root cause isolation, lower regression rates, resilient bulk data processing).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Core impact areas include: centralized chemistry &amp; reaction processing, parent/child registration lineage, advanced searching, SAML SSO enablement, bulk import reliability (chem + bio sequences), internationalization &amp; data privacy hardening, and CI/CD pipeline standardization (Azure DevOps + Kubernetes). Recognized as a trusted technical partner who accelerates delivery while elevating quality, observability, and maintainability.</w:t>
      </w:r>
    </w:p>
    <w:p w:rsidR="00000000" w:rsidDel="00000000" w:rsidP="00000000" w:rsidRDefault="00000000" w:rsidRPr="00000000" w14:paraId="00000007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STRENGTHS: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Full-Stack Web Engineering ▪ Systems &amp; Data Architecture ▪ Application Modernization ▪ API &amp; Integration Patterns ▪ Performance &amp; Scalability ▪ Identity &amp; Security (SAML SSO) ▪ DevOps &amp; CI/CD Automation ▪ Kubernetes Deployments ▪ Legacy Remediation ▪ Observability &amp; Diagnostics ▪ Cross-Functional Collaboration ▪ Technical Mentorship ▪ Process Improvement ▪ Quality Engineering</w:t>
      </w:r>
    </w:p>
    <w:p w:rsidR="00000000" w:rsidDel="00000000" w:rsidP="00000000" w:rsidRDefault="00000000" w:rsidRPr="00000000" w14:paraId="0000000A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PROFESSIONAL EXPERIENCE:</w:t>
      </w:r>
    </w:p>
    <w:p w:rsidR="00000000" w:rsidDel="00000000" w:rsidP="00000000" w:rsidRDefault="00000000" w:rsidRPr="00000000" w14:paraId="0000000C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Software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January 2017 to June 2025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Arxspan / Bruker, Southborough and Billerica, Massachusetts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Modernized multi-tenant ELN / registration platform: refactored core request &amp; configuration services for extensibility and performance.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Centralized chemistry processing: CDXML conversions, salt &amp; stereochemistry normalization, stoichiometry &amp; reaction APIs.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Expanded registration workflows: parent/child lineage, gap-free numbering, stoichiometry grid, salts &amp; structure property derivation, sequence validation.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Engineered resilient bulk import &amp; update pipelines (chem + bio sequences, SDF/SD, sub-data mapping, warning/error framework).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Led SAML SSO &amp; identity integration (enterprise metadata, multi-environment configs) streamlining customer onboarding.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Built comprehensive Postman API test suite (multi-environment matrices + pipeline integration) raising regression confidence.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Strengthened unit &amp; integration test coverage; upgraded MSTest frameworks and introduced coverage tooling.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Implemented feature flag strategy (stoichiometry, inventory linking, chemistry canvas, CAS / CRAIS checks) enabling incremental rollout.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Introduced structured logging, performance instrumentation &amp; interface log service improving diagnostics &amp; mean time to recovery.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Drove Azure DevOps + Kubernetes delivery improvements: templated pipelines, repeatable promotion, deployment reliability.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Reduced technical debt across legacy Classic ASP / PHP / Python surfaces; migrated critical chem &amp; search logic to services.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Advanced internationalization (new locales, culture defaults) and data privacy (PII minimization).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Refined permission &amp; role gating (restricted search, inventory linking visibility) enhancing security posture.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Mentored engineers in code review, observability patterns, and sustainable refactoring practices.</w:t>
      </w:r>
    </w:p>
    <w:p w:rsidR="00000000" w:rsidDel="00000000" w:rsidP="00000000" w:rsidRDefault="00000000" w:rsidRPr="00000000" w14:paraId="0000001C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Application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February 2013 to January 2017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The Hanover Insurance Company, Worcester, Massachusetts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Engineered Java EE / Spring / Hibernate services &amp; UI components powering core insurance workflows.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Co-led git adoption: branching strategy, review discipline; improved release stability.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Optimized ORM &amp; SQL hotspots elevating responsiveness &amp; reliability under load.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Introduced structured logging &amp; diagnostics accelerating root cause analysis.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Extended Maven automation &amp; dependency management, standardizing delivery.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Mentored peers on refactoring strategy &amp; maintainable design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180" w:right="-360" w:firstLine="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Technical Analyst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November 2008 to February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EBSCO Publishing, Ipswich, Massachusetts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Built internal workflow &amp; content tools (Spring MVC, Hibernate, JSP, Bootstrap, jQuery) reducing manual editorial effort.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Developed secure external content review portal (PHP, MySQL, JavaScript) enabling partner collaboration.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Created ingestion / transformation utilities (XML, JSON, CSV) improving metadata consistency &amp; search relevance.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Implemented automated testing &amp; structured build practices cutting regressions.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Administered / tuned application servers; introduced monitoring &amp; structured logging for faster resolution.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Acted as technical mentor promoting clean architecture &amp; sustainable refactoring.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center" w:leader="none" w:pos="-4770"/>
        </w:tabs>
        <w:ind w:left="18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Software Developer</w:t>
      </w:r>
    </w:p>
    <w:p w:rsidR="00000000" w:rsidDel="00000000" w:rsidP="00000000" w:rsidRDefault="00000000" w:rsidRPr="00000000" w14:paraId="00000030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March 2006 to September 2008</w:t>
      </w:r>
    </w:p>
    <w:p w:rsidR="00000000" w:rsidDel="00000000" w:rsidP="00000000" w:rsidRDefault="00000000" w:rsidRPr="00000000" w14:paraId="00000031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Compex Integrated Systems, Worcester, Massachusetts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12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and tested database software for a manufacturing environment.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Worked with clients to deliver custom software to their specifications.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0" w:line="240" w:lineRule="auto"/>
        <w:ind w:right="-36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189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EDUCATION:</w:t>
      </w:r>
    </w:p>
    <w:p w:rsidR="00000000" w:rsidDel="00000000" w:rsidP="00000000" w:rsidRDefault="00000000" w:rsidRPr="00000000" w14:paraId="00000036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Bachelor of Science - Computer Science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May 2008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Worcester State College, Worcester, Massachusetts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center" w:leader="none" w:pos="-4770"/>
          <w:tab w:val="left" w:leader="none" w:pos="360"/>
        </w:tabs>
        <w:ind w:left="72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center" w:leader="none" w:pos="-4770"/>
          <w:tab w:val="left" w:leader="none" w:pos="360"/>
        </w:tabs>
        <w:ind w:left="72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Languages: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C#, JavaScript / TypeScript, SQL, Java, Python, PHP, Classic ASP, HTML, CSS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Frameworks &amp; Libraries: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.NET / ASP.NET MVC &amp; Web API, React, Node.js, Spring, Hibernate, MSTest, xUnit, Bootstrap, jQuery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Cloud &amp; DevOps: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Azure DevOps (Repos, Pipelines, Boards), Kubernetes, Docker, build &amp; release templating, artifact/version management, environment promotion workflows, CI/CD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Data &amp; Persistence: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SQL Server, relational modeling, migration scripting, bulk ingestion (SDF, CSV, XML, JSON)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Search &amp; Analytics: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full-text search integration, structured &amp; predicate search, performance &amp; relevance tuning, export pipelines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Chemistry / Scientific Domain: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CDXML conversions, salts &amp; stereochemistry normalization, stoichiometry &amp; reaction data modeling, structure property hashing, sequence validation workflows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Security &amp; Identity: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SAML SSO, role &amp; permission gating, secure config &amp; secrets handling, data privacy (PII minimization)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Quality Engineering: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Unit / integration testing, Postman multi-environment API suites, coverage instrumentation (Coverlet), static analysis (SonarQube), test data strategy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Observability &amp; Diagnostics: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Structured logging, performance instrumentation, interface log services, error taxonomy &amp; tracing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Performance &amp; Reliability: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Hotspot profiling (ORM/SQL), pagination &amp; batching strategies, resilient bulk import/update pipelines, defensive validation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Automation &amp; Scripting: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Data migration &amp; normalization scripts, indexing/reindexing utilities, health &amp; monitoring scripts, build/deployment helpers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Modernization &amp; Legacy Remediation: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Classic ASP / PHP to service + React transitions, incremental migration approaches, risk-managed refactors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Collaboration &amp; Practices: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Code reviews, technical mentorship, Agile iteration planning, documentation, incremental delivery &amp; rollout strategy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Internationalization: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Locale expansion, culture defaults, translation integration, user preference handling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Calibri"/>
  <w:font w:name="Libre Franklin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Absatz-Standardschriftart" w:customStyle="1">
    <w:name w:val="Absatz-Standardschriftart"/>
  </w:style>
  <w:style w:type="character" w:styleId="Hyperlink">
    <w:name w:val="Hyperlink"/>
    <w:semiHidden w:val="1"/>
    <w:rPr>
      <w:color w:val="0000ff"/>
      <w:u w:val="single"/>
    </w:rPr>
  </w:style>
  <w:style w:type="character" w:styleId="Quick" w:customStyle="1">
    <w:name w:val="Quick •"/>
    <w:rPr>
      <w:sz w:val="24"/>
    </w:rPr>
  </w:style>
  <w:style w:type="paragraph" w:styleId="Heading" w:customStyle="1">
    <w:name w:val="Heading"/>
    <w:basedOn w:val="Normal"/>
    <w:next w:val="BodyText"/>
    <w:pPr>
      <w:keepNext w:val="1"/>
      <w:spacing w:after="120" w:before="240"/>
    </w:pPr>
    <w:rPr>
      <w:rFonts w:ascii="Arial" w:cs="Tahoma" w:eastAsia="Lucida Sans Unicode" w:hAnsi="Arial"/>
      <w:sz w:val="28"/>
      <w:szCs w:val="28"/>
    </w:rPr>
  </w:style>
  <w:style w:type="paragraph" w:styleId="BodyText">
    <w:name w:val="Body Text"/>
    <w:basedOn w:val="Normal"/>
    <w:semiHidden w:val="1"/>
    <w:pPr>
      <w:spacing w:after="120"/>
    </w:pPr>
  </w:style>
  <w:style w:type="paragraph" w:styleId="List">
    <w:name w:val="List"/>
    <w:basedOn w:val="BodyText"/>
    <w:semiHidden w:val="1"/>
    <w:rPr>
      <w:rFonts w:cs="Tahoma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Tahoma"/>
      <w:i w:val="1"/>
      <w:iCs w:val="1"/>
      <w:sz w:val="24"/>
      <w:szCs w:val="24"/>
    </w:rPr>
  </w:style>
  <w:style w:type="paragraph" w:styleId="Index" w:customStyle="1">
    <w:name w:val="Index"/>
    <w:basedOn w:val="Normal"/>
    <w:pPr>
      <w:suppressLineNumbers w:val="1"/>
    </w:pPr>
    <w:rPr>
      <w:rFonts w:cs="Tahoma"/>
    </w:rPr>
  </w:style>
  <w:style w:type="paragraph" w:styleId="BodyTextIndent">
    <w:name w:val="Body Text Indent"/>
    <w:basedOn w:val="Normal"/>
    <w:semiHidden w:val="1"/>
    <w:pPr>
      <w:tabs>
        <w:tab w:val="left" w:pos="810"/>
        <w:tab w:val="left" w:pos="1170"/>
        <w:tab w:val="left" w:pos="1890"/>
        <w:tab w:val="left" w:pos="3510"/>
        <w:tab w:val="left" w:pos="3780"/>
        <w:tab w:val="left" w:pos="6930"/>
        <w:tab w:val="left" w:pos="7650"/>
        <w:tab w:val="left" w:pos="8370"/>
        <w:tab w:val="left" w:pos="9090"/>
        <w:tab w:val="left" w:pos="9810"/>
        <w:tab w:val="left" w:pos="10530"/>
        <w:tab w:val="left" w:pos="11250"/>
        <w:tab w:val="left" w:pos="11970"/>
        <w:tab w:val="left" w:pos="12690"/>
        <w:tab w:val="left" w:pos="13410"/>
        <w:tab w:val="left" w:pos="14130"/>
        <w:tab w:val="left" w:pos="14850"/>
        <w:tab w:val="left" w:pos="15570"/>
        <w:tab w:val="left" w:pos="16290"/>
        <w:tab w:val="left" w:pos="17010"/>
        <w:tab w:val="left" w:pos="17730"/>
        <w:tab w:val="left" w:pos="18450"/>
        <w:tab w:val="left" w:pos="19170"/>
        <w:tab w:val="left" w:pos="19890"/>
        <w:tab w:val="left" w:pos="20610"/>
      </w:tabs>
      <w:ind w:left="1890" w:hanging="1890"/>
    </w:pPr>
    <w:rPr>
      <w:sz w:val="24"/>
    </w:rPr>
  </w:style>
  <w:style w:type="paragraph" w:styleId="Header">
    <w:name w:val="header"/>
    <w:basedOn w:val="Normal"/>
    <w:link w:val="Head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HeaderChar" w:customStyle="1">
    <w:name w:val="Header Char"/>
    <w:link w:val="Header"/>
    <w:uiPriority w:val="99"/>
    <w:semiHidden w:val="1"/>
    <w:rsid w:val="00B05F67"/>
    <w:rPr>
      <w:lang w:eastAsia="ar-SA"/>
    </w:rPr>
  </w:style>
  <w:style w:type="paragraph" w:styleId="Footer">
    <w:name w:val="footer"/>
    <w:basedOn w:val="Normal"/>
    <w:link w:val="Foot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FooterChar" w:customStyle="1">
    <w:name w:val="Footer Char"/>
    <w:link w:val="Footer"/>
    <w:uiPriority w:val="99"/>
    <w:semiHidden w:val="1"/>
    <w:rsid w:val="00B05F67"/>
    <w:rPr>
      <w:lang w:eastAsia="ar-SA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2F77F5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2F77F5"/>
    <w:rPr>
      <w:rFonts w:ascii="Tahoma" w:cs="Tahoma" w:hAnsi="Tahoma"/>
      <w:sz w:val="16"/>
      <w:szCs w:val="16"/>
      <w:lang w:eastAsia="ar-SA"/>
    </w:rPr>
  </w:style>
  <w:style w:type="paragraph" w:styleId="ListParagraph">
    <w:name w:val="List Paragraph"/>
    <w:basedOn w:val="Normal"/>
    <w:uiPriority w:val="34"/>
    <w:qFormat w:val="1"/>
    <w:rsid w:val="007666B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breFranklinMedium-regular.ttf"/><Relationship Id="rId2" Type="http://schemas.openxmlformats.org/officeDocument/2006/relationships/font" Target="fonts/LibreFranklinMedium-bold.ttf"/><Relationship Id="rId3" Type="http://schemas.openxmlformats.org/officeDocument/2006/relationships/font" Target="fonts/LibreFranklinMedium-italic.ttf"/><Relationship Id="rId4" Type="http://schemas.openxmlformats.org/officeDocument/2006/relationships/font" Target="fonts/LibreFranklin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wQON21VGlqyr37YNm+Sc/6psWQ==">CgMxLjA4AHIhMTR2UGFxZjI4YUc3SV9xaUVuM3lROGFxRDhUZkFaVXRp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2012-12-04T03:18:00Z</dcterms:created>
  <dc:creator>Shawn</dc:creator>
</cp:coreProperties>
</file>