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Pre-Listing Comparable Analysis Worksheet</w:t>
      </w:r>
    </w:p>
    <w:p>
      <w:pPr>
        <w:pStyle w:val="Date"/>
      </w:pPr>
      <w:r>
        <w:t xml:space="preserve">[YYYY-MM-DD]</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6" w:name="pre-listing-comparable-analysis"/>
    <w:p>
      <w:pPr>
        <w:pStyle w:val="Heading1"/>
      </w:pPr>
      <w:r>
        <w:t xml:space="preserve">Pre-Listing Comparable Analysis</w:t>
      </w:r>
    </w:p>
    <w:p>
      <w:pPr>
        <w:pStyle w:val="BlockText"/>
      </w:pPr>
      <w:r>
        <w:t xml:space="preserve">A strategic pricing review based on recent local comparable sales.</w:t>
      </w:r>
      <w:r>
        <w:t xml:space="preserve"> </w:t>
      </w:r>
      <w:r>
        <w:rPr>
          <w:i/>
          <w:iCs/>
        </w:rPr>
        <w:t xml:space="preserve">Not a USPAP-compliant appraisal — see disclaimer at end.</w:t>
      </w:r>
    </w:p>
    <w:p>
      <w:pPr>
        <w:pStyle w:val="FirstParagraph"/>
      </w:pPr>
      <w:r>
        <w:rPr>
          <w:b/>
          <w:bCs/>
        </w:rPr>
        <w:t xml:space="preserve">Property:</w:t>
      </w:r>
      <w:r>
        <w:t xml:space="preserve"> </w:t>
      </w:r>
      <w:r>
        <w:t xml:space="preserve">[ADDRESS]</w:t>
      </w:r>
      <w:r>
        <w:t xml:space="preserve"> </w:t>
      </w:r>
      <w:r>
        <w:rPr>
          <w:b/>
          <w:bCs/>
        </w:rPr>
        <w:t xml:space="preserve">Client:</w:t>
      </w:r>
      <w:r>
        <w:t xml:space="preserve"> </w:t>
      </w:r>
      <w:r>
        <w:t xml:space="preserve">[CLIENT NAME]</w:t>
      </w:r>
      <w:r>
        <w:t xml:space="preserve"> </w:t>
      </w:r>
      <w:r>
        <w:rPr>
          <w:b/>
          <w:bCs/>
        </w:rPr>
        <w:t xml:space="preserve">Date prepared:</w:t>
      </w:r>
      <w:r>
        <w:t xml:space="preserve"> </w:t>
      </w:r>
      <w:r>
        <w:t xml:space="preserve">[DATE]</w:t>
      </w:r>
      <w:r>
        <w:t xml:space="preserve"> </w:t>
      </w:r>
      <w:r>
        <w:rPr>
          <w:b/>
          <w:bCs/>
        </w:rPr>
        <w:t xml:space="preserve">Prepared by:</w:t>
      </w:r>
      <w:r>
        <w:t xml:space="preserve"> </w:t>
      </w:r>
      <w:r>
        <w:t xml:space="preserve">Nikki Gergacs · Realtor &amp; GA Certified Residential Appraiser (CR287636)</w:t>
      </w:r>
    </w:p>
    <w:p>
      <w:r>
        <w:pict>
          <v:rect style="width:0;height:1.5pt" o:hralign="center" o:hrstd="t" o:hr="t"/>
        </w:pict>
      </w:r>
    </w:p>
    <w:bookmarkStart w:id="9" w:name="subject-property-snapshot"/>
    <w:p>
      <w:pPr>
        <w:pStyle w:val="Heading2"/>
      </w:pPr>
      <w:r>
        <w:t xml:space="preserve">Subject property snapshot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Address</w:t>
            </w:r>
          </w:p>
        </w:tc>
        <w:tc>
          <w:tcPr/>
          <w:p>
            <w:pPr>
              <w:pStyle w:val="Compact"/>
            </w:pPr>
            <w:r>
              <w:t xml:space="preserve">[ADDRESS]</w:t>
            </w:r>
          </w:p>
        </w:tc>
      </w:tr>
      <w:tr>
        <w:tc>
          <w:tcPr/>
          <w:p>
            <w:pPr>
              <w:pStyle w:val="Compact"/>
            </w:pPr>
            <w:r>
              <w:t xml:space="preserve">Neighborhood</w:t>
            </w:r>
          </w:p>
        </w:tc>
        <w:tc>
          <w:tcPr/>
          <w:p>
            <w:pPr>
              <w:pStyle w:val="Compact"/>
            </w:pPr>
            <w:r>
              <w:t xml:space="preserve">[NEIGHBORHOOD]</w:t>
            </w:r>
          </w:p>
        </w:tc>
      </w:tr>
      <w:tr>
        <w:tc>
          <w:tcPr/>
          <w:p>
            <w:pPr>
              <w:pStyle w:val="Compact"/>
            </w:pPr>
            <w:r>
              <w:t xml:space="preserve">County</w:t>
            </w:r>
          </w:p>
        </w:tc>
        <w:tc>
          <w:tcPr/>
          <w:p>
            <w:pPr>
              <w:pStyle w:val="Compact"/>
            </w:pPr>
            <w:r>
              <w:t xml:space="preserve">[Chatham / Bryan / Effingham]</w:t>
            </w:r>
          </w:p>
        </w:tc>
      </w:tr>
      <w:tr>
        <w:tc>
          <w:tcPr/>
          <w:p>
            <w:pPr>
              <w:pStyle w:val="Compact"/>
            </w:pPr>
            <w:r>
              <w:t xml:space="preserve">Year built</w:t>
            </w:r>
          </w:p>
        </w:tc>
        <w:tc>
          <w:tcPr/>
          <w:p>
            <w:pPr>
              <w:pStyle w:val="Compact"/>
            </w:pPr>
            <w:r>
              <w:t xml:space="preserve">[YYYY]</w:t>
            </w:r>
          </w:p>
        </w:tc>
      </w:tr>
      <w:tr>
        <w:tc>
          <w:tcPr/>
          <w:p>
            <w:pPr>
              <w:pStyle w:val="Compact"/>
            </w:pPr>
            <w:r>
              <w:t xml:space="preserve">GLA (sqft)</w:t>
            </w:r>
          </w:p>
        </w:tc>
        <w:tc>
          <w:tcPr/>
          <w:p>
            <w:pPr>
              <w:pStyle w:val="Compact"/>
            </w:pPr>
            <w:r>
              <w:t xml:space="preserve">[###]</w:t>
            </w:r>
          </w:p>
        </w:tc>
      </w:tr>
      <w:tr>
        <w:tc>
          <w:tcPr/>
          <w:p>
            <w:pPr>
              <w:pStyle w:val="Compact"/>
            </w:pPr>
            <w:r>
              <w:t xml:space="preserve">Lot size</w:t>
            </w:r>
          </w:p>
        </w:tc>
        <w:tc>
          <w:tcPr/>
          <w:p>
            <w:pPr>
              <w:pStyle w:val="Compact"/>
            </w:pPr>
            <w:r>
              <w:t xml:space="preserve">[### acres / sqft]</w:t>
            </w:r>
          </w:p>
        </w:tc>
      </w:tr>
      <w:tr>
        <w:tc>
          <w:tcPr/>
          <w:p>
            <w:pPr>
              <w:pStyle w:val="Compact"/>
            </w:pPr>
            <w:r>
              <w:t xml:space="preserve">Bedrooms / Bathrooms</w:t>
            </w:r>
          </w:p>
        </w:tc>
        <w:tc>
          <w:tcPr/>
          <w:p>
            <w:pPr>
              <w:pStyle w:val="Compact"/>
            </w:pPr>
            <w:r>
              <w:t xml:space="preserve">[B / b]</w:t>
            </w:r>
          </w:p>
        </w:tc>
      </w:tr>
      <w:tr>
        <w:tc>
          <w:tcPr/>
          <w:p>
            <w:pPr>
              <w:pStyle w:val="Compact"/>
            </w:pPr>
            <w:r>
              <w:t xml:space="preserve">Garage</w:t>
            </w:r>
          </w:p>
        </w:tc>
        <w:tc>
          <w:tcPr/>
          <w:p>
            <w:pPr>
              <w:pStyle w:val="Compact"/>
            </w:pPr>
            <w:r>
              <w:t xml:space="preserve">[#-car / none]</w:t>
            </w:r>
          </w:p>
        </w:tc>
      </w:tr>
      <w:tr>
        <w:tc>
          <w:tcPr/>
          <w:p>
            <w:pPr>
              <w:pStyle w:val="Compact"/>
            </w:pPr>
            <w:r>
              <w:t xml:space="preserve">Basement</w:t>
            </w:r>
          </w:p>
        </w:tc>
        <w:tc>
          <w:tcPr/>
          <w:p>
            <w:pPr>
              <w:pStyle w:val="Compact"/>
            </w:pPr>
            <w:r>
              <w:t xml:space="preserve">[None / unfinished / finished partial / finished full]</w:t>
            </w:r>
          </w:p>
        </w:tc>
      </w:tr>
      <w:tr>
        <w:tc>
          <w:tcPr/>
          <w:p>
            <w:pPr>
              <w:pStyle w:val="Compact"/>
            </w:pPr>
            <w:r>
              <w:t xml:space="preserve">Pool</w:t>
            </w:r>
          </w:p>
        </w:tc>
        <w:tc>
          <w:tcPr/>
          <w:p>
            <w:pPr>
              <w:pStyle w:val="Compact"/>
            </w:pPr>
            <w:r>
              <w:t xml:space="preserve">[Y / N]</w:t>
            </w:r>
          </w:p>
        </w:tc>
      </w:tr>
      <w:tr>
        <w:tc>
          <w:tcPr/>
          <w:p>
            <w:pPr>
              <w:pStyle w:val="Compact"/>
            </w:pPr>
            <w:r>
              <w:t xml:space="preserve">Waterfront</w:t>
            </w:r>
          </w:p>
        </w:tc>
        <w:tc>
          <w:tcPr/>
          <w:p>
            <w:pPr>
              <w:pStyle w:val="Compact"/>
            </w:pPr>
            <w:r>
              <w:t xml:space="preserve">[None / marsh / river / deepwater dock]</w:t>
            </w:r>
          </w:p>
        </w:tc>
      </w:tr>
      <w:tr>
        <w:tc>
          <w:tcPr/>
          <w:p>
            <w:pPr>
              <w:pStyle w:val="Compact"/>
            </w:pPr>
            <w:r>
              <w:t xml:space="preserve">Condition rating (C1-C6)</w:t>
            </w:r>
          </w:p>
        </w:tc>
        <w:tc>
          <w:tcPr/>
          <w:p>
            <w:pPr>
              <w:pStyle w:val="Compact"/>
            </w:pPr>
            <w:r>
              <w:t xml:space="preserve">[C#]</w:t>
            </w:r>
          </w:p>
        </w:tc>
      </w:tr>
      <w:tr>
        <w:tc>
          <w:tcPr/>
          <w:p>
            <w:pPr>
              <w:pStyle w:val="Compact"/>
            </w:pPr>
            <w:r>
              <w:t xml:space="preserve">Quality rating (Q1-Q6)</w:t>
            </w:r>
          </w:p>
        </w:tc>
        <w:tc>
          <w:tcPr/>
          <w:p>
            <w:pPr>
              <w:pStyle w:val="Compact"/>
            </w:pPr>
            <w:r>
              <w:t xml:space="preserve">[Q#]</w:t>
            </w:r>
          </w:p>
        </w:tc>
      </w:tr>
      <w:tr>
        <w:tc>
          <w:tcPr/>
          <w:p>
            <w:pPr>
              <w:pStyle w:val="Compact"/>
            </w:pPr>
            <w:r>
              <w:t xml:space="preserve">Major recent updates</w:t>
            </w:r>
          </w:p>
        </w:tc>
        <w:tc>
          <w:tcPr/>
          <w:p>
            <w:pPr>
              <w:pStyle w:val="Compact"/>
            </w:pPr>
            <w:r>
              <w:t xml:space="preserve">[list with year]</w:t>
            </w:r>
          </w:p>
        </w:tc>
      </w:tr>
      <w:tr>
        <w:tc>
          <w:tcPr/>
          <w:p>
            <w:pPr>
              <w:pStyle w:val="Compact"/>
            </w:pPr>
            <w:r>
              <w:t xml:space="preserve">FEMA flood zone</w:t>
            </w:r>
          </w:p>
        </w:tc>
        <w:tc>
          <w:tcPr/>
          <w:p>
            <w:pPr>
              <w:pStyle w:val="Compact"/>
            </w:pPr>
            <w:r>
              <w:t xml:space="preserve">[X / AE / VE]</w:t>
            </w:r>
          </w:p>
        </w:tc>
      </w:tr>
      <w:tr>
        <w:tc>
          <w:tcPr/>
          <w:p>
            <w:pPr>
              <w:pStyle w:val="Compact"/>
            </w:pPr>
            <w:r>
              <w:t xml:space="preserve">Special features</w:t>
            </w:r>
          </w:p>
        </w:tc>
        <w:tc>
          <w:tcPr/>
          <w:p>
            <w:pPr>
              <w:pStyle w:val="Compact"/>
            </w:pPr>
            <w:r>
              <w:t xml:space="preserve">[list — period detail, custom finishes, etc.]</w:t>
            </w:r>
          </w:p>
        </w:tc>
      </w:tr>
    </w:tbl>
    <w:p>
      <w:r>
        <w:pict>
          <v:rect style="width:0;height:1.5pt" o:hralign="center" o:hrstd="t" o:hr="t"/>
        </w:pict>
      </w:r>
    </w:p>
    <w:bookmarkEnd w:id="9"/>
    <w:bookmarkStart w:id="10" w:name="recent-comparable-sales"/>
    <w:p>
      <w:pPr>
        <w:pStyle w:val="Heading2"/>
      </w:pPr>
      <w:r>
        <w:t xml:space="preserve">Recent comparable sales</w:t>
      </w:r>
    </w:p>
    <w:p>
      <w:pPr>
        <w:pStyle w:val="FirstParagraph"/>
      </w:pPr>
      <w:r>
        <w:t xml:space="preserve">Select 5-8 comparables. Same neighborhood, similar style, similar GLA, similar age, sold within last 6 months.</w:t>
      </w:r>
    </w:p>
    <w:tbl>
      <w:tblPr>
        <w:tblStyle w:val="Table"/>
        <w:tblW w:type="pct" w:w="5000"/>
        <w:tblLayout w:type="fixed"/>
        <w:tblLook w:firstRow="1" w:lastRow="0" w:firstColumn="0" w:lastColumn="0" w:noHBand="0" w:noVBand="0" w:val="0020"/>
      </w:tblPr>
      <w:tblGrid>
        <w:gridCol w:w="633"/>
        <w:gridCol w:w="950"/>
        <w:gridCol w:w="844"/>
        <w:gridCol w:w="1161"/>
        <w:gridCol w:w="528"/>
        <w:gridCol w:w="739"/>
        <w:gridCol w:w="633"/>
        <w:gridCol w:w="1161"/>
        <w:gridCol w:w="528"/>
        <w:gridCol w:w="739"/>
      </w:tblGrid>
      <w:tr>
        <w:trPr>
          <w:tblHeader w:val="on"/>
        </w:trPr>
        <w:tc>
          <w:tcPr/>
          <w:p>
            <w:pPr>
              <w:pStyle w:val="Compact"/>
            </w:pPr>
            <w:r>
              <w:t xml:space="preserve">Comp</w:t>
            </w:r>
          </w:p>
        </w:tc>
        <w:tc>
          <w:tcPr/>
          <w:p>
            <w:pPr>
              <w:pStyle w:val="Compact"/>
            </w:pPr>
            <w:r>
              <w:t xml:space="preserve">Address</w:t>
            </w:r>
          </w:p>
        </w:tc>
        <w:tc>
          <w:tcPr/>
          <w:p>
            <w:pPr>
              <w:pStyle w:val="Compact"/>
            </w:pPr>
            <w:r>
              <w:t xml:space="preserve">Sold $</w:t>
            </w:r>
          </w:p>
        </w:tc>
        <w:tc>
          <w:tcPr/>
          <w:p>
            <w:pPr>
              <w:pStyle w:val="Compact"/>
            </w:pPr>
            <w:r>
              <w:t xml:space="preserve">Sold date</w:t>
            </w:r>
          </w:p>
        </w:tc>
        <w:tc>
          <w:tcPr/>
          <w:p>
            <w:pPr>
              <w:pStyle w:val="Compact"/>
            </w:pPr>
            <w:r>
              <w:t xml:space="preserve">GLA</w:t>
            </w:r>
          </w:p>
        </w:tc>
        <w:tc>
          <w:tcPr/>
          <w:p>
            <w:pPr>
              <w:pStyle w:val="Compact"/>
            </w:pPr>
            <w:r>
              <w:t xml:space="preserve">Bd/Ba</w:t>
            </w:r>
          </w:p>
        </w:tc>
        <w:tc>
          <w:tcPr/>
          <w:p>
            <w:pPr>
              <w:pStyle w:val="Compact"/>
            </w:pPr>
            <w:r>
              <w:t xml:space="preserve">Year</w:t>
            </w:r>
          </w:p>
        </w:tc>
        <w:tc>
          <w:tcPr/>
          <w:p>
            <w:pPr>
              <w:pStyle w:val="Compact"/>
            </w:pPr>
            <w:r>
              <w:t xml:space="preserve">Condition</w:t>
            </w:r>
          </w:p>
        </w:tc>
        <w:tc>
          <w:tcPr/>
          <w:p>
            <w:pPr>
              <w:pStyle w:val="Compact"/>
            </w:pPr>
            <w:r>
              <w:t xml:space="preserve">Lot</w:t>
            </w:r>
          </w:p>
        </w:tc>
        <w:tc>
          <w:tcPr/>
          <w:p>
            <w:pPr>
              <w:pStyle w:val="Compact"/>
            </w:pPr>
            <w:r>
              <w:t xml:space="preserve">Notes</w:t>
            </w:r>
          </w:p>
        </w:tc>
      </w:tr>
      <w:tr>
        <w:tc>
          <w:tcPr/>
          <w:p>
            <w:pPr>
              <w:pStyle w:val="Compact"/>
            </w:pPr>
            <w:r>
              <w:t xml:space="preserve">1</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2</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3</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4</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5</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r>
        <w:pict>
          <v:rect style="width:0;height:1.5pt" o:hralign="center" o:hrstd="t" o:hr="t"/>
        </w:pict>
      </w:r>
    </w:p>
    <w:bookmarkEnd w:id="10"/>
    <w:bookmarkStart w:id="11" w:name="adjustments-grid"/>
    <w:p>
      <w:pPr>
        <w:pStyle w:val="Heading2"/>
      </w:pPr>
      <w:r>
        <w:t xml:space="preserve">Adjustments grid</w:t>
      </w:r>
    </w:p>
    <w:p>
      <w:pPr>
        <w:pStyle w:val="FirstParagraph"/>
      </w:pPr>
      <w:r>
        <w:t xml:space="preserve">For each comparable, apply paired-sales-supported adjustments where the comp differs from the subject.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Adjustment factor</w:t>
            </w:r>
          </w:p>
        </w:tc>
        <w:tc>
          <w:tcPr/>
          <w:p>
            <w:pPr>
              <w:pStyle w:val="Compact"/>
            </w:pPr>
            <w:r>
              <w:t xml:space="preserve">Comp 1</w:t>
            </w:r>
          </w:p>
        </w:tc>
        <w:tc>
          <w:tcPr/>
          <w:p>
            <w:pPr>
              <w:pStyle w:val="Compact"/>
            </w:pPr>
            <w:r>
              <w:t xml:space="preserve">Comp 2</w:t>
            </w:r>
          </w:p>
        </w:tc>
        <w:tc>
          <w:tcPr/>
          <w:p>
            <w:pPr>
              <w:pStyle w:val="Compact"/>
            </w:pPr>
            <w:r>
              <w:t xml:space="preserve">Comp 3</w:t>
            </w:r>
          </w:p>
        </w:tc>
        <w:tc>
          <w:tcPr/>
          <w:p>
            <w:pPr>
              <w:pStyle w:val="Compact"/>
            </w:pPr>
            <w:r>
              <w:t xml:space="preserve">Comp 4</w:t>
            </w:r>
          </w:p>
        </w:tc>
        <w:tc>
          <w:tcPr/>
          <w:p>
            <w:pPr>
              <w:pStyle w:val="Compact"/>
            </w:pPr>
            <w:r>
              <w:t xml:space="preserve">Comp 5</w:t>
            </w:r>
          </w:p>
        </w:tc>
      </w:tr>
      <w:tr>
        <w:tc>
          <w:tcPr/>
          <w:p>
            <w:pPr>
              <w:pStyle w:val="Compact"/>
            </w:pPr>
            <w:r>
              <w:t xml:space="preserve">Time / market trend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GLA difference ($/sf)</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Bath count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Garage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Lot size / view</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Condition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Quality / updates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Other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Total adjustment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Adjusted price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r>
        <w:pict>
          <v:rect style="width:0;height:1.5pt" o:hralign="center" o:hrstd="t" o:hr="t"/>
        </w:pict>
      </w:r>
    </w:p>
    <w:bookmarkEnd w:id="11"/>
    <w:bookmarkStart w:id="14" w:name="reconciliation"/>
    <w:p>
      <w:pPr>
        <w:pStyle w:val="Heading2"/>
      </w:pPr>
      <w:r>
        <w:t xml:space="preserve">Reconciliation</w:t>
      </w:r>
    </w:p>
    <w:bookmarkStart w:id="12" w:name="indicated-comparable-bracket"/>
    <w:p>
      <w:pPr>
        <w:pStyle w:val="Heading3"/>
      </w:pPr>
      <w:r>
        <w:t xml:space="preserve">Indicated comparable bracket</w:t>
      </w:r>
    </w:p>
    <w:p>
      <w:pPr>
        <w:pStyle w:val="FirstParagraph"/>
      </w:pPr>
      <w:r>
        <w:rPr>
          <w:b/>
          <w:bCs/>
        </w:rPr>
        <w:t xml:space="preserve">Adjusted range:</w:t>
      </w:r>
      <w:r>
        <w:t xml:space="preserve"> </w:t>
      </w:r>
      <w:r>
        <w:t xml:space="preserve">$[LOW] – $[HIGH]</w:t>
      </w:r>
      <w:r>
        <w:t xml:space="preserve"> </w:t>
      </w:r>
      <w:r>
        <w:rPr>
          <w:b/>
          <w:bCs/>
        </w:rPr>
        <w:t xml:space="preserve">Most weight given to:</w:t>
      </w:r>
      <w:r>
        <w:t xml:space="preserve"> </w:t>
      </w:r>
      <w:r>
        <w:t xml:space="preserve">Comp # — [reason: similar GLA, same subdivision, recent close, minimal adjustments]</w:t>
      </w:r>
    </w:p>
    <w:bookmarkEnd w:id="12"/>
    <w:bookmarkStart w:id="13" w:name="X8b98fe8724477e4f62077bb7d1322cf73572974"/>
    <w:p>
      <w:pPr>
        <w:pStyle w:val="Heading3"/>
      </w:pPr>
      <w:r>
        <w:t xml:space="preserve">Where the subject positions in the bracket</w:t>
      </w:r>
    </w:p>
    <w:p>
      <w:pPr>
        <w:pStyle w:val="FirstParagraph"/>
      </w:pPr>
      <w:r>
        <w:t xml:space="preserve">[ ] Top of bracket — supports</w:t>
      </w:r>
      <w:r>
        <w:t xml:space="preserve"> </w:t>
      </w:r>
      <w:r>
        <w:t xml:space="preserve">[ ] Mid bracket — supports</w:t>
      </w:r>
      <w:r>
        <w:t xml:space="preserve"> </w:t>
      </w:r>
      <w:r>
        <w:t xml:space="preserve">[ ] Lower bracket — supports</w:t>
      </w:r>
    </w:p>
    <w:p>
      <w:pPr>
        <w:pStyle w:val="BodyText"/>
      </w:pPr>
      <w:r>
        <w:rPr>
          <w:b/>
          <w:bCs/>
        </w:rPr>
        <w:t xml:space="preserve">Rationale:</w:t>
      </w:r>
      <w:r>
        <w:t xml:space="preserve"> </w:t>
      </w:r>
      <w:r>
        <w:t xml:space="preserve">[1-3 sentences explaining where in the range and why — features that elevate, conditions that pull down, market signals]</w:t>
      </w:r>
    </w:p>
    <w:p>
      <w:r>
        <w:pict>
          <v:rect style="width:0;height:1.5pt" o:hralign="center" o:hrstd="t" o:hr="t"/>
        </w:pict>
      </w:r>
    </w:p>
    <w:bookmarkEnd w:id="13"/>
    <w:bookmarkEnd w:id="14"/>
    <w:bookmarkStart w:id="19" w:name="listing-strategy-recommendation"/>
    <w:p>
      <w:pPr>
        <w:pStyle w:val="Heading2"/>
      </w:pPr>
      <w:r>
        <w:t xml:space="preserve">Listing strategy recommendation</w:t>
      </w:r>
    </w:p>
    <w:bookmarkStart w:id="15" w:name="suggested-list-price-entry-number"/>
    <w:p>
      <w:pPr>
        <w:pStyle w:val="Heading3"/>
      </w:pPr>
      <w:r>
        <w:t xml:space="preserve">Suggested list price entry: $[NUMBER]</w:t>
      </w:r>
    </w:p>
    <w:bookmarkEnd w:id="15"/>
    <w:bookmarkStart w:id="16" w:name="why-this-number"/>
    <w:p>
      <w:pPr>
        <w:pStyle w:val="Heading3"/>
      </w:pPr>
      <w:r>
        <w:t xml:space="preserve">Why this number</w:t>
      </w:r>
    </w:p>
    <w:p>
      <w:pPr>
        <w:pStyle w:val="FirstParagraph"/>
      </w:pPr>
      <w:r>
        <w:t xml:space="preserve">[2-4 sentences. Specific reference to comparable bracket, specific to subject’s position in the bracket, specific to current market velocity.]</w:t>
      </w:r>
    </w:p>
    <w:bookmarkEnd w:id="16"/>
    <w:bookmarkStart w:id="17" w:name="pre-list-prep-recommendations"/>
    <w:p>
      <w:pPr>
        <w:pStyle w:val="Heading3"/>
      </w:pPr>
      <w:r>
        <w:t xml:space="preserve">Pre-list prep recommendations</w:t>
      </w:r>
    </w:p>
    <w:p>
      <w:pPr>
        <w:pStyle w:val="FirstParagraph"/>
      </w:pPr>
      <w:r>
        <w:t xml:space="preserve">Worth doing (will move bracket up):</w:t>
      </w:r>
      <w:r>
        <w:t xml:space="preserve"> </w:t>
      </w:r>
      <w:r>
        <w:t xml:space="preserve">- [ ] [item — e.g., paint front door / repaint primary bath / professional photos / staging at $X budget]</w:t>
      </w:r>
      <w:r>
        <w:t xml:space="preserve"> </w:t>
      </w:r>
      <w:r>
        <w:t xml:space="preserve">- [ ] [item]</w:t>
      </w:r>
      <w:r>
        <w:t xml:space="preserve"> </w:t>
      </w:r>
      <w:r>
        <w:t xml:space="preserve">- [ ] [item]</w:t>
      </w:r>
    </w:p>
    <w:p>
      <w:pPr>
        <w:pStyle w:val="BodyText"/>
      </w:pPr>
      <w:r>
        <w:t xml:space="preserve">NOT worth doing (will not be supported by comparables):</w:t>
      </w:r>
      <w:r>
        <w:t xml:space="preserve"> </w:t>
      </w:r>
      <w:r>
        <w:t xml:space="preserve">- [ ] [item — e.g., kitchen remodel / pool addition / additional bath / unpermitted finished space]</w:t>
      </w:r>
      <w:r>
        <w:t xml:space="preserve"> </w:t>
      </w:r>
      <w:r>
        <w:t xml:space="preserve">- [ ] [item]</w:t>
      </w:r>
    </w:p>
    <w:bookmarkEnd w:id="17"/>
    <w:bookmarkStart w:id="18" w:name="expected-absorption-window"/>
    <w:p>
      <w:pPr>
        <w:pStyle w:val="Heading3"/>
      </w:pPr>
      <w:r>
        <w:t xml:space="preserve">Expected absorption window</w:t>
      </w:r>
    </w:p>
    <w:p>
      <w:pPr>
        <w:pStyle w:val="FirstParagraph"/>
      </w:pPr>
      <w:r>
        <w:t xml:space="preserve">Based on neighborhood velocity at this entry price:</w:t>
      </w:r>
      <w:r>
        <w:t xml:space="preserve"> </w:t>
      </w:r>
      <w:r>
        <w:t xml:space="preserve">-</w:t>
      </w:r>
      <w:r>
        <w:t xml:space="preserve"> </w:t>
      </w:r>
      <w:r>
        <w:rPr>
          <w:b/>
          <w:bCs/>
        </w:rPr>
        <w:t xml:space="preserve">Best case:</w:t>
      </w:r>
      <w:r>
        <w:t xml:space="preserve"> </w:t>
      </w:r>
      <w:r>
        <w:t xml:space="preserve">[# days] (well-priced, well-photographed, well-marketed)</w:t>
      </w:r>
      <w:r>
        <w:t xml:space="preserve"> </w:t>
      </w:r>
      <w:r>
        <w:t xml:space="preserve">-</w:t>
      </w:r>
      <w:r>
        <w:t xml:space="preserve"> </w:t>
      </w:r>
      <w:r>
        <w:rPr>
          <w:b/>
          <w:bCs/>
        </w:rPr>
        <w:t xml:space="preserve">Likely case:</w:t>
      </w:r>
      <w:r>
        <w:t xml:space="preserve"> </w:t>
      </w:r>
      <w:r>
        <w:t xml:space="preserve">[# days]</w:t>
      </w:r>
      <w:r>
        <w:t xml:space="preserve"> </w:t>
      </w:r>
      <w:r>
        <w:t xml:space="preserve">-</w:t>
      </w:r>
      <w:r>
        <w:t xml:space="preserve"> </w:t>
      </w:r>
      <w:r>
        <w:rPr>
          <w:b/>
          <w:bCs/>
        </w:rPr>
        <w:t xml:space="preserve">Worst case:</w:t>
      </w:r>
      <w:r>
        <w:t xml:space="preserve"> </w:t>
      </w:r>
      <w:r>
        <w:t xml:space="preserve">[# days] (priced at top of bracket, slower-moving season)</w:t>
      </w:r>
    </w:p>
    <w:p>
      <w:r>
        <w:pict>
          <v:rect style="width:0;height:1.5pt" o:hralign="center" o:hrstd="t" o:hr="t"/>
        </w:pict>
      </w:r>
    </w:p>
    <w:bookmarkEnd w:id="18"/>
    <w:bookmarkEnd w:id="19"/>
    <w:bookmarkStart w:id="23" w:name="X289ef248ceba627533944f052c64d17357ee322"/>
    <w:p>
      <w:pPr>
        <w:pStyle w:val="Heading2"/>
      </w:pPr>
      <w:r>
        <w:t xml:space="preserve">Marketing plan (if listed with Gergacs Realty)</w:t>
      </w:r>
    </w:p>
    <w:bookmarkStart w:id="20" w:name="channels-weeks-1-2"/>
    <w:p>
      <w:pPr>
        <w:pStyle w:val="Heading3"/>
      </w:pPr>
      <w:r>
        <w:t xml:space="preserve">Channels (weeks 1-2)</w:t>
      </w:r>
    </w:p>
    <w:p>
      <w:pPr>
        <w:pStyle w:val="Compact"/>
        <w:numPr>
          <w:ilvl w:val="0"/>
          <w:numId w:val="1001"/>
        </w:numPr>
      </w:pPr>
      <w:r>
        <w:t xml:space="preserve">MLS / iHomefinder feature listing</w:t>
      </w:r>
    </w:p>
    <w:p>
      <w:pPr>
        <w:pStyle w:val="Compact"/>
        <w:numPr>
          <w:ilvl w:val="0"/>
          <w:numId w:val="1002"/>
        </w:numPr>
      </w:pPr>
      <w:r>
        <w:t xml:space="preserve">WordPress blog post</w:t>
      </w:r>
    </w:p>
    <w:p>
      <w:pPr>
        <w:pStyle w:val="Compact"/>
        <w:numPr>
          <w:ilvl w:val="0"/>
          <w:numId w:val="1003"/>
        </w:numPr>
      </w:pPr>
      <w:r>
        <w:t xml:space="preserve">IG carousel + Reel</w:t>
      </w:r>
    </w:p>
    <w:p>
      <w:pPr>
        <w:pStyle w:val="Compact"/>
        <w:numPr>
          <w:ilvl w:val="0"/>
          <w:numId w:val="1004"/>
        </w:numPr>
      </w:pPr>
      <w:r>
        <w:t xml:space="preserve">Facebook native upload</w:t>
      </w:r>
    </w:p>
    <w:p>
      <w:pPr>
        <w:pStyle w:val="Compact"/>
        <w:numPr>
          <w:ilvl w:val="0"/>
          <w:numId w:val="1005"/>
        </w:numPr>
      </w:pPr>
      <w:r>
        <w:t xml:space="preserve">BoldTrail email blast to saved-search-match contacts in [neighborhood]</w:t>
      </w:r>
    </w:p>
    <w:p>
      <w:pPr>
        <w:pStyle w:val="Compact"/>
        <w:numPr>
          <w:ilvl w:val="0"/>
          <w:numId w:val="1006"/>
        </w:numPr>
      </w:pPr>
      <w:r>
        <w:t xml:space="preserve">YouTube short walkthrough</w:t>
      </w:r>
    </w:p>
    <w:p>
      <w:pPr>
        <w:pStyle w:val="Compact"/>
        <w:numPr>
          <w:ilvl w:val="0"/>
          <w:numId w:val="1007"/>
        </w:numPr>
      </w:pPr>
      <w:r>
        <w:t xml:space="preserve">TikTok cross-post via Repurpose.io</w:t>
      </w:r>
    </w:p>
    <w:p>
      <w:pPr>
        <w:pStyle w:val="Compact"/>
        <w:numPr>
          <w:ilvl w:val="0"/>
          <w:numId w:val="1008"/>
        </w:numPr>
      </w:pPr>
      <w:r>
        <w:t xml:space="preserve">One-page printed flyer (for showings + open house)</w:t>
      </w:r>
    </w:p>
    <w:bookmarkEnd w:id="20"/>
    <w:bookmarkStart w:id="21" w:name="photography-direction"/>
    <w:p>
      <w:pPr>
        <w:pStyle w:val="Heading3"/>
      </w:pPr>
      <w:r>
        <w:t xml:space="preserve">Photography direction</w:t>
      </w:r>
    </w:p>
    <w:p>
      <w:pPr>
        <w:pStyle w:val="Compact"/>
        <w:numPr>
          <w:ilvl w:val="0"/>
          <w:numId w:val="1009"/>
        </w:numPr>
      </w:pPr>
      <w:r>
        <w:t xml:space="preserve">Editorial Savannah style (soft natural light, asymmetrical, lifestyle-in-frame)</w:t>
      </w:r>
    </w:p>
    <w:p>
      <w:pPr>
        <w:pStyle w:val="Compact"/>
        <w:numPr>
          <w:ilvl w:val="0"/>
          <w:numId w:val="1010"/>
        </w:numPr>
      </w:pPr>
      <w:r>
        <w:t xml:space="preserve">Hero exterior + 4 interior money shots minimum</w:t>
      </w:r>
    </w:p>
    <w:p>
      <w:pPr>
        <w:pStyle w:val="Compact"/>
        <w:numPr>
          <w:ilvl w:val="0"/>
          <w:numId w:val="1011"/>
        </w:numPr>
      </w:pPr>
      <w:r>
        <w:t xml:space="preserve">Drone (if waterfront / acreage / architectural)</w:t>
      </w:r>
    </w:p>
    <w:p>
      <w:pPr>
        <w:pStyle w:val="Compact"/>
        <w:numPr>
          <w:ilvl w:val="0"/>
          <w:numId w:val="1012"/>
        </w:numPr>
      </w:pPr>
      <w:r>
        <w:t xml:space="preserve">Twilight shot if architecturally interesting</w:t>
      </w:r>
    </w:p>
    <w:bookmarkEnd w:id="21"/>
    <w:bookmarkStart w:id="22" w:name="open-house-cadence"/>
    <w:p>
      <w:pPr>
        <w:pStyle w:val="Heading3"/>
      </w:pPr>
      <w:r>
        <w:t xml:space="preserve">Open house cadence</w:t>
      </w:r>
    </w:p>
    <w:p>
      <w:pPr>
        <w:pStyle w:val="Compact"/>
        <w:numPr>
          <w:ilvl w:val="0"/>
          <w:numId w:val="1013"/>
        </w:numPr>
      </w:pPr>
      <w:r>
        <w:t xml:space="preserve">Weekend 1: open house Saturday 11am-1pm</w:t>
      </w:r>
    </w:p>
    <w:p>
      <w:pPr>
        <w:pStyle w:val="Compact"/>
        <w:numPr>
          <w:ilvl w:val="0"/>
          <w:numId w:val="1014"/>
        </w:numPr>
      </w:pPr>
      <w:r>
        <w:t xml:space="preserve">Weekend 3 if not under contract: open house Sunday 1-3pm</w:t>
      </w:r>
    </w:p>
    <w:p>
      <w:r>
        <w:pict>
          <v:rect style="width:0;height:1.5pt" o:hralign="center" o:hrstd="t" o:hr="t"/>
        </w:pict>
      </w:r>
    </w:p>
    <w:bookmarkEnd w:id="22"/>
    <w:bookmarkEnd w:id="23"/>
    <w:bookmarkStart w:id="24" w:name="next-steps-for-client"/>
    <w:p>
      <w:pPr>
        <w:pStyle w:val="Heading2"/>
      </w:pPr>
      <w:r>
        <w:t xml:space="preserve">Next steps for client</w:t>
      </w:r>
    </w:p>
    <w:p>
      <w:pPr>
        <w:pStyle w:val="Compact"/>
        <w:numPr>
          <w:ilvl w:val="0"/>
          <w:numId w:val="1015"/>
        </w:numPr>
      </w:pPr>
      <w:r>
        <w:t xml:space="preserve">Review this analysis. Note questions for our follow-up call.</w:t>
      </w:r>
    </w:p>
    <w:p>
      <w:pPr>
        <w:pStyle w:val="Compact"/>
        <w:numPr>
          <w:ilvl w:val="0"/>
          <w:numId w:val="1015"/>
        </w:numPr>
      </w:pPr>
      <w:r>
        <w:t xml:space="preserve">Decide on listing strategy (proceed / pause / prep first).</w:t>
      </w:r>
    </w:p>
    <w:p>
      <w:pPr>
        <w:pStyle w:val="Compact"/>
        <w:numPr>
          <w:ilvl w:val="0"/>
          <w:numId w:val="1015"/>
        </w:numPr>
      </w:pPr>
      <w:r>
        <w:t xml:space="preserve">Schedule listing photography if proceeding.</w:t>
      </w:r>
    </w:p>
    <w:p>
      <w:pPr>
        <w:pStyle w:val="Compact"/>
        <w:numPr>
          <w:ilvl w:val="0"/>
          <w:numId w:val="1015"/>
        </w:numPr>
      </w:pPr>
      <w:r>
        <w:t xml:space="preserve">Sign listing agreement (Gergacs Realty / Next Move Real Estate).</w:t>
      </w:r>
    </w:p>
    <w:p>
      <w:r>
        <w:pict>
          <v:rect style="width:0;height:1.5pt" o:hralign="center" o:hrstd="t" o:hr="t"/>
        </w:pict>
      </w:r>
    </w:p>
    <w:bookmarkEnd w:id="24"/>
    <w:bookmarkStart w:id="25" w:name="disclaimer"/>
    <w:p>
      <w:pPr>
        <w:pStyle w:val="Heading2"/>
      </w:pPr>
      <w:r>
        <w:t xml:space="preserve">DISCLAIMER</w:t>
      </w:r>
    </w:p>
    <w:p>
      <w:pPr>
        <w:pStyle w:val="FirstParagraph"/>
      </w:pPr>
      <w:r>
        <w:t xml:space="preserve">This document is a strategic pre-listing comparable analysis prepared by Nikki Gergacs in her capacity as a Realtor for the purpose of informing listing pricing strategy. It is</w:t>
      </w:r>
      <w:r>
        <w:t xml:space="preserve"> </w:t>
      </w:r>
      <w:r>
        <w:rPr>
          <w:b/>
          <w:bCs/>
        </w:rPr>
        <w:t xml:space="preserve">not</w:t>
      </w:r>
      <w:r>
        <w:t xml:space="preserve"> </w:t>
      </w:r>
      <w:r>
        <w:t xml:space="preserve">a USPAP-compliant appraisal report and should</w:t>
      </w:r>
      <w:r>
        <w:t xml:space="preserve"> </w:t>
      </w:r>
      <w:r>
        <w:rPr>
          <w:b/>
          <w:bCs/>
        </w:rPr>
        <w:t xml:space="preserve">not</w:t>
      </w:r>
      <w:r>
        <w:t xml:space="preserve"> </w:t>
      </w:r>
      <w:r>
        <w:t xml:space="preserve">be relied upon for lending, estate, divorce, tax-appeal, or other USPAP-required uses.</w:t>
      </w:r>
    </w:p>
    <w:p>
      <w:pPr>
        <w:pStyle w:val="BodyText"/>
      </w:pPr>
      <w:r>
        <w:t xml:space="preserve">For a USPAP-compliant appraisal report, contact Gergacs Appraisals, LLC (separate engagement). Nikki Gergacs holds GA Certified Residential Appraiser license CR287636.</w:t>
      </w:r>
    </w:p>
    <w:p>
      <w:pPr>
        <w:pStyle w:val="BodyText"/>
      </w:pPr>
      <w:r>
        <w:t xml:space="preserve">The opinions expressed herein are based on data available at the date of preparation. Real estate markets change. The actual sale price of the subject property may vary from the bracket indicated based on listing strategy, marketing execution, market conditions, and buyer behavior.</w:t>
      </w:r>
    </w:p>
    <w:p>
      <w:r>
        <w:pict>
          <v:rect style="width:0;height:1.5pt" o:hralign="center" o:hrstd="t" o:hr="t"/>
        </w:pict>
      </w:r>
    </w:p>
    <w:p>
      <w:pPr>
        <w:pStyle w:val="FirstParagraph"/>
      </w:pPr>
      <w:r>
        <w:rPr>
          <w:i/>
          <w:iCs/>
        </w:rPr>
        <w:t xml:space="preserve">Nikki Gergacs · Realtor &amp; GA Certified Residential Appraiser</w:t>
      </w:r>
      <w:r>
        <w:t xml:space="preserve"> </w:t>
      </w:r>
      <w:r>
        <w:rPr>
          <w:i/>
          <w:iCs/>
        </w:rPr>
        <w:t xml:space="preserve">Gergacs Realty under Next Move Real Estate</w:t>
      </w:r>
      <w:r>
        <w:t xml:space="preserve"> </w:t>
      </w:r>
      <w:r>
        <w:rPr>
          <w:i/>
          <w:iCs/>
        </w:rPr>
        <w:t xml:space="preserve">nikki@gergacsrealty.com · (912) 378-3427</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Pre-Listing Comparable Analysis Worksheet</dc:title>
  <dc:creator/>
  <cp:keywords/>
  <dcterms:created xsi:type="dcterms:W3CDTF">2026-04-28T20:17:22Z</dcterms:created>
  <dcterms:modified xsi:type="dcterms:W3CDTF">2026-04-28T20:17:22Z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nalyst_credentials">
    <vt:lpwstr>Realtor &amp; GA Certified Residential Appraiser CR287636</vt:lpwstr>
  </property>
  <property fmtid="{D5CDD505-2E9C-101B-9397-08002B2CF9AE}" pid="3" name="client">
    <vt:lpwstr>[CLIENT NAME]</vt:lpwstr>
  </property>
  <property fmtid="{D5CDD505-2E9C-101B-9397-08002B2CF9AE}" pid="4" name="date">
    <vt:lpwstr>[YYYY-MM-DD]</vt:lpwstr>
  </property>
  <property fmtid="{D5CDD505-2E9C-101B-9397-08002B2CF9AE}" pid="5" name="prepared_by">
    <vt:lpwstr>Nikki Gergacs · Gergacs Realty</vt:lpwstr>
  </property>
  <property fmtid="{D5CDD505-2E9C-101B-9397-08002B2CF9AE}" pid="6" name="property">
    <vt:lpwstr>[ADDRESS]</vt:lpwstr>
  </property>
</Properties>
</file>