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uspap-compliance-for-marketing-copy"/>
    <w:p>
      <w:pPr>
        <w:pStyle w:val="Heading1"/>
      </w:pPr>
      <w:r>
        <w:t xml:space="preserve">USPAP Compliance for Marketing Copy</w:t>
      </w:r>
    </w:p>
    <w:p>
      <w:pPr>
        <w:pStyle w:val="FirstParagraph"/>
      </w:pPr>
      <w:r>
        <w:rPr>
          <w:b/>
          <w:bCs/>
        </w:rPr>
        <w:t xml:space="preserve">Read before any marketing piece ships.</w:t>
      </w:r>
      <w:r>
        <w:t xml:space="preserve"> </w:t>
      </w:r>
      <w:r>
        <w:t xml:space="preserve">Every agent in</w:t>
      </w:r>
      <w:r>
        <w:t xml:space="preserve"> </w:t>
      </w:r>
      <w:r>
        <w:rPr>
          <w:rStyle w:val="VerbatimChar"/>
        </w:rPr>
        <w:t xml:space="preserve">04_agents/</w:t>
      </w:r>
      <w:r>
        <w:t xml:space="preserve"> </w:t>
      </w:r>
      <w:r>
        <w:t xml:space="preserve">references this file. Every wording matrix, pitch deck, and email template is checked against these rules.</w:t>
      </w:r>
    </w:p>
    <w:p>
      <w:r>
        <w:pict>
          <v:rect style="width:0;height:1.5pt" o:hralign="center" o:hrstd="t" o:hr="t"/>
        </w:pict>
      </w:r>
    </w:p>
    <w:bookmarkStart w:id="9" w:name="the-core-rule"/>
    <w:p>
      <w:pPr>
        <w:pStyle w:val="Heading2"/>
      </w:pPr>
      <w:r>
        <w:t xml:space="preserve">The core rule</w:t>
      </w:r>
    </w:p>
    <w:p>
      <w:pPr>
        <w:pStyle w:val="FirstParagraph"/>
      </w:pPr>
      <w:r>
        <w:rPr>
          <w:b/>
          <w:bCs/>
        </w:rPr>
        <w:t xml:space="preserve">Appraisers cannot guarantee value.</w:t>
      </w:r>
      <w:r>
        <w:t xml:space="preserve"> </w:t>
      </w:r>
      <w:r>
        <w:t xml:space="preserve">Period. Marketing copy must never imply that Nikki — in either her Realtor or Certified Residential Appraiser role — can promise a number, predict a sale price, or guarantee what a home is</w:t>
      </w:r>
      <w:r>
        <w:t xml:space="preserve"> </w:t>
      </w:r>
      <w:r>
        <w:t xml:space="preserve">“worth.”</w:t>
      </w:r>
    </w:p>
    <w:p>
      <w:pPr>
        <w:pStyle w:val="BodyText"/>
      </w:pPr>
      <w:r>
        <w:t xml:space="preserve">USPAP (Uniform Standards of Professional Appraisal Practice) governs appraisal practice. The Ethics Rule prohibits</w:t>
      </w:r>
      <w:r>
        <w:t xml:space="preserve"> </w:t>
      </w:r>
      <w:r>
        <w:t xml:space="preserve">“targeting”</w:t>
      </w:r>
      <w:r>
        <w:t xml:space="preserve"> </w:t>
      </w:r>
      <w:r>
        <w:t xml:space="preserve">a value, accepting assignments tied to a predetermined number, or implying a value outcome before analysis is complete. Marketing copy that uses guarantee language can be cited in a state board complaint regardless of whether the spoken work was compliant.</w:t>
      </w:r>
    </w:p>
    <w:p>
      <w:pPr>
        <w:pStyle w:val="BodyText"/>
      </w:pPr>
      <w:r>
        <w:t xml:space="preserve">A separate concern: when a Realtor is also an appraiser, marketing must keep the two roles distinguishable. A CMA is not an appraisal. A pre-list pricing conversation is not an appraisal. An appraisal performed for a lender (her actual appraisal work) is governed by USPAP and its assignment rules.</w:t>
      </w:r>
    </w:p>
    <w:p>
      <w:r>
        <w:pict>
          <v:rect style="width:0;height:1.5pt" o:hralign="center" o:hrstd="t" o:hr="t"/>
        </w:pict>
      </w:r>
    </w:p>
    <w:bookmarkEnd w:id="9"/>
    <w:bookmarkStart w:id="10" w:name="phrases-that-are-not-compliant-never-use"/>
    <w:p>
      <w:pPr>
        <w:pStyle w:val="Heading2"/>
      </w:pPr>
      <w:r>
        <w:t xml:space="preserve">Phrases that are NOT compliant — never use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Banned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Replacement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“I’ll tell you what your home is worth”</w:t>
            </w:r>
          </w:p>
        </w:tc>
        <w:tc>
          <w:tcPr/>
          <w:p>
            <w:pPr>
              <w:pStyle w:val="Compact"/>
            </w:pPr>
            <w:r>
              <w:t xml:space="preserve">Implies guarantee</w:t>
            </w:r>
          </w:p>
        </w:tc>
        <w:tc>
          <w:tcPr/>
          <w:p>
            <w:pPr>
              <w:pStyle w:val="Compact"/>
            </w:pPr>
            <w:r>
              <w:t xml:space="preserve">“I’ll show you what the comparables show”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“Get your home’s true value”</w:t>
            </w:r>
          </w:p>
        </w:tc>
        <w:tc>
          <w:tcPr/>
          <w:p>
            <w:pPr>
              <w:pStyle w:val="Compact"/>
            </w:pPr>
            <w:r>
              <w:t xml:space="preserve">“True value”</w:t>
            </w:r>
            <w:r>
              <w:t xml:space="preserve"> </w:t>
            </w:r>
            <w:r>
              <w:t xml:space="preserve">implies a guaranteed answer</w:t>
            </w:r>
          </w:p>
        </w:tc>
        <w:tc>
          <w:tcPr/>
          <w:p>
            <w:pPr>
              <w:pStyle w:val="Compact"/>
            </w:pPr>
            <w:r>
              <w:t xml:space="preserve">“Get a comparable-driven analysis”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it’s actually worth”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“What the local market is supporting”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“Real pre-list valuation”</w:t>
            </w:r>
          </w:p>
        </w:tc>
        <w:tc>
          <w:tcPr/>
          <w:p>
            <w:pPr>
              <w:pStyle w:val="Compact"/>
            </w:pPr>
            <w:r>
              <w:t xml:space="preserve">“Real”</w:t>
            </w:r>
            <w:r>
              <w:t xml:space="preserve"> </w:t>
            </w:r>
            <w:r>
              <w:t xml:space="preserve">implies USPAP appraisal</w:t>
            </w:r>
          </w:p>
        </w:tc>
        <w:tc>
          <w:tcPr/>
          <w:p>
            <w:pPr>
              <w:pStyle w:val="Compact"/>
            </w:pPr>
            <w:r>
              <w:t xml:space="preserve">“Pre-list comparable analysis”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“Get the real number”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“Walk through the comparables”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“Guaranteed pricing”</w:t>
            </w:r>
          </w:p>
        </w:tc>
        <w:tc>
          <w:tcPr/>
          <w:p>
            <w:pPr>
              <w:pStyle w:val="Compact"/>
            </w:pPr>
            <w:r>
              <w:t xml:space="preserve">Direct violation</w:t>
            </w:r>
          </w:p>
        </w:tc>
        <w:tc>
          <w:tcPr/>
          <w:p>
            <w:pPr>
              <w:pStyle w:val="Compact"/>
            </w:pPr>
            <w:r>
              <w:t xml:space="preserve">(delete)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“Defensible price intelligence”</w:t>
            </w:r>
          </w:p>
        </w:tc>
        <w:tc>
          <w:tcPr/>
          <w:p>
            <w:pPr>
              <w:pStyle w:val="Compact"/>
            </w:pPr>
            <w:r>
              <w:t xml:space="preserve">Sounds like guarantee</w:t>
            </w:r>
          </w:p>
        </w:tc>
        <w:tc>
          <w:tcPr/>
          <w:p>
            <w:pPr>
              <w:pStyle w:val="Compact"/>
            </w:pPr>
            <w:r>
              <w:t xml:space="preserve">“Comparable-supported analysis”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“I’ll get you the highest price”</w:t>
            </w:r>
          </w:p>
        </w:tc>
        <w:tc>
          <w:tcPr/>
          <w:p>
            <w:pPr>
              <w:pStyle w:val="Compact"/>
            </w:pPr>
            <w:r>
              <w:t xml:space="preserve">Implies guarantee + targeting</w:t>
            </w:r>
          </w:p>
        </w:tc>
        <w:tc>
          <w:tcPr/>
          <w:p>
            <w:pPr>
              <w:pStyle w:val="Compact"/>
            </w:pPr>
            <w:r>
              <w:t xml:space="preserve">“I’ll position your home in the comparable bracket the market supports”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“Your home is worth $X”</w:t>
            </w:r>
            <w:r>
              <w:t xml:space="preserve"> </w:t>
            </w:r>
            <w:r>
              <w:t xml:space="preserve">(in any non-USPAP context)</w:t>
            </w:r>
          </w:p>
        </w:tc>
        <w:tc>
          <w:tcPr/>
          <w:p>
            <w:pPr>
              <w:pStyle w:val="Compact"/>
            </w:pPr>
            <w:r>
              <w:t xml:space="preserve">Direct value statement without appraisal scope</w:t>
            </w:r>
          </w:p>
        </w:tc>
        <w:tc>
          <w:tcPr/>
          <w:p>
            <w:pPr>
              <w:pStyle w:val="Compact"/>
            </w:pPr>
            <w:r>
              <w:t xml:space="preserve">“The current comparable bracket suggests $X-Y”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hrases-that-are-compliant-use-freely"/>
    <w:p>
      <w:pPr>
        <w:pStyle w:val="Heading2"/>
      </w:pPr>
      <w:r>
        <w:t xml:space="preserve">Phrases that ARE compliant — use freely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Phrase</w:t>
            </w:r>
          </w:p>
        </w:tc>
        <w:tc>
          <w:tcPr/>
          <w:p>
            <w:pPr>
              <w:pStyle w:val="Compact"/>
            </w:pPr>
            <w:r>
              <w:t xml:space="preserve">Why it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“21 years of appraising”</w:t>
            </w:r>
          </w:p>
        </w:tc>
        <w:tc>
          <w:tcPr/>
          <w:p>
            <w:pPr>
              <w:pStyle w:val="Compact"/>
            </w:pPr>
            <w:r>
              <w:t xml:space="preserve">Experience, not a value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an appraiser sees”</w:t>
            </w:r>
          </w:p>
        </w:tc>
        <w:tc>
          <w:tcPr/>
          <w:p>
            <w:pPr>
              <w:pStyle w:val="Compact"/>
            </w:pPr>
            <w:r>
              <w:t xml:space="preserve">Observation/skill, not a guarantee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“Comparable-driven analysis”</w:t>
            </w:r>
          </w:p>
        </w:tc>
        <w:tc>
          <w:tcPr/>
          <w:p>
            <w:pPr>
              <w:pStyle w:val="Compact"/>
            </w:pPr>
            <w:r>
              <w:t xml:space="preserve">Methodology, not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the comparables show”</w:t>
            </w:r>
          </w:p>
        </w:tc>
        <w:tc>
          <w:tcPr/>
          <w:p>
            <w:pPr>
              <w:pStyle w:val="Compact"/>
            </w:pPr>
            <w:r>
              <w:t xml:space="preserve">Data-anchored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“Appraiser-trained perspective”</w:t>
            </w:r>
          </w:p>
        </w:tc>
        <w:tc>
          <w:tcPr/>
          <w:p>
            <w:pPr>
              <w:pStyle w:val="Compact"/>
            </w:pPr>
            <w:r>
              <w:t xml:space="preserve">Skill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“An indicated value bracket”</w:t>
            </w:r>
          </w:p>
        </w:tc>
        <w:tc>
          <w:tcPr/>
          <w:p>
            <w:pPr>
              <w:pStyle w:val="Compact"/>
            </w:pPr>
            <w:r>
              <w:t xml:space="preserve">USPAP-correct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“Sales comparison approach”</w:t>
            </w:r>
          </w:p>
        </w:tc>
        <w:tc>
          <w:tcPr/>
          <w:p>
            <w:pPr>
              <w:pStyle w:val="Compact"/>
            </w:pPr>
            <w:r>
              <w:t xml:space="preserve">Methodology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“Reconciled value indication”</w:t>
            </w:r>
          </w:p>
        </w:tc>
        <w:tc>
          <w:tcPr/>
          <w:p>
            <w:pPr>
              <w:pStyle w:val="Compact"/>
            </w:pPr>
            <w:r>
              <w:t xml:space="preserve">USPAP-correct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“Pre-list comparable analysis”</w:t>
            </w:r>
          </w:p>
        </w:tc>
        <w:tc>
          <w:tcPr/>
          <w:p>
            <w:pPr>
              <w:pStyle w:val="Compact"/>
            </w:pPr>
            <w:r>
              <w:t xml:space="preserve">Methodology, not appraisal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the local market is currently supporting”</w:t>
            </w:r>
          </w:p>
        </w:tc>
        <w:tc>
          <w:tcPr/>
          <w:p>
            <w:pPr>
              <w:pStyle w:val="Compact"/>
            </w:pPr>
            <w:r>
              <w:t xml:space="preserve">Market-anchored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“I’ll walk you through what affects value here”</w:t>
            </w:r>
          </w:p>
        </w:tc>
        <w:tc>
          <w:tcPr/>
          <w:p>
            <w:pPr>
              <w:pStyle w:val="Compact"/>
            </w:pPr>
            <w:r>
              <w:t xml:space="preserve">Educational, not guarantee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“Honest numbers”</w:t>
            </w:r>
          </w:p>
        </w:tc>
        <w:tc>
          <w:tcPr/>
          <w:p>
            <w:pPr>
              <w:pStyle w:val="Compact"/>
            </w:pPr>
            <w:r>
              <w:t xml:space="preserve">OK because it implies honesty, not guarantee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“I’ll tell you what most agents won’t”</w:t>
            </w:r>
          </w:p>
        </w:tc>
        <w:tc>
          <w:tcPr/>
          <w:p>
            <w:pPr>
              <w:pStyle w:val="Compact"/>
            </w:pPr>
            <w:r>
              <w:t xml:space="preserve">OK if the</w:t>
            </w:r>
            <w:r>
              <w:t xml:space="preserve"> </w:t>
            </w:r>
            <w:r>
              <w:rPr>
                <w:i/>
                <w:iCs/>
              </w:rPr>
              <w:t xml:space="preserve">what</w:t>
            </w:r>
            <w:r>
              <w:t xml:space="preserve"> </w:t>
            </w:r>
            <w:r>
              <w:t xml:space="preserve">is a methodology insight, not a price promise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“21 years of appraising informs how I price”</w:t>
            </w:r>
          </w:p>
        </w:tc>
        <w:tc>
          <w:tcPr/>
          <w:p>
            <w:pPr>
              <w:pStyle w:val="Compact"/>
            </w:pPr>
            <w:r>
              <w:t xml:space="preserve">Skill informing strategy — fine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“Comparable bracket”</w:t>
            </w:r>
          </w:p>
        </w:tc>
        <w:tc>
          <w:tcPr/>
          <w:p>
            <w:pPr>
              <w:pStyle w:val="Compact"/>
            </w:pPr>
            <w:r>
              <w:t xml:space="preserve">USPAP-correct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“Indicated by recent comparable sales”</w:t>
            </w:r>
          </w:p>
        </w:tc>
        <w:tc>
          <w:tcPr/>
          <w:p>
            <w:pPr>
              <w:pStyle w:val="Compact"/>
            </w:pPr>
            <w:r>
              <w:t xml:space="preserve">USPAP-correct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quired-disclaimers-when-appropriate"/>
    <w:p>
      <w:pPr>
        <w:pStyle w:val="Heading2"/>
      </w:pPr>
      <w:r>
        <w:t xml:space="preserve">Required disclaimers (when appropriate)</w:t>
      </w:r>
    </w:p>
    <w:p>
      <w:pPr>
        <w:pStyle w:val="FirstParagraph"/>
      </w:pPr>
      <w:r>
        <w:t xml:space="preserve">When marketing copy explicitly mentions a Pre-List service or a comparable analysis, include a soft disclaimer in body copy or fine print:</w:t>
      </w:r>
    </w:p>
    <w:p>
      <w:pPr>
        <w:pStyle w:val="BlockText"/>
      </w:pPr>
      <w:r>
        <w:rPr>
          <w:i/>
          <w:iCs/>
        </w:rPr>
        <w:t xml:space="preserve">Pre-list comparable analysis is a strategic pricing review based on recent local sales — it is not a USPAP-compliant appraisal. For lending, estate, divorce, or legal use, an appraisal report is required.</w:t>
      </w:r>
    </w:p>
    <w:p>
      <w:pPr>
        <w:pStyle w:val="FirstParagraph"/>
      </w:pPr>
      <w:r>
        <w:t xml:space="preserve">Variants for shorter formats:</w:t>
      </w:r>
      <w:r>
        <w:t xml:space="preserve"> </w:t>
      </w:r>
      <w:r>
        <w:t xml:space="preserve">- IG caption:</w:t>
      </w:r>
      <w:r>
        <w:t xml:space="preserve"> </w:t>
      </w:r>
      <w:r>
        <w:t xml:space="preserve">“(not an appraisal — strategic pricing analysis)”</w:t>
      </w:r>
      <w:r>
        <w:t xml:space="preserve"> </w:t>
      </w:r>
      <w:r>
        <w:t xml:space="preserve">- Email footer:</w:t>
      </w:r>
      <w:r>
        <w:t xml:space="preserve"> </w:t>
      </w:r>
      <w:r>
        <w:t xml:space="preserve">“Pre-list analysis is a pricing review, not a USPAP appraisal”</w:t>
      </w:r>
      <w:r>
        <w:t xml:space="preserve"> </w:t>
      </w:r>
      <w:r>
        <w:t xml:space="preserve">- Pitch deck: full disclaimer on the relevant slide</w:t>
      </w:r>
    </w:p>
    <w:p>
      <w:pPr>
        <w:pStyle w:val="BodyText"/>
      </w:pPr>
      <w:r>
        <w:t xml:space="preserve">Marketing copy promoting her actual appraisal practice (Gergacs Appraisals, LLC) should reference USPAP-compliant scope:</w:t>
      </w:r>
      <w:r>
        <w:t xml:space="preserve"> </w:t>
      </w:r>
      <w:r>
        <w:t xml:space="preserve">“VA / FHA / conventional / estate / divorce — performed under USPAP Standards Rules 1 and 2.”</w:t>
      </w:r>
    </w:p>
    <w:p>
      <w:r>
        <w:pict>
          <v:rect style="width:0;height:1.5pt" o:hralign="center" o:hrstd="t" o:hr="t"/>
        </w:pict>
      </w:r>
    </w:p>
    <w:bookmarkEnd w:id="12"/>
    <w:bookmarkStart w:id="13" w:name="channel-by-channel-applicability"/>
    <w:p>
      <w:pPr>
        <w:pStyle w:val="Heading2"/>
      </w:pPr>
      <w:r>
        <w:t xml:space="preserve">Channel-by-channel applicability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52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 Reel caption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t xml:space="preserve">“what it’s worth”</w:t>
            </w:r>
            <w:r>
              <w:t xml:space="preserve"> </w:t>
            </w:r>
            <w:r>
              <w:t xml:space="preserve">language.</w:t>
            </w:r>
            <w:r>
              <w:t xml:space="preserve"> </w:t>
            </w:r>
            <w:r>
              <w:t xml:space="preserve">“What the comparables show”</w:t>
            </w:r>
            <w:r>
              <w:t xml:space="preserve"> </w:t>
            </w:r>
            <w:r>
              <w:t xml:space="preserve">is fine.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 carousel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Soft disclaimer on slide 2 if pricing is the 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post</w:t>
            </w:r>
          </w:p>
        </w:tc>
        <w:tc>
          <w:tcPr/>
          <w:p>
            <w:pPr>
              <w:pStyle w:val="Compact"/>
            </w:pPr>
            <w:r>
              <w:t xml:space="preserve">Low (long form allows nuance)</w:t>
            </w:r>
          </w:p>
        </w:tc>
        <w:tc>
          <w:tcPr/>
          <w:p>
            <w:pPr>
              <w:pStyle w:val="Compact"/>
            </w:pPr>
            <w:r>
              <w:t xml:space="preserve">Full disclaimer in any pre-list pricing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long-form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Verbal disclaimer at the start of any pricing-themed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Short</w:t>
            </w:r>
          </w:p>
        </w:tc>
        <w:tc>
          <w:tcPr/>
          <w:p>
            <w:pPr>
              <w:pStyle w:val="Compact"/>
            </w:pPr>
            <w:r>
              <w:t xml:space="preserve">High (out-of-context risk)</w:t>
            </w:r>
          </w:p>
        </w:tc>
        <w:tc>
          <w:tcPr/>
          <w:p>
            <w:pPr>
              <w:pStyle w:val="Compact"/>
            </w:pPr>
            <w:r>
              <w:t xml:space="preserve">Avoid value claims entirely. Process language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Same as YT Short.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to lead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Soft disclaimer in footer of any pricing-themed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to past client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Personal touches typically don’t trigger this; check if a value reference comes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Long-form allows nuance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creative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Most likely to be screenshot/quoted — strictest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Pitch deck</w:t>
            </w:r>
          </w:p>
        </w:tc>
        <w:tc>
          <w:tcPr/>
          <w:p>
            <w:pPr>
              <w:pStyle w:val="Compact"/>
            </w:pPr>
            <w:r>
              <w:t xml:space="preserve">Low (controlled audience)</w:t>
            </w:r>
          </w:p>
        </w:tc>
        <w:tc>
          <w:tcPr/>
          <w:p>
            <w:pPr>
              <w:pStyle w:val="Compact"/>
            </w:pPr>
            <w:r>
              <w:t xml:space="preserve">Full disclaimer on the relevant slide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Listing description (MLS, IG, blog)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Listing copy describes the home, not its value — generally safe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6" w:name="special-case-pre-list-valuation-service"/>
    <w:p>
      <w:pPr>
        <w:pStyle w:val="Heading2"/>
      </w:pPr>
      <w:r>
        <w:t xml:space="preserve">Special case: Pre-List Valuation service</w:t>
      </w:r>
    </w:p>
    <w:p>
      <w:pPr>
        <w:pStyle w:val="FirstParagraph"/>
      </w:pPr>
      <w:r>
        <w:t xml:space="preserve">This service is a known offering across her stack. The risk is in how it’s marketed.</w:t>
      </w:r>
    </w:p>
    <w:bookmarkStart w:id="14" w:name="compliant-framing"/>
    <w:p>
      <w:pPr>
        <w:pStyle w:val="Heading3"/>
      </w:pPr>
      <w:r>
        <w:t xml:space="preserve">Compliant framing</w:t>
      </w:r>
    </w:p>
    <w:p>
      <w:pPr>
        <w:pStyle w:val="BlockText"/>
      </w:pPr>
      <w:r>
        <w:t xml:space="preserve">“When you’re thinking about selling, the right starting point is understanding the comparable sales bracket your home falls into. With 21 years of appraising the Lowcountry, I bring an appraiser-trained perspective to a strategic pricing conversation — not a USPAP appraisal, but the same kind of comparable analysis lenders rely on, applied to your listing strategy.”</w:t>
      </w:r>
    </w:p>
    <w:bookmarkEnd w:id="14"/>
    <w:bookmarkStart w:id="15" w:name="not-compliant-framing"/>
    <w:p>
      <w:pPr>
        <w:pStyle w:val="Heading3"/>
      </w:pPr>
      <w:r>
        <w:t xml:space="preserve">NOT compliant framing</w:t>
      </w:r>
    </w:p>
    <w:p>
      <w:pPr>
        <w:pStyle w:val="BlockText"/>
      </w:pPr>
      <w:r>
        <w:t xml:space="preserve">“Get a real appraisal before you list — I’ll tell you what your home is worth and how to price it for top dollar.”</w:t>
      </w:r>
    </w:p>
    <w:p>
      <w:pPr>
        <w:pStyle w:val="FirstParagraph"/>
      </w:pPr>
      <w:r>
        <w:t xml:space="preserve">Both convey the same business value. One is compliant. One is a complaint waiting to happen.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what-an-agent-does-when-in-doubt"/>
    <w:p>
      <w:pPr>
        <w:pStyle w:val="Heading2"/>
      </w:pPr>
      <w:r>
        <w:t xml:space="preserve">What an agent does when in doubt</w:t>
      </w:r>
    </w:p>
    <w:p>
      <w:pPr>
        <w:pStyle w:val="FirstParagraph"/>
      </w:pPr>
      <w:r>
        <w:t xml:space="preserve">Each agent in</w:t>
      </w:r>
      <w:r>
        <w:t xml:space="preserve"> </w:t>
      </w:r>
      <w:r>
        <w:rPr>
          <w:rStyle w:val="VerbatimChar"/>
        </w:rPr>
        <w:t xml:space="preserve">04_agents/</w:t>
      </w:r>
      <w:r>
        <w:t xml:space="preserve"> </w:t>
      </w:r>
      <w:r>
        <w:t xml:space="preserve">(especially</w:t>
      </w:r>
      <w:r>
        <w:t xml:space="preserve"> </w:t>
      </w:r>
      <w:r>
        <w:rPr>
          <w:rStyle w:val="VerbatimChar"/>
        </w:rPr>
        <w:t xml:space="preserve">gergacs-voice-keeper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gergacs-post-writer</w:t>
      </w:r>
      <w:r>
        <w:t xml:space="preserve">) has been updated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Auto-detect</w:t>
      </w:r>
      <w:r>
        <w:t xml:space="preserve"> </w:t>
      </w:r>
      <w:r>
        <w:t xml:space="preserve">banned phrases and replace before output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Refuse</w:t>
      </w:r>
      <w:r>
        <w:t xml:space="preserve"> </w:t>
      </w:r>
      <w:r>
        <w:t xml:space="preserve">to ship copy that implies a value guarantee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Suggest</w:t>
      </w:r>
      <w:r>
        <w:t xml:space="preserve"> </w:t>
      </w:r>
      <w:r>
        <w:t xml:space="preserve">a disclaimer where the channel risk warrants 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Flag</w:t>
      </w:r>
      <w:r>
        <w:t xml:space="preserve"> </w:t>
      </w:r>
      <w:r>
        <w:t xml:space="preserve">edge cases to Nikki for review</w:t>
      </w:r>
    </w:p>
    <w:p>
      <w:pPr>
        <w:pStyle w:val="FirstParagraph"/>
      </w:pPr>
      <w:r>
        <w:t xml:space="preserve">If an agent surfaces an edge case, default to the conservative phrasing. Her brand will not lose sales to</w:t>
      </w:r>
      <w:r>
        <w:t xml:space="preserve"> </w:t>
      </w:r>
      <w:r>
        <w:t xml:space="preserve">“I’ll show you the comparables.”</w:t>
      </w:r>
      <w:r>
        <w:t xml:space="preserve"> </w:t>
      </w:r>
      <w:r>
        <w:t xml:space="preserve">It could lose her license to</w:t>
      </w:r>
      <w:r>
        <w:t xml:space="preserve"> </w:t>
      </w:r>
      <w:r>
        <w:t xml:space="preserve">“what your home is worth.”</w:t>
      </w:r>
    </w:p>
    <w:p>
      <w:r>
        <w:pict>
          <v:rect style="width:0;height:1.5pt" o:hralign="center" o:hrstd="t" o:hr="t"/>
        </w:pict>
      </w:r>
    </w:p>
    <w:bookmarkEnd w:id="17"/>
    <w:bookmarkStart w:id="18" w:name="source"/>
    <w:p>
      <w:pPr>
        <w:pStyle w:val="Heading2"/>
      </w:pPr>
      <w:r>
        <w:t xml:space="preserve">Source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ValueToVictory/11-Appraiser-Department/uspap/common-violations.md</w:t>
      </w:r>
      <w:r>
        <w:t xml:space="preserve"> </w:t>
      </w:r>
      <w:r>
        <w:t xml:space="preserve">— full violation patterns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ValueToVictory/11-Appraiser-Department/methodology/reconciliation.md</w:t>
      </w:r>
      <w:r>
        <w:t xml:space="preserve"> </w:t>
      </w:r>
      <w:r>
        <w:t xml:space="preserve">— proper value-language framing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ValueToVictory/11-Appraiser-Department/skills/paired-sales-analysis.md</w:t>
      </w:r>
      <w:r>
        <w:t xml:space="preserve"> </w:t>
      </w:r>
      <w:r>
        <w:t xml:space="preserve">— methodology references</w:t>
      </w:r>
    </w:p>
    <w:p>
      <w:pPr>
        <w:pStyle w:val="FirstParagraph"/>
      </w:pPr>
      <w:r>
        <w:t xml:space="preserve">The full USPAP knowledge base is internal to Value to Victory’s appraiser department resources and represents Shawn’s own VA appraiser practice. It is referenced here as a sanity check on Nikki’s GA appraiser practice — language patterns are similar across states; the legal exposure is identical.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2026-04-28T17:58:18Z</dcterms:created>
  <dcterms:modified xsi:type="dcterms:W3CDTF">2026-04-28T17:58:18Z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