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cta-bank-calls-to-action-by-funnel-stage"/>
    <w:p>
      <w:pPr>
        <w:pStyle w:val="Heading1"/>
      </w:pPr>
      <w:r>
        <w:t xml:space="preserve">CTA Bank — Calls to Action by Funnel Stage</w:t>
      </w:r>
    </w:p>
    <w:p>
      <w:pPr>
        <w:pStyle w:val="FirstParagraph"/>
      </w:pPr>
      <w:r>
        <w:t xml:space="preserve">Every CTA below is USPAP-compliant. None promise value, price, or sale outcome.</w:t>
      </w:r>
    </w:p>
    <w:p>
      <w:r>
        <w:pict>
          <v:rect style="width:0;height:1.5pt" o:hralign="center" o:hrstd="t" o:hr="t"/>
        </w:pict>
      </w:r>
    </w:p>
    <w:bookmarkStart w:id="12" w:name="soft-ctas-top-of-funnel"/>
    <w:p>
      <w:pPr>
        <w:pStyle w:val="Heading2"/>
      </w:pPr>
      <w:r>
        <w:t xml:space="preserve">Soft CTAs (top of funnel)</w:t>
      </w:r>
    </w:p>
    <w:p>
      <w:pPr>
        <w:pStyle w:val="FirstParagraph"/>
      </w:pPr>
      <w:r>
        <w:t xml:space="preserve">For content that builds awareness and audience but doesn’t ask for a meeting.</w:t>
      </w:r>
    </w:p>
    <w:bookmarkStart w:id="9" w:name="save-share-follow-asks"/>
    <w:p>
      <w:pPr>
        <w:pStyle w:val="Heading3"/>
      </w:pPr>
      <w:r>
        <w:t xml:space="preserve">Save / share / follow asks</w:t>
      </w:r>
    </w:p>
    <w:p>
      <w:pPr>
        <w:pStyle w:val="Compact"/>
        <w:numPr>
          <w:ilvl w:val="0"/>
          <w:numId w:val="1001"/>
        </w:numPr>
      </w:pPr>
      <w:r>
        <w:t xml:space="preserve">“Save this for when you’re ready to look.”</w:t>
      </w:r>
    </w:p>
    <w:p>
      <w:pPr>
        <w:pStyle w:val="Compact"/>
        <w:numPr>
          <w:ilvl w:val="0"/>
          <w:numId w:val="1001"/>
        </w:numPr>
      </w:pPr>
      <w:r>
        <w:t xml:space="preserve">“Share this with whoever’s thinking about moving here.”</w:t>
      </w:r>
    </w:p>
    <w:p>
      <w:pPr>
        <w:pStyle w:val="Compact"/>
        <w:numPr>
          <w:ilvl w:val="0"/>
          <w:numId w:val="1001"/>
        </w:numPr>
      </w:pPr>
      <w:r>
        <w:t xml:space="preserve">“Send this to whoever just put their kids through college.”</w:t>
      </w:r>
    </w:p>
    <w:p>
      <w:pPr>
        <w:pStyle w:val="Compact"/>
        <w:numPr>
          <w:ilvl w:val="0"/>
          <w:numId w:val="1001"/>
        </w:numPr>
      </w:pPr>
      <w:r>
        <w:t xml:space="preserve">“Follow if you like Savannah honest, not Savannah polished.”</w:t>
      </w:r>
    </w:p>
    <w:p>
      <w:pPr>
        <w:pStyle w:val="Compact"/>
        <w:numPr>
          <w:ilvl w:val="0"/>
          <w:numId w:val="1001"/>
        </w:numPr>
      </w:pPr>
      <w:r>
        <w:t xml:space="preserve">“Save this — you’ll want it when the timing changes.”</w:t>
      </w:r>
    </w:p>
    <w:bookmarkEnd w:id="9"/>
    <w:bookmarkStart w:id="10" w:name="dm-comment-asks"/>
    <w:p>
      <w:pPr>
        <w:pStyle w:val="Heading3"/>
      </w:pPr>
      <w:r>
        <w:t xml:space="preserve">DM / comment asks</w:t>
      </w:r>
    </w:p>
    <w:p>
      <w:pPr>
        <w:pStyle w:val="Compact"/>
        <w:numPr>
          <w:ilvl w:val="0"/>
          <w:numId w:val="1002"/>
        </w:numPr>
      </w:pPr>
      <w:r>
        <w:t xml:space="preserve">“DM me PEARL if you want the rest of the list.”</w:t>
      </w:r>
    </w:p>
    <w:p>
      <w:pPr>
        <w:pStyle w:val="Compact"/>
        <w:numPr>
          <w:ilvl w:val="0"/>
          <w:numId w:val="1002"/>
        </w:numPr>
      </w:pPr>
      <w:r>
        <w:t xml:space="preserve">“DM me LOCAL for the neighborhood guide.”</w:t>
      </w:r>
    </w:p>
    <w:p>
      <w:pPr>
        <w:pStyle w:val="Compact"/>
        <w:numPr>
          <w:ilvl w:val="0"/>
          <w:numId w:val="1002"/>
        </w:numPr>
      </w:pPr>
      <w:r>
        <w:t xml:space="preserve">“Comment your favorite Savannah block — I’ll add it next time.”</w:t>
      </w:r>
    </w:p>
    <w:p>
      <w:pPr>
        <w:pStyle w:val="Compact"/>
        <w:numPr>
          <w:ilvl w:val="0"/>
          <w:numId w:val="1002"/>
        </w:numPr>
      </w:pPr>
      <w:r>
        <w:t xml:space="preserve">“Which one of these sounds most like you? Comment with the number.”</w:t>
      </w:r>
    </w:p>
    <w:p>
      <w:pPr>
        <w:pStyle w:val="Compact"/>
        <w:numPr>
          <w:ilvl w:val="0"/>
          <w:numId w:val="1002"/>
        </w:numPr>
      </w:pPr>
      <w:r>
        <w:t xml:space="preserve">“DM me MOVE if you’re 90 days out from a relocation.”</w:t>
      </w:r>
    </w:p>
    <w:bookmarkEnd w:id="10"/>
    <w:bookmarkStart w:id="11" w:name="soft-education-asks"/>
    <w:p>
      <w:pPr>
        <w:pStyle w:val="Heading3"/>
      </w:pPr>
      <w:r>
        <w:t xml:space="preserve">Soft education asks</w:t>
      </w:r>
    </w:p>
    <w:p>
      <w:pPr>
        <w:pStyle w:val="Compact"/>
        <w:numPr>
          <w:ilvl w:val="0"/>
          <w:numId w:val="1003"/>
        </w:numPr>
      </w:pPr>
      <w:r>
        <w:t xml:space="preserve">“More like this on the blog — link in bio.”</w:t>
      </w:r>
    </w:p>
    <w:p>
      <w:pPr>
        <w:pStyle w:val="Compact"/>
        <w:numPr>
          <w:ilvl w:val="0"/>
          <w:numId w:val="1003"/>
        </w:numPr>
      </w:pPr>
      <w:r>
        <w:t xml:space="preserve">“Want my full breakdown? Subscribe to the newsletter — link in bio.”</w:t>
      </w:r>
    </w:p>
    <w:p>
      <w:pPr>
        <w:pStyle w:val="Compact"/>
        <w:numPr>
          <w:ilvl w:val="0"/>
          <w:numId w:val="1003"/>
        </w:numPr>
      </w:pPr>
      <w:r>
        <w:t xml:space="preserve">“There’s a video version of this on YouTube — link in bio.”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mid-ctas-middle-of-funnel"/>
    <w:p>
      <w:pPr>
        <w:pStyle w:val="Heading2"/>
      </w:pPr>
      <w:r>
        <w:t xml:space="preserve">Mid CTAs (middle of funnel)</w:t>
      </w:r>
    </w:p>
    <w:p>
      <w:pPr>
        <w:pStyle w:val="FirstParagraph"/>
      </w:pPr>
      <w:r>
        <w:t xml:space="preserve">For content that’s earned the right to ask for a low-commitment next step.</w:t>
      </w:r>
    </w:p>
    <w:bookmarkStart w:id="13" w:name="information-exchange"/>
    <w:p>
      <w:pPr>
        <w:pStyle w:val="Heading3"/>
      </w:pPr>
      <w:r>
        <w:t xml:space="preserve">Information exchange</w:t>
      </w:r>
    </w:p>
    <w:p>
      <w:pPr>
        <w:pStyle w:val="Compact"/>
        <w:numPr>
          <w:ilvl w:val="0"/>
          <w:numId w:val="1004"/>
        </w:numPr>
      </w:pPr>
      <w:r>
        <w:t xml:space="preserve">“Want my full Ardsley Park guide? It’s a free PDF — link in bio.”</w:t>
      </w:r>
    </w:p>
    <w:p>
      <w:pPr>
        <w:pStyle w:val="Compact"/>
        <w:numPr>
          <w:ilvl w:val="0"/>
          <w:numId w:val="1004"/>
        </w:numPr>
      </w:pPr>
      <w:r>
        <w:t xml:space="preserve">“I send a market snapshot every Friday. Pearl-only mailing list.”</w:t>
      </w:r>
    </w:p>
    <w:p>
      <w:pPr>
        <w:pStyle w:val="Compact"/>
        <w:numPr>
          <w:ilvl w:val="0"/>
          <w:numId w:val="1004"/>
        </w:numPr>
      </w:pPr>
      <w:r>
        <w:t xml:space="preserve">“Reply with your zip code and I’ll send the relevant comparable sales.”</w:t>
      </w:r>
    </w:p>
    <w:p>
      <w:pPr>
        <w:pStyle w:val="Compact"/>
        <w:numPr>
          <w:ilvl w:val="0"/>
          <w:numId w:val="1004"/>
        </w:numPr>
      </w:pPr>
      <w:r>
        <w:t xml:space="preserve">“DM me the neighborhood you’re curious about — I’ll send the cheat sheet.”</w:t>
      </w:r>
    </w:p>
    <w:bookmarkEnd w:id="13"/>
    <w:bookmarkStart w:id="14" w:name="low-commitment-scheduling"/>
    <w:p>
      <w:pPr>
        <w:pStyle w:val="Heading3"/>
      </w:pPr>
      <w:r>
        <w:t xml:space="preserve">Low-commitment scheduling</w:t>
      </w:r>
    </w:p>
    <w:p>
      <w:pPr>
        <w:pStyle w:val="Compact"/>
        <w:numPr>
          <w:ilvl w:val="0"/>
          <w:numId w:val="1005"/>
        </w:numPr>
      </w:pPr>
      <w:r>
        <w:t xml:space="preserve">“Pick a 30-minute slot here — no pressure, just a real conversation.”</w:t>
      </w:r>
    </w:p>
    <w:p>
      <w:pPr>
        <w:pStyle w:val="Compact"/>
        <w:numPr>
          <w:ilvl w:val="0"/>
          <w:numId w:val="1005"/>
        </w:numPr>
      </w:pPr>
      <w:r>
        <w:t xml:space="preserve">“Free 30-minute neighborhood walkthrough call — book here.”</w:t>
      </w:r>
    </w:p>
    <w:p>
      <w:pPr>
        <w:pStyle w:val="Compact"/>
        <w:numPr>
          <w:ilvl w:val="0"/>
          <w:numId w:val="1005"/>
        </w:numPr>
      </w:pPr>
      <w:r>
        <w:t xml:space="preserve">“Book a coffee with me — no agenda.”</w:t>
      </w:r>
    </w:p>
    <w:bookmarkEnd w:id="14"/>
    <w:bookmarkStart w:id="15" w:name="low-commitment-exploration"/>
    <w:p>
      <w:pPr>
        <w:pStyle w:val="Heading3"/>
      </w:pPr>
      <w:r>
        <w:t xml:space="preserve">Low-commitment exploration</w:t>
      </w:r>
    </w:p>
    <w:p>
      <w:pPr>
        <w:pStyle w:val="Compact"/>
        <w:numPr>
          <w:ilvl w:val="0"/>
          <w:numId w:val="1006"/>
        </w:numPr>
      </w:pPr>
      <w:r>
        <w:t xml:space="preserve">“Want to see what’s currently on the market in [neighborhood]? Filtered list — link in bio.”</w:t>
      </w:r>
    </w:p>
    <w:p>
      <w:pPr>
        <w:pStyle w:val="Compact"/>
        <w:numPr>
          <w:ilvl w:val="0"/>
          <w:numId w:val="1006"/>
        </w:numPr>
      </w:pPr>
      <w:r>
        <w:t xml:space="preserve">“Get the relocation packet — Savannah by neighborhood, by lifestyle, by budget.”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hard-ctas-bottom-of-funnel"/>
    <w:p>
      <w:pPr>
        <w:pStyle w:val="Heading2"/>
      </w:pPr>
      <w:r>
        <w:t xml:space="preserve">Hard CTAs (bottom of funnel)</w:t>
      </w:r>
    </w:p>
    <w:p>
      <w:pPr>
        <w:pStyle w:val="FirstParagraph"/>
      </w:pPr>
      <w:r>
        <w:t xml:space="preserve">For content that’s clearly speaking to someone already in the buying or selling decision.</w:t>
      </w:r>
    </w:p>
    <w:bookmarkStart w:id="17" w:name="service-specific-bookings"/>
    <w:p>
      <w:pPr>
        <w:pStyle w:val="Heading3"/>
      </w:pPr>
      <w:r>
        <w:t xml:space="preserve">Service-specific bookings</w:t>
      </w:r>
    </w:p>
    <w:p>
      <w:pPr>
        <w:pStyle w:val="Compact"/>
        <w:numPr>
          <w:ilvl w:val="0"/>
          <w:numId w:val="1007"/>
        </w:numPr>
      </w:pPr>
      <w:r>
        <w:t xml:space="preserve">“Book your pre-list comparable analysis — link below.”</w:t>
      </w:r>
    </w:p>
    <w:p>
      <w:pPr>
        <w:pStyle w:val="Compact"/>
        <w:numPr>
          <w:ilvl w:val="0"/>
          <w:numId w:val="1007"/>
        </w:numPr>
      </w:pPr>
      <w:r>
        <w:t xml:space="preserve">“Tour with me Saturday — three handpicked homes — book here.”</w:t>
      </w:r>
    </w:p>
    <w:p>
      <w:pPr>
        <w:pStyle w:val="Compact"/>
        <w:numPr>
          <w:ilvl w:val="0"/>
          <w:numId w:val="1007"/>
        </w:numPr>
      </w:pPr>
      <w:r>
        <w:t xml:space="preserve">“Get your buyer discovery call on the calendar — link in bio.”</w:t>
      </w:r>
    </w:p>
    <w:p>
      <w:pPr>
        <w:pStyle w:val="Compact"/>
        <w:numPr>
          <w:ilvl w:val="0"/>
          <w:numId w:val="1007"/>
        </w:numPr>
      </w:pPr>
      <w:r>
        <w:t xml:space="preserve">“Ready to look? Book a 30-minute discovery call here.”</w:t>
      </w:r>
    </w:p>
    <w:bookmarkEnd w:id="17"/>
    <w:bookmarkStart w:id="18" w:name="direct-outreach-asks"/>
    <w:p>
      <w:pPr>
        <w:pStyle w:val="Heading3"/>
      </w:pPr>
      <w:r>
        <w:t xml:space="preserve">Direct outreach asks</w:t>
      </w:r>
    </w:p>
    <w:p>
      <w:pPr>
        <w:pStyle w:val="Compact"/>
        <w:numPr>
          <w:ilvl w:val="0"/>
          <w:numId w:val="1008"/>
        </w:numPr>
      </w:pPr>
      <w:r>
        <w:t xml:space="preserve">“Call me directly: (912) 378-3427”</w:t>
      </w:r>
    </w:p>
    <w:p>
      <w:pPr>
        <w:pStyle w:val="Compact"/>
        <w:numPr>
          <w:ilvl w:val="0"/>
          <w:numId w:val="1008"/>
        </w:numPr>
      </w:pPr>
      <w:r>
        <w:t xml:space="preserve">“Text me your address and I’ll send the comparable bracket I’d consider.”</w:t>
      </w:r>
    </w:p>
    <w:p>
      <w:pPr>
        <w:pStyle w:val="Compact"/>
        <w:numPr>
          <w:ilvl w:val="0"/>
          <w:numId w:val="1008"/>
        </w:numPr>
      </w:pPr>
      <w:r>
        <w:t xml:space="preserve">“Email me at nikki@gergacsrealty.com — I read every one.”</w:t>
      </w:r>
    </w:p>
    <w:bookmarkEnd w:id="18"/>
    <w:bookmarkStart w:id="19" w:name="time-sensitive-use-sparingly"/>
    <w:p>
      <w:pPr>
        <w:pStyle w:val="Heading3"/>
      </w:pPr>
      <w:r>
        <w:t xml:space="preserve">Time-sensitive (use sparingly)</w:t>
      </w:r>
    </w:p>
    <w:p>
      <w:pPr>
        <w:pStyle w:val="Compact"/>
        <w:numPr>
          <w:ilvl w:val="0"/>
          <w:numId w:val="1009"/>
        </w:numPr>
      </w:pPr>
      <w:r>
        <w:t xml:space="preserve">“This one’s likely under contract by Sunday — happy to walk you through it before Friday.”</w:t>
      </w:r>
    </w:p>
    <w:p>
      <w:pPr>
        <w:pStyle w:val="Compact"/>
        <w:numPr>
          <w:ilvl w:val="0"/>
          <w:numId w:val="1009"/>
        </w:numPr>
      </w:pPr>
      <w:r>
        <w:t xml:space="preserve">“Open house Saturday — the first 5 RSVPs get the printed comparable analysis.”</w:t>
      </w:r>
    </w:p>
    <w:p>
      <w:pPr>
        <w:pStyle w:val="Compact"/>
        <w:numPr>
          <w:ilvl w:val="0"/>
          <w:numId w:val="1009"/>
        </w:numPr>
      </w:pPr>
      <w:r>
        <w:t xml:space="preserve">“Coastal Coffee event — 8 spots open. Reply YES to claim one.”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service-specific-ctas"/>
    <w:p>
      <w:pPr>
        <w:pStyle w:val="Heading2"/>
      </w:pPr>
      <w:r>
        <w:t xml:space="preserve">Service-specific CTAs</w:t>
      </w:r>
    </w:p>
    <w:bookmarkStart w:id="21" w:name="pre-list-services"/>
    <w:p>
      <w:pPr>
        <w:pStyle w:val="Heading3"/>
      </w:pPr>
      <w:r>
        <w:t xml:space="preserve">Pre-list services</w:t>
      </w:r>
    </w:p>
    <w:p>
      <w:pPr>
        <w:pStyle w:val="Compact"/>
        <w:numPr>
          <w:ilvl w:val="0"/>
          <w:numId w:val="1010"/>
        </w:numPr>
      </w:pPr>
      <w:r>
        <w:t xml:space="preserve">“Book your pre-list comparable analysis”</w:t>
      </w:r>
      <w:r>
        <w:t xml:space="preserve"> </w:t>
      </w:r>
      <w:r>
        <w:rPr>
          <w:i/>
          <w:iCs/>
        </w:rPr>
        <w:t xml:space="preserve">(disclaimer: not a USPAP appraisal)</w:t>
      </w:r>
    </w:p>
    <w:p>
      <w:pPr>
        <w:pStyle w:val="Compact"/>
        <w:numPr>
          <w:ilvl w:val="0"/>
          <w:numId w:val="1010"/>
        </w:numPr>
      </w:pPr>
      <w:r>
        <w:t xml:space="preserve">“Schedule a strategic pricing conversation”</w:t>
      </w:r>
    </w:p>
    <w:p>
      <w:pPr>
        <w:pStyle w:val="Compact"/>
        <w:numPr>
          <w:ilvl w:val="0"/>
          <w:numId w:val="1010"/>
        </w:numPr>
      </w:pPr>
      <w:r>
        <w:t xml:space="preserve">“Get the comparable bracket conversation on the calendar”</w:t>
      </w:r>
    </w:p>
    <w:bookmarkEnd w:id="21"/>
    <w:bookmarkStart w:id="22" w:name="buyer-services"/>
    <w:p>
      <w:pPr>
        <w:pStyle w:val="Heading3"/>
      </w:pPr>
      <w:r>
        <w:t xml:space="preserve">Buyer services</w:t>
      </w:r>
    </w:p>
    <w:p>
      <w:pPr>
        <w:pStyle w:val="Compact"/>
        <w:numPr>
          <w:ilvl w:val="0"/>
          <w:numId w:val="1011"/>
        </w:numPr>
      </w:pPr>
      <w:r>
        <w:t xml:space="preserve">“Book a buyer discovery call”</w:t>
      </w:r>
    </w:p>
    <w:p>
      <w:pPr>
        <w:pStyle w:val="Compact"/>
        <w:numPr>
          <w:ilvl w:val="0"/>
          <w:numId w:val="1011"/>
        </w:numPr>
      </w:pPr>
      <w:r>
        <w:t xml:space="preserve">“Schedule a Savannah neighborhood walkthrough”</w:t>
      </w:r>
    </w:p>
    <w:p>
      <w:pPr>
        <w:pStyle w:val="Compact"/>
        <w:numPr>
          <w:ilvl w:val="0"/>
          <w:numId w:val="1011"/>
        </w:numPr>
      </w:pPr>
      <w:r>
        <w:t xml:space="preserve">“Get on the tour list for [neighborhood]”</w:t>
      </w:r>
    </w:p>
    <w:bookmarkEnd w:id="22"/>
    <w:bookmarkStart w:id="23" w:name="X3df586554637fd047bee602a5cdcc0990a46c40"/>
    <w:p>
      <w:pPr>
        <w:pStyle w:val="Heading3"/>
      </w:pPr>
      <w:r>
        <w:t xml:space="preserve">Appraisal services (USPAP-compliant — different from sales side)</w:t>
      </w:r>
    </w:p>
    <w:p>
      <w:pPr>
        <w:pStyle w:val="Compact"/>
        <w:numPr>
          <w:ilvl w:val="0"/>
          <w:numId w:val="1012"/>
        </w:numPr>
      </w:pPr>
      <w:r>
        <w:t xml:space="preserve">“Request an appraisal — VA / FHA / Conventional / Estate / Divorce”</w:t>
      </w:r>
    </w:p>
    <w:p>
      <w:pPr>
        <w:pStyle w:val="Compact"/>
        <w:numPr>
          <w:ilvl w:val="0"/>
          <w:numId w:val="1012"/>
        </w:numPr>
      </w:pPr>
      <w:r>
        <w:t xml:space="preserve">“Get a USPAP-compliant appraisal report — turnaround typically 5-7 business days”</w:t>
      </w:r>
    </w:p>
    <w:p>
      <w:pPr>
        <w:pStyle w:val="Compact"/>
        <w:numPr>
          <w:ilvl w:val="0"/>
          <w:numId w:val="1012"/>
        </w:numPr>
      </w:pPr>
      <w:r>
        <w:t xml:space="preserve">“Hire Gergacs Appraisals for your divorce or estate appraisal”</w:t>
      </w:r>
    </w:p>
    <w:bookmarkEnd w:id="23"/>
    <w:bookmarkStart w:id="24" w:name="relocation"/>
    <w:p>
      <w:pPr>
        <w:pStyle w:val="Heading3"/>
      </w:pPr>
      <w:r>
        <w:t xml:space="preserve">Relocation</w:t>
      </w:r>
    </w:p>
    <w:p>
      <w:pPr>
        <w:pStyle w:val="Compact"/>
        <w:numPr>
          <w:ilvl w:val="0"/>
          <w:numId w:val="1013"/>
        </w:numPr>
      </w:pPr>
      <w:r>
        <w:t xml:space="preserve">“Plan your move — relocation discovery call”</w:t>
      </w:r>
    </w:p>
    <w:p>
      <w:pPr>
        <w:pStyle w:val="Compact"/>
        <w:numPr>
          <w:ilvl w:val="0"/>
          <w:numId w:val="1013"/>
        </w:numPr>
      </w:pPr>
      <w:r>
        <w:t xml:space="preserve">“Get the relocator’s packet”</w:t>
      </w:r>
    </w:p>
    <w:p>
      <w:pPr>
        <w:pStyle w:val="Compact"/>
        <w:numPr>
          <w:ilvl w:val="0"/>
          <w:numId w:val="1013"/>
        </w:numPr>
      </w:pPr>
      <w:r>
        <w:t xml:space="preserve">“Book a virtual neighborhood tour”</w:t>
      </w:r>
    </w:p>
    <w:bookmarkEnd w:id="24"/>
    <w:bookmarkStart w:id="25" w:name="lifestyle-community-past-clients"/>
    <w:p>
      <w:pPr>
        <w:pStyle w:val="Heading3"/>
      </w:pPr>
      <w:r>
        <w:t xml:space="preserve">Lifestyle / community / past clients</w:t>
      </w:r>
    </w:p>
    <w:p>
      <w:pPr>
        <w:pStyle w:val="Compact"/>
        <w:numPr>
          <w:ilvl w:val="0"/>
          <w:numId w:val="1014"/>
        </w:numPr>
      </w:pPr>
      <w:r>
        <w:t xml:space="preserve">“Coastal Coffee — last Friday of the month”</w:t>
      </w:r>
    </w:p>
    <w:p>
      <w:pPr>
        <w:pStyle w:val="Compact"/>
        <w:numPr>
          <w:ilvl w:val="0"/>
          <w:numId w:val="1014"/>
        </w:numPr>
      </w:pPr>
      <w:r>
        <w:t xml:space="preserve">“Be the first to know about Pearl Found listings”</w:t>
      </w:r>
    </w:p>
    <w:p>
      <w:pPr>
        <w:pStyle w:val="Compact"/>
        <w:numPr>
          <w:ilvl w:val="0"/>
          <w:numId w:val="1014"/>
        </w:numPr>
      </w:pPr>
      <w:r>
        <w:t xml:space="preserve">“Coffee on me — anytime, no agenda”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cta-structure-rules"/>
    <w:p>
      <w:pPr>
        <w:pStyle w:val="Heading2"/>
      </w:pPr>
      <w:r>
        <w:t xml:space="preserve">CTA structure rules</w:t>
      </w:r>
    </w:p>
    <w:bookmarkStart w:id="27" w:name="single-cta-only"/>
    <w:p>
      <w:pPr>
        <w:pStyle w:val="Heading3"/>
      </w:pPr>
      <w:r>
        <w:t xml:space="preserve">Single CTA only</w:t>
      </w:r>
    </w:p>
    <w:p>
      <w:pPr>
        <w:pStyle w:val="FirstParagraph"/>
      </w:pPr>
      <w:r>
        <w:t xml:space="preserve">Every piece of content has ONE CTA. Two CTAs in the same piece = neither performs. If you can’t pick one, pick the one furthest down funnel.</w:t>
      </w:r>
    </w:p>
    <w:bookmarkEnd w:id="27"/>
    <w:bookmarkStart w:id="28" w:name="specificity-wins"/>
    <w:p>
      <w:pPr>
        <w:pStyle w:val="Heading3"/>
      </w:pPr>
      <w:r>
        <w:t xml:space="preserve">Specificity wins</w:t>
      </w:r>
    </w:p>
    <w:p>
      <w:pPr>
        <w:pStyle w:val="Compact"/>
        <w:numPr>
          <w:ilvl w:val="0"/>
          <w:numId w:val="1015"/>
        </w:numPr>
      </w:pPr>
      <w:r>
        <w:t xml:space="preserve">“Pick a 30-minute slot”</w:t>
      </w:r>
      <w:r>
        <w:t xml:space="preserve"> </w:t>
      </w:r>
      <w:r>
        <w:t xml:space="preserve">outperforms</w:t>
      </w:r>
      <w:r>
        <w:t xml:space="preserve"> </w:t>
      </w:r>
      <w:r>
        <w:t xml:space="preserve">“Get in touch”</w:t>
      </w:r>
    </w:p>
    <w:p>
      <w:pPr>
        <w:pStyle w:val="Compact"/>
        <w:numPr>
          <w:ilvl w:val="0"/>
          <w:numId w:val="1015"/>
        </w:numPr>
      </w:pPr>
      <w:r>
        <w:t xml:space="preserve">“Book your pre-list comparable analysis”</w:t>
      </w:r>
      <w:r>
        <w:t xml:space="preserve"> </w:t>
      </w:r>
      <w:r>
        <w:t xml:space="preserve">outperforms</w:t>
      </w:r>
      <w:r>
        <w:t xml:space="preserve"> </w:t>
      </w:r>
      <w:r>
        <w:t xml:space="preserve">“Reach out”</w:t>
      </w:r>
    </w:p>
    <w:p>
      <w:pPr>
        <w:pStyle w:val="Compact"/>
        <w:numPr>
          <w:ilvl w:val="0"/>
          <w:numId w:val="1015"/>
        </w:numPr>
      </w:pPr>
      <w:r>
        <w:t xml:space="preserve">“DM me PEARL”</w:t>
      </w:r>
      <w:r>
        <w:t xml:space="preserve"> </w:t>
      </w:r>
      <w:r>
        <w:t xml:space="preserve">outperforms</w:t>
      </w:r>
      <w:r>
        <w:t xml:space="preserve"> </w:t>
      </w:r>
      <w:r>
        <w:t xml:space="preserve">“DM me”</w:t>
      </w:r>
    </w:p>
    <w:bookmarkEnd w:id="28"/>
    <w:bookmarkStart w:id="29" w:name="action-verb-starts"/>
    <w:p>
      <w:pPr>
        <w:pStyle w:val="Heading3"/>
      </w:pPr>
      <w:r>
        <w:t xml:space="preserve">Action verb starts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t xml:space="preserve">“Book,”</w:t>
      </w:r>
      <w:r>
        <w:t xml:space="preserve"> </w:t>
      </w:r>
      <w:r>
        <w:t xml:space="preserve">“Pick,”</w:t>
      </w:r>
      <w:r>
        <w:t xml:space="preserve"> </w:t>
      </w:r>
      <w:r>
        <w:t xml:space="preserve">“Save,”</w:t>
      </w:r>
      <w:r>
        <w:t xml:space="preserve"> </w:t>
      </w:r>
      <w:r>
        <w:t xml:space="preserve">“DM,”</w:t>
      </w:r>
      <w:r>
        <w:t xml:space="preserve"> </w:t>
      </w:r>
      <w:r>
        <w:t xml:space="preserve">“Tour,”</w:t>
      </w:r>
      <w:r>
        <w:t xml:space="preserve"> </w:t>
      </w:r>
      <w:r>
        <w:t xml:space="preserve">“Schedule,”</w:t>
      </w:r>
      <w:r>
        <w:t xml:space="preserve"> </w:t>
      </w:r>
      <w:r>
        <w:t xml:space="preserve">“Reply”</w:t>
      </w:r>
    </w:p>
    <w:p>
      <w:pPr>
        <w:pStyle w:val="Compact"/>
        <w:numPr>
          <w:ilvl w:val="0"/>
          <w:numId w:val="1016"/>
        </w:numPr>
      </w:pPr>
      <w:r>
        <w:t xml:space="preserve">❌</w:t>
      </w:r>
      <w:r>
        <w:t xml:space="preserve"> </w:t>
      </w:r>
      <w:r>
        <w:t xml:space="preserve">“If you’d like to,”</w:t>
      </w:r>
      <w:r>
        <w:t xml:space="preserve"> </w:t>
      </w:r>
      <w:r>
        <w:t xml:space="preserve">“Should you wish to,”</w:t>
      </w:r>
      <w:r>
        <w:t xml:space="preserve"> </w:t>
      </w:r>
      <w:r>
        <w:t xml:space="preserve">“It would be great if”</w:t>
      </w:r>
    </w:p>
    <w:bookmarkEnd w:id="29"/>
    <w:bookmarkStart w:id="30" w:name="match-the-channel-register"/>
    <w:p>
      <w:pPr>
        <w:pStyle w:val="Heading3"/>
      </w:pPr>
      <w:r>
        <w:t xml:space="preserve">Match the channel register</w:t>
      </w:r>
    </w:p>
    <w:p>
      <w:pPr>
        <w:pStyle w:val="Compact"/>
        <w:numPr>
          <w:ilvl w:val="0"/>
          <w:numId w:val="1017"/>
        </w:numPr>
      </w:pPr>
      <w:r>
        <w:t xml:space="preserve">IG/TikTok: 4-8 word CTAs max</w:t>
      </w:r>
    </w:p>
    <w:p>
      <w:pPr>
        <w:pStyle w:val="Compact"/>
        <w:numPr>
          <w:ilvl w:val="0"/>
          <w:numId w:val="1017"/>
        </w:numPr>
      </w:pPr>
      <w:r>
        <w:t xml:space="preserve">Email: 8-15 word CTAs</w:t>
      </w:r>
    </w:p>
    <w:p>
      <w:pPr>
        <w:pStyle w:val="Compact"/>
        <w:numPr>
          <w:ilvl w:val="0"/>
          <w:numId w:val="1017"/>
        </w:numPr>
      </w:pPr>
      <w:r>
        <w:t xml:space="preserve">Blog/long-form: full-sentence CTAs OK</w:t>
      </w:r>
    </w:p>
    <w:p>
      <w:pPr>
        <w:pStyle w:val="Compact"/>
        <w:numPr>
          <w:ilvl w:val="0"/>
          <w:numId w:val="1017"/>
        </w:numPr>
      </w:pPr>
      <w:r>
        <w:t xml:space="preserve">Ad creative: 2-4 word button text + 6-12 word supporting line</w:t>
      </w:r>
    </w:p>
    <w:bookmarkEnd w:id="30"/>
    <w:bookmarkStart w:id="31" w:name="permission-based-language"/>
    <w:p>
      <w:pPr>
        <w:pStyle w:val="Heading3"/>
      </w:pPr>
      <w:r>
        <w:t xml:space="preserve">Permission-based language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“no pressure,”</w:t>
      </w:r>
      <w:r>
        <w:t xml:space="preserve"> </w:t>
      </w:r>
      <w:r>
        <w:t xml:space="preserve">“no agenda,”</w:t>
      </w:r>
      <w:r>
        <w:t xml:space="preserve"> </w:t>
      </w:r>
      <w:r>
        <w:t xml:space="preserve">“happy to,”</w:t>
      </w:r>
      <w:r>
        <w:t xml:space="preserve"> </w:t>
      </w:r>
      <w:r>
        <w:t xml:space="preserve">“if it’s useful.”</w:t>
      </w:r>
      <w:r>
        <w:t xml:space="preserve"> </w:t>
      </w:r>
      <w:r>
        <w:t xml:space="preserve">This is Nikki’s voice — invitations, not pitches.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ta-testing-protocol"/>
    <w:p>
      <w:pPr>
        <w:pStyle w:val="Heading2"/>
      </w:pPr>
      <w:r>
        <w:t xml:space="preserve">CTA testing protocol</w:t>
      </w:r>
    </w:p>
    <w:p>
      <w:pPr>
        <w:pStyle w:val="FirstParagraph"/>
      </w:pPr>
      <w:r>
        <w:t xml:space="preserve">For any new CTA pattern, test on at least 3 pieces of content before declaring it dead. Track:</w:t>
      </w:r>
      <w:r>
        <w:t xml:space="preserve"> </w:t>
      </w:r>
      <w:r>
        <w:t xml:space="preserve">- Click-through rate</w:t>
      </w:r>
      <w:r>
        <w:t xml:space="preserve"> </w:t>
      </w:r>
      <w:r>
        <w:t xml:space="preserve">- Action conversion (DM received, slot booked, etc.)</w:t>
      </w:r>
      <w:r>
        <w:t xml:space="preserve"> </w:t>
      </w:r>
      <w:r>
        <w:t xml:space="preserve">- Quality of the leads it generates (vanity metrics like clicks vs actual booked consults)</w:t>
      </w:r>
    </w:p>
    <w:p>
      <w:pPr>
        <w:pStyle w:val="BodyText"/>
      </w:pPr>
      <w:r>
        <w:t xml:space="preserve">A CTA that drives 100 DMs of</w:t>
      </w:r>
      <w:r>
        <w:t xml:space="preserve"> </w:t>
      </w:r>
      <w:r>
        <w:t xml:space="preserve">“what’s your phone number”</w:t>
      </w:r>
      <w:r>
        <w:t xml:space="preserve"> </w:t>
      </w:r>
      <w:r>
        <w:t xml:space="preserve">is worse than one that drives 10 DMs of</w:t>
      </w:r>
      <w:r>
        <w:t xml:space="preserve"> </w:t>
      </w:r>
      <w:r>
        <w:t xml:space="preserve">“I’d like to discuss selling my Skidaway home in 90 days.”</w:t>
      </w:r>
    </w:p>
    <w:p>
      <w:r>
        <w:pict>
          <v:rect style="width:0;height:1.5pt" o:hralign="center" o:hrstd="t" o:hr="t"/>
        </w:pict>
      </w:r>
    </w:p>
    <w:bookmarkEnd w:id="33"/>
    <w:bookmarkStart w:id="34" w:name="when-to-escalate-to-nikki"/>
    <w:p>
      <w:pPr>
        <w:pStyle w:val="Heading2"/>
      </w:pPr>
      <w:r>
        <w:t xml:space="preserve">When to escalate to Nikki</w:t>
      </w:r>
    </w:p>
    <w:p>
      <w:pPr>
        <w:pStyle w:val="FirstParagraph"/>
      </w:pPr>
      <w:r>
        <w:t xml:space="preserve">If a CTA is producing:</w:t>
      </w:r>
      <w:r>
        <w:t xml:space="preserve"> </w:t>
      </w:r>
      <w:r>
        <w:t xml:space="preserve">- High click rate but low quality (lots of clicks, no real conversation)</w:t>
      </w:r>
      <w:r>
        <w:t xml:space="preserve"> </w:t>
      </w:r>
      <w:r>
        <w:t xml:space="preserve">- Mixed signal (some great leads, some confused/pushed)</w:t>
      </w:r>
      <w:r>
        <w:t xml:space="preserve"> </w:t>
      </w:r>
      <w:r>
        <w:t xml:space="preserve">- Off-brand response (DMs that feel transactional instead of relational)</w:t>
      </w:r>
    </w:p>
    <w:p>
      <w:pPr>
        <w:pStyle w:val="BodyText"/>
      </w:pPr>
      <w:r>
        <w:t xml:space="preserve">→ Bring to Nikki for review. The CTA is teaching the audience what to expect; if the wrong audience is showing up, the CTA is mis-calibrated.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7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8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09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2026-04-28T17:59:35Z</dcterms:created>
  <dcterms:modified xsi:type="dcterms:W3CDTF">2026-04-28T17:59:35Z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