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hook-bank-60-tested-hooks"/>
    <w:p>
      <w:pPr>
        <w:pStyle w:val="Heading1"/>
      </w:pPr>
      <w:r>
        <w:t xml:space="preserve">Hook Bank — 60+ Tested Hooks</w:t>
      </w:r>
    </w:p>
    <w:p>
      <w:pPr>
        <w:pStyle w:val="FirstParagraph"/>
      </w:pPr>
      <w:r>
        <w:t xml:space="preserve">Every hook below is USPAP-compliant (no value guarantees) and brand-aligned (Nikki’s voice, Savannah-specific, dual-credential anchored where relevant).</w:t>
      </w:r>
    </w:p>
    <w:p>
      <w:r>
        <w:pict>
          <v:rect style="width:0;height:1.5pt" o:hralign="center" o:hrstd="t" o:hr="t"/>
        </w:pict>
      </w:r>
    </w:p>
    <w:bookmarkStart w:id="9" w:name="X336bbc67acc44a407b6f6bae88bc3c1a1c86f32"/>
    <w:p>
      <w:pPr>
        <w:pStyle w:val="Heading2"/>
      </w:pPr>
      <w:r>
        <w:t xml:space="preserve">Local Insider —</w:t>
      </w:r>
      <w:r>
        <w:t xml:space="preserve"> </w:t>
      </w:r>
      <w:r>
        <w:t xml:space="preserve">“Three quiet [things]”</w:t>
      </w:r>
      <w:r>
        <w:t xml:space="preserve"> </w:t>
      </w:r>
      <w:r>
        <w:t xml:space="preserve">structure</w:t>
      </w:r>
    </w:p>
    <w:p>
      <w:pPr>
        <w:pStyle w:val="Compact"/>
        <w:numPr>
          <w:ilvl w:val="0"/>
          <w:numId w:val="1001"/>
        </w:numPr>
      </w:pPr>
      <w:r>
        <w:t xml:space="preserve">Three quiet places to drink coffee in Savannah no one tells transplants about</w:t>
      </w:r>
    </w:p>
    <w:p>
      <w:pPr>
        <w:pStyle w:val="Compact"/>
        <w:numPr>
          <w:ilvl w:val="0"/>
          <w:numId w:val="1001"/>
        </w:numPr>
      </w:pPr>
      <w:r>
        <w:t xml:space="preserve">Three streets in Ardsley Park I’d walk before I’d buy in the neighborhood</w:t>
      </w:r>
    </w:p>
    <w:p>
      <w:pPr>
        <w:pStyle w:val="Compact"/>
        <w:numPr>
          <w:ilvl w:val="0"/>
          <w:numId w:val="1001"/>
        </w:numPr>
      </w:pPr>
      <w:r>
        <w:t xml:space="preserve">Three weeks of the year Savannah is at her absolute best</w:t>
      </w:r>
    </w:p>
    <w:p>
      <w:pPr>
        <w:pStyle w:val="Compact"/>
        <w:numPr>
          <w:ilvl w:val="0"/>
          <w:numId w:val="1001"/>
        </w:numPr>
      </w:pPr>
      <w:r>
        <w:t xml:space="preserve">Three Tybee Island sunrises that aren’t on the postcards</w:t>
      </w:r>
    </w:p>
    <w:p>
      <w:pPr>
        <w:pStyle w:val="Compact"/>
        <w:numPr>
          <w:ilvl w:val="0"/>
          <w:numId w:val="1001"/>
        </w:numPr>
      </w:pPr>
      <w:r>
        <w:t xml:space="preserve">Three Forsyth Park benches that get the best afternoon light</w:t>
      </w:r>
    </w:p>
    <w:p>
      <w:pPr>
        <w:pStyle w:val="Compact"/>
        <w:numPr>
          <w:ilvl w:val="0"/>
          <w:numId w:val="1001"/>
        </w:numPr>
      </w:pPr>
      <w:r>
        <w:t xml:space="preserve">Three coffee shops that survive the tourists and the locals never leave</w:t>
      </w:r>
    </w:p>
    <w:p>
      <w:pPr>
        <w:pStyle w:val="Compact"/>
        <w:numPr>
          <w:ilvl w:val="0"/>
          <w:numId w:val="1001"/>
        </w:numPr>
      </w:pPr>
      <w:r>
        <w:t xml:space="preserve">Three Savannah squares you’d skip on a tour but lived-in regulars love</w:t>
      </w:r>
    </w:p>
    <w:p>
      <w:pPr>
        <w:pStyle w:val="Compact"/>
        <w:numPr>
          <w:ilvl w:val="0"/>
          <w:numId w:val="1001"/>
        </w:numPr>
      </w:pPr>
      <w:r>
        <w:t xml:space="preserve">Three Pooler streets where new construction actually got the porch right</w:t>
      </w:r>
    </w:p>
    <w:p>
      <w:pPr>
        <w:pStyle w:val="Compact"/>
        <w:numPr>
          <w:ilvl w:val="0"/>
          <w:numId w:val="1001"/>
        </w:numPr>
      </w:pPr>
      <w:r>
        <w:t xml:space="preserve">Three Skidaway gates that hide the best marsh views in the Lowcountry</w:t>
      </w:r>
    </w:p>
    <w:p>
      <w:pPr>
        <w:pStyle w:val="Compact"/>
        <w:numPr>
          <w:ilvl w:val="0"/>
          <w:numId w:val="1001"/>
        </w:numPr>
      </w:pPr>
      <w:r>
        <w:t xml:space="preserve">Three reasons relocators end up moving twice in their first two years here</w:t>
      </w:r>
    </w:p>
    <w:p>
      <w:r>
        <w:pict>
          <v:rect style="width:0;height:1.5pt" o:hralign="center" o:hrstd="t" o:hr="t"/>
        </w:pict>
      </w:r>
    </w:p>
    <w:bookmarkEnd w:id="9"/>
    <w:bookmarkStart w:id="10" w:name="Xbf7303dede417d315c570d5d8cecac445509f52"/>
    <w:p>
      <w:pPr>
        <w:pStyle w:val="Heading2"/>
      </w:pPr>
      <w:r>
        <w:t xml:space="preserve">Appraiser Credential —</w:t>
      </w:r>
      <w:r>
        <w:t xml:space="preserve"> </w:t>
      </w:r>
      <w:r>
        <w:t xml:space="preserve">“What an appraiser sees”</w:t>
      </w:r>
      <w:r>
        <w:t xml:space="preserve"> </w:t>
      </w:r>
      <w:r>
        <w:t xml:space="preserve">structure</w:t>
      </w:r>
    </w:p>
    <w:p>
      <w:pPr>
        <w:pStyle w:val="Compact"/>
        <w:numPr>
          <w:ilvl w:val="0"/>
          <w:numId w:val="1002"/>
        </w:numPr>
      </w:pPr>
      <w:r>
        <w:t xml:space="preserve">What an appraiser sees in a Savannah waterfront home that a CMA misses</w:t>
      </w:r>
    </w:p>
    <w:p>
      <w:pPr>
        <w:pStyle w:val="Compact"/>
        <w:numPr>
          <w:ilvl w:val="0"/>
          <w:numId w:val="1002"/>
        </w:numPr>
      </w:pPr>
      <w:r>
        <w:t xml:space="preserve">What an appraiser does the first 60 seconds of walking a pre-list home</w:t>
      </w:r>
    </w:p>
    <w:p>
      <w:pPr>
        <w:pStyle w:val="Compact"/>
        <w:numPr>
          <w:ilvl w:val="0"/>
          <w:numId w:val="1002"/>
        </w:numPr>
      </w:pPr>
      <w:r>
        <w:t xml:space="preserve">What an appraiser knows about Ardsley Park that the listing photos won’t tell you</w:t>
      </w:r>
    </w:p>
    <w:p>
      <w:pPr>
        <w:pStyle w:val="Compact"/>
        <w:numPr>
          <w:ilvl w:val="0"/>
          <w:numId w:val="1002"/>
        </w:numPr>
      </w:pPr>
      <w:r>
        <w:t xml:space="preserve">What 21 years of appraising the Lowcountry taught me about historic-home pricing</w:t>
      </w:r>
    </w:p>
    <w:p>
      <w:pPr>
        <w:pStyle w:val="Compact"/>
        <w:numPr>
          <w:ilvl w:val="0"/>
          <w:numId w:val="1002"/>
        </w:numPr>
      </w:pPr>
      <w:r>
        <w:t xml:space="preserve">What an appraiser-trained perspective looks for in Tybee 1st-row vs 2nd-row homes</w:t>
      </w:r>
    </w:p>
    <w:p>
      <w:pPr>
        <w:pStyle w:val="Compact"/>
        <w:numPr>
          <w:ilvl w:val="0"/>
          <w:numId w:val="1002"/>
        </w:numPr>
      </w:pPr>
      <w:r>
        <w:t xml:space="preserve">What an appraiser would flag in a Pooler new build that Zillow’s algorithm misses</w:t>
      </w:r>
    </w:p>
    <w:p>
      <w:pPr>
        <w:pStyle w:val="Compact"/>
        <w:numPr>
          <w:ilvl w:val="0"/>
          <w:numId w:val="1002"/>
        </w:numPr>
      </w:pPr>
      <w:r>
        <w:t xml:space="preserve">What an appraiser values about a 1928 cottage that gets understated in a quick walkthrough</w:t>
      </w:r>
    </w:p>
    <w:p>
      <w:pPr>
        <w:pStyle w:val="Compact"/>
        <w:numPr>
          <w:ilvl w:val="0"/>
          <w:numId w:val="1002"/>
        </w:numPr>
      </w:pPr>
      <w:r>
        <w:t xml:space="preserve">What an appraiser would never adjust for — even when the seller swears it’s worth it</w:t>
      </w:r>
    </w:p>
    <w:p>
      <w:pPr>
        <w:pStyle w:val="Compact"/>
        <w:numPr>
          <w:ilvl w:val="0"/>
          <w:numId w:val="1002"/>
        </w:numPr>
      </w:pPr>
      <w:r>
        <w:t xml:space="preserve">What 21 years of appraising taught me to look for in Savannah waterfront pricing</w:t>
      </w:r>
    </w:p>
    <w:p>
      <w:pPr>
        <w:pStyle w:val="Compact"/>
        <w:numPr>
          <w:ilvl w:val="0"/>
          <w:numId w:val="1002"/>
        </w:numPr>
      </w:pPr>
      <w:r>
        <w:t xml:space="preserve">What an appraiser-trained eye picks up in a Habersham home in 60 seconds</w:t>
      </w:r>
    </w:p>
    <w:p>
      <w:r>
        <w:pict>
          <v:rect style="width:0;height:1.5pt" o:hralign="center" o:hrstd="t" o:hr="t"/>
        </w:pict>
      </w:r>
    </w:p>
    <w:bookmarkEnd w:id="10"/>
    <w:bookmarkStart w:id="11" w:name="honest-comparison-structure"/>
    <w:p>
      <w:pPr>
        <w:pStyle w:val="Heading2"/>
      </w:pPr>
      <w:r>
        <w:t xml:space="preserve">Honest Comparison structure</w:t>
      </w:r>
    </w:p>
    <w:p>
      <w:pPr>
        <w:pStyle w:val="Compact"/>
        <w:numPr>
          <w:ilvl w:val="0"/>
          <w:numId w:val="1003"/>
        </w:numPr>
      </w:pPr>
      <w:r>
        <w:t xml:space="preserve">Ardsley Park vs Habersham — the honest tradeoffs</w:t>
      </w:r>
    </w:p>
    <w:p>
      <w:pPr>
        <w:pStyle w:val="Compact"/>
        <w:numPr>
          <w:ilvl w:val="0"/>
          <w:numId w:val="1003"/>
        </w:numPr>
      </w:pPr>
      <w:r>
        <w:t xml:space="preserve">Tybee Island in winter vs Tybee in July — and which one buyers actually move to</w:t>
      </w:r>
    </w:p>
    <w:p>
      <w:pPr>
        <w:pStyle w:val="Compact"/>
        <w:numPr>
          <w:ilvl w:val="0"/>
          <w:numId w:val="1003"/>
        </w:numPr>
      </w:pPr>
      <w:r>
        <w:t xml:space="preserve">Pooler vs Richmond Hill — taxes, drive time, schools, breakdown</w:t>
      </w:r>
    </w:p>
    <w:p>
      <w:pPr>
        <w:pStyle w:val="Compact"/>
        <w:numPr>
          <w:ilvl w:val="0"/>
          <w:numId w:val="1003"/>
        </w:numPr>
      </w:pPr>
      <w:r>
        <w:t xml:space="preserve">New construction vs 1928 cottage — the real costs of each over 10 years</w:t>
      </w:r>
    </w:p>
    <w:p>
      <w:pPr>
        <w:pStyle w:val="Compact"/>
        <w:numPr>
          <w:ilvl w:val="0"/>
          <w:numId w:val="1003"/>
        </w:numPr>
      </w:pPr>
      <w:r>
        <w:t xml:space="preserve">Skidaway vs The Landings — what each gate actually buys you</w:t>
      </w:r>
    </w:p>
    <w:p>
      <w:pPr>
        <w:pStyle w:val="Compact"/>
        <w:numPr>
          <w:ilvl w:val="0"/>
          <w:numId w:val="1003"/>
        </w:numPr>
      </w:pPr>
      <w:r>
        <w:t xml:space="preserve">Bryan County vs Effingham — for downsizers, the math is different</w:t>
      </w:r>
    </w:p>
    <w:p>
      <w:pPr>
        <w:pStyle w:val="Compact"/>
        <w:numPr>
          <w:ilvl w:val="0"/>
          <w:numId w:val="1003"/>
        </w:numPr>
      </w:pPr>
      <w:r>
        <w:t xml:space="preserve">Living in the Historic District vs visiting it — what permanent residents wish they’d known</w:t>
      </w:r>
    </w:p>
    <w:p>
      <w:pPr>
        <w:pStyle w:val="Compact"/>
        <w:numPr>
          <w:ilvl w:val="0"/>
          <w:numId w:val="1003"/>
        </w:numPr>
      </w:pPr>
      <w:r>
        <w:t xml:space="preserve">$750K in Ardsley Park vs $750K on Tybee — what each gets you in 2026</w:t>
      </w:r>
    </w:p>
    <w:p>
      <w:pPr>
        <w:pStyle w:val="Compact"/>
        <w:numPr>
          <w:ilvl w:val="0"/>
          <w:numId w:val="1003"/>
        </w:numPr>
      </w:pPr>
      <w:r>
        <w:t xml:space="preserve">Buying in the Landmark District vs renting first — when each actually makes sense</w:t>
      </w:r>
    </w:p>
    <w:p>
      <w:pPr>
        <w:pStyle w:val="Compact"/>
        <w:numPr>
          <w:ilvl w:val="0"/>
          <w:numId w:val="1003"/>
        </w:numPr>
      </w:pPr>
      <w:r>
        <w:t xml:space="preserve">Hunter AAF housing on-base vs Pooler off-base — the real cost-of-living delta</w:t>
      </w:r>
    </w:p>
    <w:p>
      <w:r>
        <w:pict>
          <v:rect style="width:0;height:1.5pt" o:hralign="center" o:hrstd="t" o:hr="t"/>
        </w:pict>
      </w:r>
    </w:p>
    <w:bookmarkEnd w:id="11"/>
    <w:bookmarkStart w:id="12" w:name="X110035bfaf51920fead162c317988864798fb72"/>
    <w:p>
      <w:pPr>
        <w:pStyle w:val="Heading2"/>
      </w:pPr>
      <w:r>
        <w:t xml:space="preserve">Relocator Narrative —</w:t>
      </w:r>
      <w:r>
        <w:t xml:space="preserve"> </w:t>
      </w:r>
      <w:r>
        <w:t xml:space="preserve">“From [origin] to Savannah”</w:t>
      </w:r>
    </w:p>
    <w:p>
      <w:pPr>
        <w:pStyle w:val="Compact"/>
        <w:numPr>
          <w:ilvl w:val="0"/>
          <w:numId w:val="1004"/>
        </w:numPr>
      </w:pPr>
      <w:r>
        <w:t xml:space="preserve">From Brooklyn to Pooler — what surprised her most after the move</w:t>
      </w:r>
    </w:p>
    <w:p>
      <w:pPr>
        <w:pStyle w:val="Compact"/>
        <w:numPr>
          <w:ilvl w:val="0"/>
          <w:numId w:val="1004"/>
        </w:numPr>
      </w:pPr>
      <w:r>
        <w:t xml:space="preserve">From 4000 sqft Skidaway to 1500 sqft Tybee — and why she’s never been happier</w:t>
      </w:r>
    </w:p>
    <w:p>
      <w:pPr>
        <w:pStyle w:val="Compact"/>
        <w:numPr>
          <w:ilvl w:val="0"/>
          <w:numId w:val="1004"/>
        </w:numPr>
      </w:pPr>
      <w:r>
        <w:t xml:space="preserve">From Northern Virginia to Habersham — what the math actually looked like</w:t>
      </w:r>
    </w:p>
    <w:p>
      <w:pPr>
        <w:pStyle w:val="Compact"/>
        <w:numPr>
          <w:ilvl w:val="0"/>
          <w:numId w:val="1004"/>
        </w:numPr>
      </w:pPr>
      <w:r>
        <w:t xml:space="preserve">From Bay Area to Bryan County — the cost-of-living shift in real numbers</w:t>
      </w:r>
    </w:p>
    <w:p>
      <w:pPr>
        <w:pStyle w:val="Compact"/>
        <w:numPr>
          <w:ilvl w:val="0"/>
          <w:numId w:val="1004"/>
        </w:numPr>
      </w:pPr>
      <w:r>
        <w:t xml:space="preserve">From Boston to Ardsley Park — what 90 days of porch life taught her</w:t>
      </w:r>
    </w:p>
    <w:p>
      <w:pPr>
        <w:pStyle w:val="Compact"/>
        <w:numPr>
          <w:ilvl w:val="0"/>
          <w:numId w:val="1004"/>
        </w:numPr>
      </w:pPr>
      <w:r>
        <w:t xml:space="preserve">From Atlanta to Wormsloe — when the relocation is intra-state</w:t>
      </w:r>
    </w:p>
    <w:p>
      <w:pPr>
        <w:pStyle w:val="Compact"/>
        <w:numPr>
          <w:ilvl w:val="0"/>
          <w:numId w:val="1004"/>
        </w:numPr>
      </w:pPr>
      <w:r>
        <w:t xml:space="preserve">From Manhattan to Savannah — three things she mis-budgeted in month one</w:t>
      </w:r>
    </w:p>
    <w:p>
      <w:pPr>
        <w:pStyle w:val="Compact"/>
        <w:numPr>
          <w:ilvl w:val="0"/>
          <w:numId w:val="1004"/>
        </w:numPr>
      </w:pPr>
      <w:r>
        <w:t xml:space="preserve">From California to the Lowcountry — what military spouses know about PCS to Hunter AAF</w:t>
      </w:r>
    </w:p>
    <w:p>
      <w:pPr>
        <w:pStyle w:val="Compact"/>
        <w:numPr>
          <w:ilvl w:val="0"/>
          <w:numId w:val="1004"/>
        </w:numPr>
      </w:pPr>
      <w:r>
        <w:t xml:space="preserve">From Connecticut to Tybee — selling the second home, buying the first chapter</w:t>
      </w:r>
    </w:p>
    <w:p>
      <w:pPr>
        <w:pStyle w:val="Compact"/>
        <w:numPr>
          <w:ilvl w:val="0"/>
          <w:numId w:val="1004"/>
        </w:numPr>
      </w:pPr>
      <w:r>
        <w:t xml:space="preserve">From Texas to Richmond Hill — the marsh-vs-prairie adjustment</w:t>
      </w:r>
    </w:p>
    <w:p>
      <w:r>
        <w:pict>
          <v:rect style="width:0;height:1.5pt" o:hralign="center" o:hrstd="t" o:hr="t"/>
        </w:pict>
      </w:r>
    </w:p>
    <w:bookmarkEnd w:id="12"/>
    <w:bookmarkStart w:id="13" w:name="pearl-found-listing-announcement"/>
    <w:p>
      <w:pPr>
        <w:pStyle w:val="Heading2"/>
      </w:pPr>
      <w:r>
        <w:t xml:space="preserve">Pearl Found — Listing announcement</w:t>
      </w:r>
    </w:p>
    <w:p>
      <w:pPr>
        <w:pStyle w:val="Compact"/>
        <w:numPr>
          <w:ilvl w:val="0"/>
          <w:numId w:val="1005"/>
        </w:numPr>
      </w:pPr>
      <w:r>
        <w:t xml:space="preserve">Pearl found: a 1920 cottage in the Landmark District</w:t>
      </w:r>
    </w:p>
    <w:p>
      <w:pPr>
        <w:pStyle w:val="Compact"/>
        <w:numPr>
          <w:ilvl w:val="0"/>
          <w:numId w:val="1005"/>
        </w:numPr>
      </w:pPr>
      <w:r>
        <w:t xml:space="preserve">A pearl on the marsh — coming soon to Wilmington Island</w:t>
      </w:r>
    </w:p>
    <w:p>
      <w:pPr>
        <w:pStyle w:val="Compact"/>
        <w:numPr>
          <w:ilvl w:val="0"/>
          <w:numId w:val="1005"/>
        </w:numPr>
      </w:pPr>
      <w:r>
        <w:t xml:space="preserve">Pearl found: 4 bedrooms in The Landings under $1.2M</w:t>
      </w:r>
    </w:p>
    <w:p>
      <w:pPr>
        <w:pStyle w:val="Compact"/>
        <w:numPr>
          <w:ilvl w:val="0"/>
          <w:numId w:val="1005"/>
        </w:numPr>
      </w:pPr>
      <w:r>
        <w:t xml:space="preserve">A pearl on Tybee Island — west-facing sunsets, eastward dunes</w:t>
      </w:r>
    </w:p>
    <w:p>
      <w:pPr>
        <w:pStyle w:val="Compact"/>
        <w:numPr>
          <w:ilvl w:val="0"/>
          <w:numId w:val="1005"/>
        </w:numPr>
      </w:pPr>
      <w:r>
        <w:t xml:space="preserve">Pearl found: a Pooler new build that nailed the porch</w:t>
      </w:r>
    </w:p>
    <w:p>
      <w:pPr>
        <w:pStyle w:val="Compact"/>
        <w:numPr>
          <w:ilvl w:val="0"/>
          <w:numId w:val="1005"/>
        </w:numPr>
      </w:pPr>
      <w:r>
        <w:t xml:space="preserve">A pearl in Habersham — quieter than you’d expect, closer than you’d think</w:t>
      </w:r>
    </w:p>
    <w:p>
      <w:pPr>
        <w:pStyle w:val="Compact"/>
        <w:numPr>
          <w:ilvl w:val="0"/>
          <w:numId w:val="1005"/>
        </w:numPr>
      </w:pPr>
      <w:r>
        <w:t xml:space="preserve">Pearl found: Ardsley Park brick bungalow with original heart-pine</w:t>
      </w:r>
    </w:p>
    <w:p>
      <w:pPr>
        <w:pStyle w:val="Compact"/>
        <w:numPr>
          <w:ilvl w:val="0"/>
          <w:numId w:val="1005"/>
        </w:numPr>
      </w:pPr>
      <w:r>
        <w:t xml:space="preserve">A pearl on Skidaway — gated, golf, marsh, and the right price bracket</w:t>
      </w:r>
    </w:p>
    <w:p>
      <w:pPr>
        <w:pStyle w:val="Compact"/>
        <w:numPr>
          <w:ilvl w:val="0"/>
          <w:numId w:val="1005"/>
        </w:numPr>
      </w:pPr>
      <w:r>
        <w:t xml:space="preserve">Pearl found: a Richmond Hill estate with deepwater dock</w:t>
      </w:r>
    </w:p>
    <w:p>
      <w:pPr>
        <w:pStyle w:val="Compact"/>
        <w:numPr>
          <w:ilvl w:val="0"/>
          <w:numId w:val="1005"/>
        </w:numPr>
      </w:pPr>
      <w:r>
        <w:t xml:space="preserve">A pearl in Bonaventure — late-autumn light, century oaks</w:t>
      </w:r>
    </w:p>
    <w:p>
      <w:r>
        <w:pict>
          <v:rect style="width:0;height:1.5pt" o:hralign="center" o:hrstd="t" o:hr="t"/>
        </w:pict>
      </w:r>
    </w:p>
    <w:bookmarkEnd w:id="13"/>
    <w:bookmarkStart w:id="14" w:name="honest-answer-to"/>
    <w:p>
      <w:pPr>
        <w:pStyle w:val="Heading2"/>
      </w:pPr>
      <w:r>
        <w:t xml:space="preserve">Honest Answer To…</w:t>
      </w:r>
    </w:p>
    <w:p>
      <w:pPr>
        <w:pStyle w:val="Compact"/>
        <w:numPr>
          <w:ilvl w:val="0"/>
          <w:numId w:val="1006"/>
        </w:numPr>
      </w:pPr>
      <w:r>
        <w:t xml:space="preserve">Honest answer to:</w:t>
      </w:r>
      <w:r>
        <w:t xml:space="preserve"> </w:t>
      </w:r>
      <w:r>
        <w:t xml:space="preserve">“Should I sell now or wait?”</w:t>
      </w:r>
    </w:p>
    <w:p>
      <w:pPr>
        <w:pStyle w:val="Compact"/>
        <w:numPr>
          <w:ilvl w:val="0"/>
          <w:numId w:val="1006"/>
        </w:numPr>
      </w:pPr>
      <w:r>
        <w:t xml:space="preserve">Honest answer to:</w:t>
      </w:r>
      <w:r>
        <w:t xml:space="preserve"> </w:t>
      </w:r>
      <w:r>
        <w:t xml:space="preserve">“Is Tybee really worth what they’re asking?”</w:t>
      </w:r>
    </w:p>
    <w:p>
      <w:pPr>
        <w:pStyle w:val="Compact"/>
        <w:numPr>
          <w:ilvl w:val="0"/>
          <w:numId w:val="1006"/>
        </w:numPr>
      </w:pPr>
      <w:r>
        <w:t xml:space="preserve">Honest answer to:</w:t>
      </w:r>
      <w:r>
        <w:t xml:space="preserve"> </w:t>
      </w:r>
      <w:r>
        <w:t xml:space="preserve">“Will my home appraise for what we’re listing it for?”</w:t>
      </w:r>
    </w:p>
    <w:p>
      <w:pPr>
        <w:pStyle w:val="Compact"/>
        <w:numPr>
          <w:ilvl w:val="0"/>
          <w:numId w:val="1006"/>
        </w:numPr>
      </w:pPr>
      <w:r>
        <w:t xml:space="preserve">Honest answer to:</w:t>
      </w:r>
      <w:r>
        <w:t xml:space="preserve"> </w:t>
      </w:r>
      <w:r>
        <w:t xml:space="preserve">“Is now a good time to relocate to Savannah?”</w:t>
      </w:r>
    </w:p>
    <w:p>
      <w:pPr>
        <w:pStyle w:val="Compact"/>
        <w:numPr>
          <w:ilvl w:val="0"/>
          <w:numId w:val="1006"/>
        </w:numPr>
      </w:pPr>
      <w:r>
        <w:t xml:space="preserve">Honest answer to:</w:t>
      </w:r>
      <w:r>
        <w:t xml:space="preserve"> </w:t>
      </w:r>
      <w:r>
        <w:t xml:space="preserve">“Should I downsize this year or hold for one more?”</w:t>
      </w:r>
    </w:p>
    <w:p>
      <w:pPr>
        <w:pStyle w:val="Compact"/>
        <w:numPr>
          <w:ilvl w:val="0"/>
          <w:numId w:val="1006"/>
        </w:numPr>
      </w:pPr>
      <w:r>
        <w:t xml:space="preserve">Honest answer to:</w:t>
      </w:r>
      <w:r>
        <w:t xml:space="preserve"> </w:t>
      </w:r>
      <w:r>
        <w:t xml:space="preserve">“Why are some Ardsley Park homes selling in days and others sitting for months?”</w:t>
      </w:r>
    </w:p>
    <w:p>
      <w:pPr>
        <w:pStyle w:val="Compact"/>
        <w:numPr>
          <w:ilvl w:val="0"/>
          <w:numId w:val="1006"/>
        </w:numPr>
      </w:pPr>
      <w:r>
        <w:t xml:space="preserve">Honest answer to:</w:t>
      </w:r>
      <w:r>
        <w:t xml:space="preserve"> </w:t>
      </w:r>
      <w:r>
        <w:t xml:space="preserve">“Is the historic district overpriced?”</w:t>
      </w:r>
    </w:p>
    <w:p>
      <w:pPr>
        <w:pStyle w:val="Compact"/>
        <w:numPr>
          <w:ilvl w:val="0"/>
          <w:numId w:val="1006"/>
        </w:numPr>
      </w:pPr>
      <w:r>
        <w:t xml:space="preserve">Honest answer to:</w:t>
      </w:r>
      <w:r>
        <w:t xml:space="preserve"> </w:t>
      </w:r>
      <w:r>
        <w:t xml:space="preserve">“What does flood insurance actually cost on Tybee?”</w:t>
      </w:r>
    </w:p>
    <w:p>
      <w:pPr>
        <w:pStyle w:val="Compact"/>
        <w:numPr>
          <w:ilvl w:val="0"/>
          <w:numId w:val="1006"/>
        </w:numPr>
      </w:pPr>
      <w:r>
        <w:t xml:space="preserve">Honest answer to:</w:t>
      </w:r>
      <w:r>
        <w:t xml:space="preserve"> </w:t>
      </w:r>
      <w:r>
        <w:t xml:space="preserve">“Are Pooler new builds a good investment in 2026?”</w:t>
      </w:r>
    </w:p>
    <w:p>
      <w:pPr>
        <w:pStyle w:val="Compact"/>
        <w:numPr>
          <w:ilvl w:val="0"/>
          <w:numId w:val="1006"/>
        </w:numPr>
      </w:pPr>
      <w:r>
        <w:t xml:space="preserve">Honest answer to:</w:t>
      </w:r>
      <w:r>
        <w:t xml:space="preserve"> </w:t>
      </w:r>
      <w:r>
        <w:t xml:space="preserve">“Which Lowcountry neighborhood holds value best?”</w:t>
      </w:r>
    </w:p>
    <w:p>
      <w:r>
        <w:pict>
          <v:rect style="width:0;height:1.5pt" o:hralign="center" o:hrstd="t" o:hr="t"/>
        </w:pict>
      </w:r>
    </w:p>
    <w:bookmarkEnd w:id="14"/>
    <w:bookmarkStart w:id="15" w:name="high-leverage-one-offs"/>
    <w:p>
      <w:pPr>
        <w:pStyle w:val="Heading2"/>
      </w:pPr>
      <w:r>
        <w:t xml:space="preserve">High-leverage one-offs</w:t>
      </w:r>
    </w:p>
    <w:p>
      <w:pPr>
        <w:pStyle w:val="Compact"/>
        <w:numPr>
          <w:ilvl w:val="0"/>
          <w:numId w:val="1007"/>
        </w:numPr>
      </w:pPr>
      <w:r>
        <w:t xml:space="preserve">The 60-second test I run on every Savannah home before I’d let a buyer bid</w:t>
      </w:r>
    </w:p>
    <w:p>
      <w:pPr>
        <w:pStyle w:val="Compact"/>
        <w:numPr>
          <w:ilvl w:val="0"/>
          <w:numId w:val="1007"/>
        </w:numPr>
      </w:pPr>
      <w:r>
        <w:t xml:space="preserve">The four costs no one warns relocators about in their first year</w:t>
      </w:r>
    </w:p>
    <w:p>
      <w:pPr>
        <w:pStyle w:val="Compact"/>
        <w:numPr>
          <w:ilvl w:val="0"/>
          <w:numId w:val="1007"/>
        </w:numPr>
      </w:pPr>
      <w:r>
        <w:t xml:space="preserve">Why most Savannah sellers price by hope — and what the comparables show instead</w:t>
      </w:r>
    </w:p>
    <w:p>
      <w:pPr>
        <w:pStyle w:val="Compact"/>
        <w:numPr>
          <w:ilvl w:val="0"/>
          <w:numId w:val="1007"/>
        </w:numPr>
      </w:pPr>
      <w:r>
        <w:t xml:space="preserve">The single question every Savannah seller should ask BEFORE they sign a listing agreement</w:t>
      </w:r>
    </w:p>
    <w:p>
      <w:pPr>
        <w:pStyle w:val="Compact"/>
        <w:numPr>
          <w:ilvl w:val="0"/>
          <w:numId w:val="1007"/>
        </w:numPr>
      </w:pPr>
      <w:r>
        <w:t xml:space="preserve">Three things sellers swear add value that comparables don’t actually support</w:t>
      </w:r>
    </w:p>
    <w:p>
      <w:pPr>
        <w:pStyle w:val="Compact"/>
        <w:numPr>
          <w:ilvl w:val="0"/>
          <w:numId w:val="1007"/>
        </w:numPr>
      </w:pPr>
      <w:r>
        <w:t xml:space="preserve">What 159 Savannah neighborhood walks taught me about light, lot, and longevity</w:t>
      </w:r>
    </w:p>
    <w:p>
      <w:r>
        <w:pict>
          <v:rect style="width:0;height:1.5pt" o:hralign="center" o:hrstd="t" o:hr="t"/>
        </w:pict>
      </w:r>
    </w:p>
    <w:bookmarkEnd w:id="15"/>
    <w:bookmarkStart w:id="16" w:name="how-to-test-a-hook"/>
    <w:p>
      <w:pPr>
        <w:pStyle w:val="Heading2"/>
      </w:pPr>
      <w:r>
        <w:t xml:space="preserve">How to test a hook</w:t>
      </w:r>
    </w:p>
    <w:p>
      <w:pPr>
        <w:pStyle w:val="FirstParagraph"/>
      </w:pPr>
      <w:r>
        <w:t xml:space="preserve">For every hook you ship: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Persona check</w:t>
      </w:r>
      <w:r>
        <w:t xml:space="preserve"> </w:t>
      </w:r>
      <w:r>
        <w:t xml:space="preserve">— which of the 5 personas would stop scrolling for this? If</w:t>
      </w:r>
      <w:r>
        <w:t xml:space="preserve"> </w:t>
      </w:r>
      <w:r>
        <w:t xml:space="preserve">“all,”</w:t>
      </w:r>
      <w:r>
        <w:t xml:space="preserve"> </w:t>
      </w:r>
      <w:r>
        <w:t xml:space="preserve">the hook is too generic.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Specificity check</w:t>
      </w:r>
      <w:r>
        <w:t xml:space="preserve"> </w:t>
      </w:r>
      <w:r>
        <w:t xml:space="preserve">— does it name a place, a number, a feature, or a person? Generic = ignored.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USPAP check</w:t>
      </w:r>
      <w:r>
        <w:t xml:space="preserve"> </w:t>
      </w:r>
      <w:r>
        <w:t xml:space="preserve">— does it imply a value guarantee? If yes, rewrite.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Voice check</w:t>
      </w:r>
      <w:r>
        <w:t xml:space="preserve"> </w:t>
      </w:r>
      <w:r>
        <w:t xml:space="preserve">— would Nikki actually say this? Or does it sound like AI?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Length check</w:t>
      </w:r>
      <w:r>
        <w:t xml:space="preserve"> </w:t>
      </w:r>
      <w:r>
        <w:t xml:space="preserve">— under 12 words for IG/TikTok. Under 60 chars for ad creative. Under 80 chars for blog title (for SEO).</w:t>
      </w:r>
    </w:p>
    <w:p>
      <w:r>
        <w:pict>
          <v:rect style="width:0;height:1.5pt" o:hralign="center" o:hrstd="t" o:hr="t"/>
        </w:pict>
      </w:r>
    </w:p>
    <w:bookmarkEnd w:id="16"/>
    <w:bookmarkStart w:id="17" w:name="how-to-use-this-bank"/>
    <w:p>
      <w:pPr>
        <w:pStyle w:val="Heading2"/>
      </w:pPr>
      <w:r>
        <w:t xml:space="preserve">How to use this bank</w:t>
      </w:r>
    </w:p>
    <w:p>
      <w:pPr>
        <w:pStyle w:val="Compact"/>
        <w:numPr>
          <w:ilvl w:val="0"/>
          <w:numId w:val="1009"/>
        </w:numPr>
      </w:pPr>
      <w:r>
        <w:t xml:space="preserve">For a new piece, scan by structure first (Local Insider / Appraiser / Comparison / Relocator / Pearl Found / Honest Answer)</w:t>
      </w:r>
    </w:p>
    <w:p>
      <w:pPr>
        <w:pStyle w:val="Compact"/>
        <w:numPr>
          <w:ilvl w:val="0"/>
          <w:numId w:val="1009"/>
        </w:numPr>
      </w:pPr>
      <w:r>
        <w:t xml:space="preserve">Pick 2 hook options for A/B testing</w:t>
      </w:r>
    </w:p>
    <w:p>
      <w:pPr>
        <w:pStyle w:val="Compact"/>
        <w:numPr>
          <w:ilvl w:val="0"/>
          <w:numId w:val="1009"/>
        </w:numPr>
      </w:pPr>
      <w:r>
        <w:t xml:space="preserve">Customize the specifics (names, places, dollar bands) to the actual content</w:t>
      </w:r>
    </w:p>
    <w:p>
      <w:pPr>
        <w:pStyle w:val="Compact"/>
        <w:numPr>
          <w:ilvl w:val="0"/>
          <w:numId w:val="1009"/>
        </w:numPr>
      </w:pPr>
      <w:r>
        <w:t xml:space="preserve">Track which hooks pull (Monday Brief surfaces top-3 each week)</w:t>
      </w:r>
    </w:p>
    <w:p>
      <w:pPr>
        <w:pStyle w:val="Compact"/>
        <w:numPr>
          <w:ilvl w:val="0"/>
          <w:numId w:val="1009"/>
        </w:numPr>
      </w:pPr>
      <w:r>
        <w:t xml:space="preserve">Retire hooks that flop after 3 attempts, even if you like them</w:t>
      </w:r>
    </w:p>
    <w:p>
      <w:pPr>
        <w:pStyle w:val="FirstParagraph"/>
      </w:pPr>
      <w:r>
        <w:t xml:space="preserve">The hook is the only line that makes someone stop. Earn the stop.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51">
    <w:nsid w:val="0A994151"/>
    <w:multiLevelType w:val="multilevel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994161">
    <w:nsid w:val="0A994161"/>
    <w:multiLevelType w:val="multilevel"/>
    <w:lvl w:ilvl="0">
      <w:start w:val="61"/>
      <w:numFmt w:val="decimal"/>
      <w:lvlText w:val="%1."/>
      <w:lvlJc w:val="left"/>
      <w:pPr>
        <w:ind w:left="720" w:hanging="360"/>
      </w:pPr>
    </w:lvl>
    <w:lvl w:ilvl="1">
      <w:start w:val="61"/>
      <w:numFmt w:val="decimal"/>
      <w:lvlText w:val="%2."/>
      <w:lvlJc w:val="left"/>
      <w:pPr>
        <w:ind w:left="1440" w:hanging="360"/>
      </w:pPr>
    </w:lvl>
    <w:lvl w:ilvl="2">
      <w:start w:val="61"/>
      <w:numFmt w:val="decimal"/>
      <w:lvlText w:val="%3."/>
      <w:lvlJc w:val="left"/>
      <w:pPr>
        <w:ind w:left="2160" w:hanging="360"/>
      </w:pPr>
    </w:lvl>
    <w:lvl w:ilvl="3">
      <w:start w:val="61"/>
      <w:numFmt w:val="decimal"/>
      <w:lvlText w:val="%4."/>
      <w:lvlJc w:val="left"/>
      <w:pPr>
        <w:ind w:left="2880" w:hanging="360"/>
      </w:pPr>
    </w:lvl>
    <w:lvl w:ilvl="4">
      <w:start w:val="61"/>
      <w:numFmt w:val="decimal"/>
      <w:lvlText w:val="%5."/>
      <w:lvlJc w:val="left"/>
      <w:pPr>
        <w:ind w:left="3600" w:hanging="360"/>
      </w:pPr>
    </w:lvl>
    <w:lvl w:ilvl="5">
      <w:start w:val="61"/>
      <w:numFmt w:val="decimal"/>
      <w:lvlText w:val="%6."/>
      <w:lvlJc w:val="left"/>
      <w:pPr>
        <w:ind w:left="4320" w:hanging="360"/>
      </w:pPr>
    </w:lvl>
    <w:lvl w:ilvl="6">
      <w:start w:val="61"/>
      <w:numFmt w:val="decimal"/>
      <w:lvlText w:val="%7."/>
      <w:lvlJc w:val="left"/>
      <w:pPr>
        <w:ind w:left="5040" w:hanging="360"/>
      </w:pPr>
    </w:lvl>
    <w:lvl w:ilvl="7">
      <w:start w:val="61"/>
      <w:numFmt w:val="decimal"/>
      <w:lvlText w:val="%8."/>
      <w:lvlJc w:val="left"/>
      <w:pPr>
        <w:ind w:left="5760" w:hanging="360"/>
      </w:pPr>
    </w:lvl>
    <w:lvl w:ilvl="8">
      <w:start w:val="6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4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05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06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7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2026-04-28T17:59:43Z</dcterms:created>
  <dcterms:modified xsi:type="dcterms:W3CDTF">2026-04-28T17:59:43Z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