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Wentworth Institute of Technology</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Fall 2018</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Introduction to Git, COMP#### - Sections 01, 02</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Lecture: </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Location:</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Lab:</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Location:</w:t>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Instructor name: </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Office location:</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Office hours:</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Email:</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Credits/Hours:</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Course Description:</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Students will become familiar with GitHub. They will learn fundamental concepts such as creating repositories, contributing to repositories, and maintaining repositories. Students will get the opportunity to contribute to open-source repositories.</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Prerequisite: none</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Co-requisite: none</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Course Learning Outcomes:</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Become familiar with GitHub and get a head start on becoming an active member in the open-source community.</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Instructional Methodologies:</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Lectures will walk students through GitHub hand-on tutorials. Quizzes and labs will test student’s ability to apply what they learn in lecture. Students will take part in Hacktoberfest to familiarize themselves with contributing to open-source software. A final project will showcase the student’s cumulative knowledge they gained from the course.</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Attendance Policy:</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bookmarkStart w:colFirst="0" w:colLast="0" w:name="_gjdgxs" w:id="0"/>
      <w:bookmarkEnd w:id="0"/>
      <w:r w:rsidDel="00000000" w:rsidR="00000000" w:rsidRPr="00000000">
        <w:rPr>
          <w:sz w:val="24"/>
          <w:szCs w:val="24"/>
          <w:rtl w:val="0"/>
        </w:rPr>
        <w:t xml:space="preserve">Attendance will be taken frequently at both lecture and lab meetings. Each student is expected to strive for 100% attendance. If a student needs to miss a lecture or laboratory, he/she must inform the instructor prior to the scheduled meeting time, stating the reason for the absence. Students who are absent from classes are responsible for all materials covered in that class/lab.</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b w:val="1"/>
          <w:sz w:val="24"/>
          <w:szCs w:val="24"/>
          <w:rtl w:val="0"/>
        </w:rPr>
        <w:t xml:space="preserve">Make-up Policy:</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Makeup quizzes will be offered to those students with college-excused absences. It is the responsibility of the student to notify me of his or her absence (and desire to take a makeup), and to provide documentation of the reason of absence. Ordinary school commitments (e.g., other exams, projects) are not sufficient reason for a makeup exam. Makeup quizzes will be different from regular quizzes, but will cover the same material.</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b w:val="1"/>
          <w:sz w:val="24"/>
          <w:szCs w:val="24"/>
          <w:rtl w:val="0"/>
        </w:rPr>
        <w:t xml:space="preserve">Academic Honesty Statement:</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i w:val="1"/>
          <w:color w:val="000000"/>
          <w:sz w:val="24"/>
          <w:szCs w:val="24"/>
        </w:rPr>
      </w:pPr>
      <w:r w:rsidDel="00000000" w:rsidR="00000000" w:rsidRPr="00000000">
        <w:rPr>
          <w:sz w:val="24"/>
          <w:szCs w:val="24"/>
          <w:rtl w:val="0"/>
        </w:rPr>
        <w:t xml:space="preserve">“St</w:t>
      </w:r>
      <w:r w:rsidDel="00000000" w:rsidR="00000000" w:rsidRPr="00000000">
        <w:rPr>
          <w:i w:val="1"/>
          <w:color w:val="000000"/>
          <w:sz w:val="24"/>
          <w:szCs w:val="24"/>
          <w:rtl w:val="0"/>
        </w:rPr>
        <w:t xml:space="preserve">udents at Wentworth are expected to be honest and forthright in their academic endeavors.  Academic dishonesty includes cheating, inventing false information or citations, plagiarism, tampering with computers, destroying other people’s coursework, lab or studio property, or academic misconduct” (Academic Catalog). See your catalogue for a full explanation.</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Grading Policy:</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 xml:space="preserve">Homeworks:</w:t>
        <w:tab/>
        <w:tab/>
        <w:tab/>
        <w:tab/>
        <w:tab/>
        <w:tab/>
        <w:tab/>
        <w:tab/>
        <w:t xml:space="preserve">20%</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Labs: </w:t>
        <w:tab/>
        <w:tab/>
        <w:tab/>
        <w:tab/>
        <w:tab/>
        <w:tab/>
        <w:tab/>
        <w:tab/>
        <w:tab/>
        <w:t xml:space="preserve">20%</w:t>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 xml:space="preserve">Quizzes: </w:t>
        <w:tab/>
        <w:tab/>
        <w:tab/>
        <w:tab/>
        <w:tab/>
        <w:tab/>
        <w:tab/>
        <w:tab/>
        <w:t xml:space="preserve">10%</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 xml:space="preserve">Final Project:</w:t>
        <w:tab/>
        <w:tab/>
        <w:tab/>
        <w:tab/>
        <w:tab/>
        <w:tab/>
        <w:tab/>
        <w:tab/>
        <w:t xml:space="preserve">50%</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b w:val="1"/>
          <w:sz w:val="24"/>
          <w:szCs w:val="24"/>
        </w:rPr>
      </w:pPr>
      <w:r w:rsidDel="00000000" w:rsidR="00000000" w:rsidRPr="00000000">
        <w:rPr>
          <w:b w:val="1"/>
          <w:sz w:val="24"/>
          <w:szCs w:val="24"/>
          <w:rtl w:val="0"/>
        </w:rPr>
        <w:t xml:space="preserve">Homework:</w:t>
      </w:r>
      <w:r w:rsidDel="00000000" w:rsidR="00000000" w:rsidRPr="00000000">
        <w:rPr>
          <w:sz w:val="24"/>
          <w:szCs w:val="24"/>
          <w:rtl w:val="0"/>
        </w:rPr>
        <w:t xml:space="preserve"> Homework will be assigned periodically throughout the semester. Students will be able to access the assignments from the GitHub repository. Homework will be submitted as pull requests to the Professors forked repository.</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Labs will give students hands-on experience with GitHub. The lab assignments will be </w:t>
      </w:r>
      <w:r w:rsidDel="00000000" w:rsidR="00000000" w:rsidRPr="00000000">
        <w:rPr>
          <w:sz w:val="24"/>
          <w:szCs w:val="24"/>
          <w:rtl w:val="0"/>
        </w:rPr>
        <w:t xml:space="preserve">available on the GitHub repository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Labs will be submitted as pull requests to the Professors forked repository.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Quizzes: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Quizzes will be given periodically throughout the semester as a means of assessing students’ understanding of the covered materials as well as tracking attendance. The quiz policy and date will be announced in class at least one week in advance.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Project(GitHub Pages?):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Near the end of the semester students will be given a final project that will showcase the student’s cumulative knowledge they gained from the course.</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Wentworth Grading System: </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tbl>
      <w:tblPr>
        <w:tblStyle w:val="Table1"/>
        <w:tblW w:w="5689.0" w:type="dxa"/>
        <w:jc w:val="left"/>
        <w:tblInd w:w="1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1709"/>
        <w:gridCol w:w="1865"/>
        <w:tblGridChange w:id="0">
          <w:tblGrid>
            <w:gridCol w:w="2115"/>
            <w:gridCol w:w="1709"/>
            <w:gridCol w:w="1865"/>
          </w:tblGrid>
        </w:tblGridChange>
      </w:tblGrid>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Grade </w:t>
              <w:tab/>
              <w:t xml:space="preserve">Definition</w:t>
            </w:r>
          </w:p>
        </w:tc>
        <w:tc>
          <w:tcPr>
            <w:shd w:fill="auto" w:val="clear"/>
            <w:vAlign w:val="center"/>
          </w:tcPr>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Weight</w:t>
            </w:r>
          </w:p>
        </w:tc>
        <w:tc>
          <w:tcPr>
            <w:shd w:fill="auto" w:val="clear"/>
            <w:vAlign w:val="center"/>
          </w:tcPr>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Numerical</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A</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4.00</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96 – 100</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A-</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3.67</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92 – 95</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B+</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3.33</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88 – 91</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B</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3.00</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84 – 87</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B-</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2.67</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80 – 83</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C+</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2.33</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76 – 79</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C</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2.00</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72 – 75</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C-</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1.67</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68 – 71</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D+</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1.33</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64 – 67</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D</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60 – 63</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F</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0.00</w:t>
            </w:r>
          </w:p>
        </w:tc>
        <w:tc>
          <w:tcPr>
            <w:shd w:fill="auto" w:val="cle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&lt; 60</w:t>
            </w:r>
          </w:p>
        </w:tc>
      </w:tr>
    </w:tbl>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sz w:val="24"/>
          <w:szCs w:val="24"/>
        </w:rPr>
      </w:pPr>
      <w:r w:rsidDel="00000000" w:rsidR="00000000" w:rsidRPr="00000000">
        <w:rPr>
          <w:b w:val="1"/>
          <w:sz w:val="24"/>
          <w:szCs w:val="24"/>
          <w:rtl w:val="0"/>
        </w:rPr>
        <w:t xml:space="preserve">Writing Standards:</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All written work submitted for this course must meet the standards for English I. Poorly written papers will be returned to the students, without a grade, for revision. Students are encouraged to utilize the Center for Teaching and Learning (CTL) facility for help in polishing their papers. In addition, the CTL is located in Beatty 402, and offers FREE tutoring in a number of subjects from all departments, and is open Monday-Friday. You are encouraged to visit the CTL website </w:t>
      </w:r>
      <w:hyperlink r:id="rId5">
        <w:r w:rsidDel="00000000" w:rsidR="00000000" w:rsidRPr="00000000">
          <w:rPr>
            <w:color w:val="0000ff"/>
            <w:sz w:val="24"/>
            <w:szCs w:val="24"/>
            <w:highlight w:val="white"/>
            <w:u w:val="single"/>
            <w:rtl w:val="0"/>
          </w:rPr>
          <w:t xml:space="preserve">http://www.wit.edu/learning-center</w:t>
        </w:r>
      </w:hyperlink>
      <w:r w:rsidDel="00000000" w:rsidR="00000000" w:rsidRPr="00000000">
        <w:rPr>
          <w:color w:val="222222"/>
          <w:sz w:val="24"/>
          <w:szCs w:val="24"/>
          <w:highlight w:val="white"/>
          <w:rtl w:val="0"/>
        </w:rPr>
        <w:t xml:space="preserve"> to make an appointment if you need extra help with your courses.</w:t>
      </w:r>
    </w:p>
    <w:p w:rsidR="00000000" w:rsidDel="00000000" w:rsidP="00000000" w:rsidRDefault="00000000" w:rsidRPr="00000000">
      <w:pPr>
        <w:spacing w:after="0"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22222"/>
          <w:sz w:val="24"/>
          <w:szCs w:val="24"/>
          <w:highlight w:val="white"/>
        </w:rPr>
      </w:pPr>
      <w:r w:rsidDel="00000000" w:rsidR="00000000" w:rsidRPr="00000000">
        <w:rPr>
          <w:b w:val="1"/>
          <w:color w:val="222222"/>
          <w:sz w:val="24"/>
          <w:szCs w:val="24"/>
          <w:highlight w:val="white"/>
          <w:rtl w:val="0"/>
        </w:rPr>
        <w:t xml:space="preserve">Academic Support:</w:t>
      </w:r>
      <w:r w:rsidDel="00000000" w:rsidR="00000000" w:rsidRPr="00000000">
        <w:rPr>
          <w:rtl w:val="0"/>
        </w:rPr>
      </w:r>
    </w:p>
    <w:p w:rsidR="00000000" w:rsidDel="00000000" w:rsidP="00000000" w:rsidRDefault="00000000" w:rsidRPr="00000000">
      <w:pPr>
        <w:spacing w:after="0" w:line="24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000000"/>
          <w:sz w:val="24"/>
          <w:szCs w:val="24"/>
        </w:rPr>
      </w:pPr>
      <w:r w:rsidDel="00000000" w:rsidR="00000000" w:rsidRPr="00000000">
        <w:rPr>
          <w:color w:val="000000"/>
          <w:sz w:val="24"/>
          <w:szCs w:val="24"/>
          <w:rtl w:val="0"/>
        </w:rPr>
        <w:t xml:space="preserve">The Learning Center (TLC) assists all Wentworth students in the areas of math, science, technical courses specific to majors, and writing.  In this student-based learning environment, students receive individual help with their studies, meet and work in study groups, attend workshops on a wide variety of subjects and find resources to assist them in meeting their goals for academic success.  It includes tutors in many subjects, writing assistance and workshops focused on helping good students become great students.  Make appointments at </w:t>
      </w:r>
      <w:hyperlink r:id="rId6">
        <w:r w:rsidDel="00000000" w:rsidR="00000000" w:rsidRPr="00000000">
          <w:rPr>
            <w:color w:val="0000ff"/>
            <w:sz w:val="24"/>
            <w:szCs w:val="24"/>
            <w:u w:val="single"/>
            <w:rtl w:val="0"/>
          </w:rPr>
          <w:t xml:space="preserve">www.wit.edu/tlc</w:t>
        </w:r>
      </w:hyperlink>
      <w:r w:rsidDel="00000000" w:rsidR="00000000" w:rsidRPr="00000000">
        <w:rPr>
          <w:color w:val="000000"/>
          <w:sz w:val="24"/>
          <w:szCs w:val="24"/>
          <w:rtl w:val="0"/>
        </w:rPr>
        <w:t xml:space="preserve"> or through Lconnect.</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b w:val="1"/>
          <w:sz w:val="24"/>
          <w:szCs w:val="24"/>
          <w:rtl w:val="0"/>
        </w:rPr>
        <w:t xml:space="preserve">Disability Services: </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Any student who thinks s/he may require a disability-related accommodation for this course should contact Disability Services privately to discuss their specific needs.  Disability Services coordinates reasonable accommodations for students with documented disabilities.  They are located in Watson Hall 003 (the Center for Wellness and Disability Services) and can be contacted at 617-989-4390 or </w:t>
      </w:r>
      <w:hyperlink r:id="rId7">
        <w:r w:rsidDel="00000000" w:rsidR="00000000" w:rsidRPr="00000000">
          <w:rPr>
            <w:color w:val="0000ff"/>
            <w:sz w:val="24"/>
            <w:szCs w:val="24"/>
            <w:u w:val="single"/>
            <w:rtl w:val="0"/>
          </w:rPr>
          <w:t xml:space="preserve">counseling@wit.edu</w:t>
        </w:r>
      </w:hyperlink>
      <w:r w:rsidDel="00000000" w:rsidR="00000000" w:rsidRPr="00000000">
        <w:rPr>
          <w:sz w:val="24"/>
          <w:szCs w:val="24"/>
          <w:rtl w:val="0"/>
        </w:rPr>
        <w:t xml:space="preserve">.  For more information on acceptable documentation and the Disability Services process, visit the Disability Services website at </w:t>
      </w:r>
      <w:hyperlink r:id="rId8">
        <w:r w:rsidDel="00000000" w:rsidR="00000000" w:rsidRPr="00000000">
          <w:rPr>
            <w:color w:val="0000ff"/>
            <w:sz w:val="24"/>
            <w:szCs w:val="24"/>
            <w:u w:val="single"/>
            <w:rtl w:val="0"/>
          </w:rPr>
          <w:t xml:space="preserve">www.wit.edu/disabilityservices</w:t>
        </w:r>
      </w:hyperlink>
      <w:r w:rsidDel="00000000" w:rsidR="00000000" w:rsidRPr="00000000">
        <w:rPr>
          <w:sz w:val="24"/>
          <w:szCs w:val="24"/>
          <w:rtl w:val="0"/>
        </w:rPr>
        <w:t xml:space="preserve">.</w:t>
      </w:r>
    </w:p>
    <w:p w:rsidR="00000000" w:rsidDel="00000000" w:rsidP="00000000" w:rsidRDefault="00000000" w:rsidRPr="00000000">
      <w:pPr>
        <w:spacing w:after="0" w:line="240" w:lineRule="auto"/>
        <w:contextualSpacing w:val="0"/>
        <w:rPr>
          <w:sz w:val="24"/>
          <w:szCs w:val="24"/>
        </w:rPr>
      </w:pPr>
      <w:r w:rsidDel="00000000" w:rsidR="00000000" w:rsidRPr="00000000">
        <w:rPr>
          <w:b w:val="1"/>
          <w:sz w:val="24"/>
          <w:szCs w:val="24"/>
          <w:rtl w:val="0"/>
        </w:rPr>
        <w:t xml:space="preserve">College of the Fenway Students:</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p>
    <w:p w:rsidR="00000000" w:rsidDel="00000000" w:rsidP="00000000" w:rsidRDefault="00000000" w:rsidRPr="00000000">
      <w:pPr>
        <w:spacing w:after="0" w:line="240" w:lineRule="auto"/>
        <w:contextualSpacing w:val="0"/>
        <w:rPr>
          <w:sz w:val="24"/>
          <w:szCs w:val="24"/>
        </w:rPr>
      </w:pPr>
      <w:r w:rsidDel="00000000" w:rsidR="00000000" w:rsidRPr="00000000">
        <w:rPr>
          <w:b w:val="1"/>
          <w:sz w:val="24"/>
          <w:szCs w:val="24"/>
          <w:rtl w:val="0"/>
        </w:rPr>
        <w:t xml:space="preserve">Lesson Plan and Assignments:</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Week of </w:t>
        <w:tab/>
        <w:t xml:space="preserve">Topics </w:t>
        <w:tab/>
        <w:tab/>
        <w:tab/>
        <w:t xml:space="preserve">            Assignment______                                                 _</w:t>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w:t>
        <w:tab/>
        <w:tab/>
        <w:t xml:space="preserve">Course Introduction</w:t>
        <w:tab/>
        <w:tab/>
        <w:t xml:space="preserve">Create GitHub account, fork repository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w:t>
        <w:tab/>
        <w:tab/>
        <w:t xml:space="preserve">Importance of Git</w:t>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tab/>
        <w:tab/>
        <w:t xml:space="preserve">Register for Hacktoberfest</w:t>
        <w:tab/>
        <w:t xml:space="preserve">Contribute to one “hacktoberfest” repo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w:t>
        <w:tab/>
        <w:tab/>
        <w:t xml:space="preserve">GitHub Pages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8</w:t>
        <w:tab/>
        <w:tab/>
        <w:tab/>
        <w:tab/>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it.edu/learning-center" TargetMode="External"/><Relationship Id="rId6" Type="http://schemas.openxmlformats.org/officeDocument/2006/relationships/hyperlink" Target="http://www.wit.edu/tlc" TargetMode="External"/><Relationship Id="rId7" Type="http://schemas.openxmlformats.org/officeDocument/2006/relationships/hyperlink" Target="mailto:counseling@wit.edu" TargetMode="External"/><Relationship Id="rId8" Type="http://schemas.openxmlformats.org/officeDocument/2006/relationships/hyperlink" Target="http://www.wit.edu/disabilityservices" TargetMode="External"/></Relationships>
</file>