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5"/>
      </w:pPr>
      <w:r>
        <w:t xml:space="preserve">AutoTeaKG-Silver</w:t>
      </w:r>
      <w:r>
        <w:t xml:space="preserve"> </w:t>
      </w:r>
      <w:r>
        <w:t xml:space="preserve">项目汇报</w:t>
      </w:r>
    </w:p>
    <w:p>
      <w:pPr>
        <w:pStyle w:val="a6"/>
      </w:pPr>
      <w:r>
        <w:t xml:space="preserve">茶功能活性文献的自动化证据图谱、论文产出与下一步计划</w:t>
      </w:r>
    </w:p>
    <w:p>
      <w:pPr>
        <w:pStyle w:val="Author"/>
      </w:pPr>
      <w:r>
        <w:t xml:space="preserve">项目内部汇报</w:t>
      </w:r>
    </w:p>
    <w:p>
      <w:pPr>
        <w:pStyle w:val="a7"/>
      </w:pPr>
      <w:r>
        <w:t xml:space="preserve">2026-04-14</w:t>
      </w:r>
    </w:p>
    <w:bookmarkStart w:id="20" w:name="autoteakg-silver-项目汇报"/>
    <w:p>
      <w:pPr>
        <w:pStyle w:val="10"/>
      </w:pPr>
      <w:r>
        <w:t xml:space="preserve">AutoTeaKG-Silver 项目汇报</w:t>
      </w:r>
    </w:p>
    <w:bookmarkEnd w:id="20"/>
    <w:bookmarkStart w:id="21" w:name="一项目一句话"/>
    <w:p>
      <w:pPr>
        <w:pStyle w:val="10"/>
      </w:pPr>
      <w:r>
        <w:t xml:space="preserve">一、项目一句话</w:t>
      </w:r>
    </w:p>
    <w:p>
      <w:pPr>
        <w:pStyle w:val="FirstParagraph"/>
      </w:pPr>
      <w:r>
        <w:t xml:space="preserve">AutoTeaKG-Silver 是一个围绕茶、茶提取物、茶成分及其功能活性的自动化证据图谱项目。它的核心目标不是直接证明“茶有什么神奇功效”，而是把分散在 PubMed 文献中的研究证据整理成可查询、可追溯、可更新、带不确定性标注的证据地图。</w:t>
      </w:r>
    </w:p>
    <w:p>
      <w:pPr>
        <w:pStyle w:val="a0"/>
      </w:pPr>
      <w:r>
        <w:t xml:space="preserve">换句话说，这个项目把问题从“茶有没有某种作用”推进到更科学的问题：</w:t>
      </w:r>
    </w:p>
    <w:p>
      <w:pPr>
        <w:pStyle w:val="Compact"/>
        <w:numPr>
          <w:ilvl w:val="0"/>
          <w:numId w:val="1001"/>
        </w:numPr>
      </w:pPr>
      <w:r>
        <w:t xml:space="preserve">哪些论文支持这个说法？</w:t>
      </w:r>
    </w:p>
    <w:p>
      <w:pPr>
        <w:pStyle w:val="Compact"/>
        <w:numPr>
          <w:ilvl w:val="0"/>
          <w:numId w:val="1001"/>
        </w:numPr>
      </w:pPr>
      <w:r>
        <w:t xml:space="preserve">这些证据来自动物实验、人体研究还是综述？</w:t>
      </w:r>
    </w:p>
    <w:p>
      <w:pPr>
        <w:pStyle w:val="Compact"/>
        <w:numPr>
          <w:ilvl w:val="0"/>
          <w:numId w:val="1001"/>
        </w:numPr>
      </w:pPr>
      <w:r>
        <w:t xml:space="preserve">研究用的是哪类茶、哪类成分、哪种提取物？</w:t>
      </w:r>
    </w:p>
    <w:p>
      <w:pPr>
        <w:pStyle w:val="Compact"/>
        <w:numPr>
          <w:ilvl w:val="0"/>
          <w:numId w:val="1001"/>
        </w:numPr>
      </w:pPr>
      <w:r>
        <w:t xml:space="preserve">是否报告了加工、发酵、提取等关键上下文？</w:t>
      </w:r>
    </w:p>
    <w:p>
      <w:pPr>
        <w:pStyle w:val="Compact"/>
        <w:numPr>
          <w:ilvl w:val="0"/>
          <w:numId w:val="1001"/>
        </w:numPr>
      </w:pPr>
      <w:r>
        <w:t xml:space="preserve">这个证据路径的不确定性有多高？</w:t>
      </w:r>
    </w:p>
    <w:bookmarkEnd w:id="21"/>
    <w:bookmarkStart w:id="25" w:name="二这个项目有什么用"/>
    <w:p>
      <w:pPr>
        <w:pStyle w:val="10"/>
      </w:pPr>
      <w:r>
        <w:t xml:space="preserve">二、这个项目有什么用</w:t>
      </w:r>
    </w:p>
    <w:bookmarkStart w:id="22" w:name="支撑资源型论文和数据库论文"/>
    <w:p>
      <w:pPr>
        <w:pStyle w:val="20"/>
      </w:pPr>
      <w:r>
        <w:t xml:space="preserve">2.1 支撑资源型论文和数据库论文</w:t>
      </w:r>
    </w:p>
    <w:p>
      <w:pPr>
        <w:pStyle w:val="FirstParagraph"/>
      </w:pPr>
      <w:r>
        <w:t xml:space="preserve">茶功能活性研究很多，但目前缺少一个围绕“功能活性证据”的结构化资源。已有茶数据库更多集中在基因组、转录组、品种资源或风险物质层面，而不是系统整理“茶类型—成分—加工/提取—功能活性—证据等级—机制”的证据链。</w:t>
      </w:r>
    </w:p>
    <w:p>
      <w:pPr>
        <w:pStyle w:val="a0"/>
      </w:pPr>
      <w:r>
        <w:t xml:space="preserve">AutoTeaKG-Silver 可以作为资源型数据库论文的主体，重点贡献不是某一个单独算法，而是一个可复现的证据基础设施：</w:t>
      </w:r>
    </w:p>
    <w:p>
      <w:pPr>
        <w:pStyle w:val="Compact"/>
        <w:numPr>
          <w:ilvl w:val="0"/>
          <w:numId w:val="1002"/>
        </w:numPr>
      </w:pPr>
      <w:r>
        <w:t xml:space="preserve">自动检索和整理 PubMed 茶功能活性文献；</w:t>
      </w:r>
    </w:p>
    <w:p>
      <w:pPr>
        <w:pStyle w:val="Compact"/>
        <w:numPr>
          <w:ilvl w:val="0"/>
          <w:numId w:val="1002"/>
        </w:numPr>
      </w:pPr>
      <w:r>
        <w:t xml:space="preserve">将论文转成标准化 evidence records；</w:t>
      </w:r>
    </w:p>
    <w:p>
      <w:pPr>
        <w:pStyle w:val="Compact"/>
        <w:numPr>
          <w:ilvl w:val="0"/>
          <w:numId w:val="1002"/>
        </w:numPr>
      </w:pPr>
      <w:r>
        <w:t xml:space="preserve">明确区分证据等级；</w:t>
      </w:r>
    </w:p>
    <w:p>
      <w:pPr>
        <w:pStyle w:val="Compact"/>
        <w:numPr>
          <w:ilvl w:val="0"/>
          <w:numId w:val="1002"/>
        </w:numPr>
      </w:pPr>
      <w:r>
        <w:t xml:space="preserve">加入加工和提取上下文；</w:t>
      </w:r>
    </w:p>
    <w:p>
      <w:pPr>
        <w:pStyle w:val="Compact"/>
        <w:numPr>
          <w:ilvl w:val="0"/>
          <w:numId w:val="1002"/>
        </w:numPr>
      </w:pPr>
      <w:r>
        <w:t xml:space="preserve">形成可查询的知识图谱；</w:t>
      </w:r>
    </w:p>
    <w:p>
      <w:pPr>
        <w:pStyle w:val="Compact"/>
        <w:numPr>
          <w:ilvl w:val="0"/>
          <w:numId w:val="1002"/>
        </w:numPr>
      </w:pPr>
      <w:r>
        <w:t xml:space="preserve">保留每条关系的来源和不确定性。</w:t>
      </w:r>
    </w:p>
    <w:bookmarkEnd w:id="22"/>
    <w:bookmarkStart w:id="23" w:name="支撑综述写作和课题设计"/>
    <w:p>
      <w:pPr>
        <w:pStyle w:val="20"/>
      </w:pPr>
      <w:r>
        <w:t xml:space="preserve">2.2 支撑综述写作和课题设计</w:t>
      </w:r>
    </w:p>
    <w:p>
      <w:pPr>
        <w:pStyle w:val="FirstParagraph"/>
      </w:pPr>
      <w:r>
        <w:t xml:space="preserve">传统综述依赖人工阅读和手工归纳，效率低、更新慢，而且容易把不同证据层级混在一起。AutoTeaKG-Silver 可以快速回答：</w:t>
      </w:r>
    </w:p>
    <w:p>
      <w:pPr>
        <w:pStyle w:val="Compact"/>
        <w:numPr>
          <w:ilvl w:val="0"/>
          <w:numId w:val="1003"/>
        </w:numPr>
      </w:pPr>
      <w:r>
        <w:t xml:space="preserve">哪些方向主要是动物实验，哪些方向已经有人群证据？</w:t>
      </w:r>
    </w:p>
    <w:p>
      <w:pPr>
        <w:pStyle w:val="Compact"/>
        <w:numPr>
          <w:ilvl w:val="0"/>
          <w:numId w:val="1003"/>
        </w:numPr>
      </w:pPr>
      <w:r>
        <w:t xml:space="preserve">哪些茶成分和肠道菌群机制联系更密集？</w:t>
      </w:r>
    </w:p>
    <w:p>
      <w:pPr>
        <w:pStyle w:val="Compact"/>
        <w:numPr>
          <w:ilvl w:val="0"/>
          <w:numId w:val="1003"/>
        </w:numPr>
      </w:pPr>
      <w:r>
        <w:t xml:space="preserve">哪些研究缺少加工或提取信息？</w:t>
      </w:r>
    </w:p>
    <w:p>
      <w:pPr>
        <w:pStyle w:val="Compact"/>
        <w:numPr>
          <w:ilvl w:val="0"/>
          <w:numId w:val="1003"/>
        </w:numPr>
      </w:pPr>
      <w:r>
        <w:t xml:space="preserve">哪些主题适合做后续实验或项目申请？</w:t>
      </w:r>
    </w:p>
    <w:p>
      <w:pPr>
        <w:pStyle w:val="FirstParagraph"/>
      </w:pPr>
      <w:r>
        <w:t xml:space="preserve">这对综述、开题、基金申请和实验选题都有直接帮助。</w:t>
      </w:r>
    </w:p>
    <w:bookmarkEnd w:id="23"/>
    <w:bookmarkStart w:id="24" w:name="支撑产品或健康声称证据梳理"/>
    <w:p>
      <w:pPr>
        <w:pStyle w:val="20"/>
      </w:pPr>
      <w:r>
        <w:t xml:space="preserve">2.3 支撑产品或健康声称证据梳理</w:t>
      </w:r>
    </w:p>
    <w:p>
      <w:pPr>
        <w:pStyle w:val="FirstParagraph"/>
      </w:pPr>
      <w:r>
        <w:t xml:space="preserve">如果后续涉及茶相关功能食品、提取物或产品开发，这类图谱可以帮助做初步证据梳理。它不能替代临床证据，也不能直接作为健康声称依据，但可以帮助团队快速判断：</w:t>
      </w:r>
    </w:p>
    <w:p>
      <w:pPr>
        <w:pStyle w:val="Compact"/>
        <w:numPr>
          <w:ilvl w:val="0"/>
          <w:numId w:val="1004"/>
        </w:numPr>
      </w:pPr>
      <w:r>
        <w:t xml:space="preserve">某个成分或茶类型已有多少相关证据；</w:t>
      </w:r>
    </w:p>
    <w:p>
      <w:pPr>
        <w:pStyle w:val="Compact"/>
        <w:numPr>
          <w:ilvl w:val="0"/>
          <w:numId w:val="1004"/>
        </w:numPr>
      </w:pPr>
      <w:r>
        <w:t xml:space="preserve">证据主要集中在哪些终点；</w:t>
      </w:r>
    </w:p>
    <w:p>
      <w:pPr>
        <w:pStyle w:val="Compact"/>
        <w:numPr>
          <w:ilvl w:val="0"/>
          <w:numId w:val="1004"/>
        </w:numPr>
      </w:pPr>
      <w:r>
        <w:t xml:space="preserve">是否有人体研究；</w:t>
      </w:r>
    </w:p>
    <w:p>
      <w:pPr>
        <w:pStyle w:val="Compact"/>
        <w:numPr>
          <w:ilvl w:val="0"/>
          <w:numId w:val="1004"/>
        </w:numPr>
      </w:pPr>
      <w:r>
        <w:t xml:space="preserve">机制证据是否集中在肠道菌群、炎症、氧化应激或代谢通路；</w:t>
      </w:r>
    </w:p>
    <w:p>
      <w:pPr>
        <w:pStyle w:val="Compact"/>
        <w:numPr>
          <w:ilvl w:val="0"/>
          <w:numId w:val="1004"/>
        </w:numPr>
      </w:pPr>
      <w:r>
        <w:t xml:space="preserve">哪些说法仍然证据不足。</w:t>
      </w:r>
    </w:p>
    <w:bookmarkEnd w:id="24"/>
    <w:bookmarkEnd w:id="25"/>
    <w:bookmarkStart w:id="26" w:name="三当前已经完成了什么"/>
    <w:p>
      <w:pPr>
        <w:pStyle w:val="10"/>
      </w:pPr>
      <w:r>
        <w:t xml:space="preserve">三、当前已经完成了什么</w:t>
      </w:r>
    </w:p>
    <w:p>
      <w:pPr>
        <w:pStyle w:val="FirstParagraph"/>
      </w:pPr>
      <w:r>
        <w:t xml:space="preserve">当前项目已经从 ideation 走到完整原型阶段，主要产物包括数据、图谱、论文、前端和汇报材料。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PubMed 检索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已固定检索式、检索日期和检索结果归档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自动标注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已完成 GLM5 自动抽取和后处理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KG 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已完成最终方法级归一化图谱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前端展示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已完成静态 KG explorer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论文草稿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已完成 Database-oriented v6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已完成普通观众版和老板汇报版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已推送至</w:t>
            </w:r>
            <w:r>
              <w:t xml:space="preserve"> </w:t>
            </w:r>
            <w:r>
              <w:rPr>
                <w:rStyle w:val="VerbatimChar"/>
              </w:rPr>
              <w:t xml:space="preserve">git@github.com:ShawnXiha/AutoTeaKG_Silver.git</w:t>
            </w:r>
          </w:p>
        </w:tc>
      </w:tr>
    </w:tbl>
    <w:p>
      <w:pPr>
        <w:pStyle w:val="a0"/>
      </w:pPr>
      <w:r>
        <w:t xml:space="preserve">当前核心数据规模如下：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Silver evidence records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KG nodes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KG edges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Microbiome-relevant records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Records with processing context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Records with extraction context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Low-uncertainty records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Moderate-uncertainty records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High-uncertainty records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 missing-context records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303</w:t>
            </w:r>
          </w:p>
        </w:tc>
      </w:tr>
    </w:tbl>
    <w:bookmarkEnd w:id="26"/>
    <w:bookmarkStart w:id="32" w:name="四创新点"/>
    <w:p>
      <w:pPr>
        <w:pStyle w:val="10"/>
      </w:pPr>
      <w:r>
        <w:t xml:space="preserve">四、创新点</w:t>
      </w:r>
    </w:p>
    <w:bookmarkStart w:id="27" w:name="不是普通文献汇总而是-evidence-graph"/>
    <w:p>
      <w:pPr>
        <w:pStyle w:val="20"/>
      </w:pPr>
      <w:r>
        <w:t xml:space="preserve">4.1 不是普通文献汇总，而是 evidence graph</w:t>
      </w:r>
    </w:p>
    <w:p>
      <w:pPr>
        <w:pStyle w:val="FirstParagraph"/>
      </w:pPr>
      <w:r>
        <w:t xml:space="preserve">普通综述或 Excel 表通常只记录论文题目、结论和关键词。AutoTeaKG-Silver 把每篇文献拆成结构化 evidence records，并把证据连接到活动类别、成分、茶类型、研究类型、证据等级、机制和不确定性。</w:t>
      </w:r>
    </w:p>
    <w:p>
      <w:pPr>
        <w:pStyle w:val="a0"/>
      </w:pPr>
      <w:r>
        <w:t xml:space="preserve">这使得文献综述从“人工读后总结”变成“可查询证据结构”。</w:t>
      </w:r>
    </w:p>
    <w:bookmarkEnd w:id="27"/>
    <w:bookmarkStart w:id="28" w:name="显式区分证据等级避免过度解读"/>
    <w:p>
      <w:pPr>
        <w:pStyle w:val="20"/>
      </w:pPr>
      <w:r>
        <w:t xml:space="preserve">4.2 显式区分证据等级，避免过度解读</w:t>
      </w:r>
    </w:p>
    <w:p>
      <w:pPr>
        <w:pStyle w:val="FirstParagraph"/>
      </w:pPr>
      <w:r>
        <w:t xml:space="preserve">茶功能活性研究中，动物实验、细胞实验、人群观察、随机试验、综述常被混在一起讨论。AutoTeaKG-Silver 将 evidence level 作为图谱属性保留，使研究者可以筛选：</w:t>
      </w:r>
    </w:p>
    <w:p>
      <w:pPr>
        <w:pStyle w:val="Compact"/>
        <w:numPr>
          <w:ilvl w:val="0"/>
          <w:numId w:val="1005"/>
        </w:numPr>
      </w:pPr>
      <w:r>
        <w:t xml:space="preserve">只看人群证据；</w:t>
      </w:r>
    </w:p>
    <w:p>
      <w:pPr>
        <w:pStyle w:val="Compact"/>
        <w:numPr>
          <w:ilvl w:val="0"/>
          <w:numId w:val="1005"/>
        </w:numPr>
      </w:pPr>
      <w:r>
        <w:t xml:space="preserve">只看动物机制；</w:t>
      </w:r>
    </w:p>
    <w:p>
      <w:pPr>
        <w:pStyle w:val="Compact"/>
        <w:numPr>
          <w:ilvl w:val="0"/>
          <w:numId w:val="1005"/>
        </w:numPr>
      </w:pPr>
      <w:r>
        <w:t xml:space="preserve">区分综述总结和原始实验；</w:t>
      </w:r>
    </w:p>
    <w:p>
      <w:pPr>
        <w:pStyle w:val="Compact"/>
        <w:numPr>
          <w:ilvl w:val="0"/>
          <w:numId w:val="1005"/>
        </w:numPr>
      </w:pPr>
      <w:r>
        <w:t xml:space="preserve">避免把 preclinical 结果过度解释为人体结论。</w:t>
      </w:r>
    </w:p>
    <w:bookmarkEnd w:id="28"/>
    <w:bookmarkStart w:id="29" w:name="把加工提取上下文作为核心问题"/>
    <w:p>
      <w:pPr>
        <w:pStyle w:val="20"/>
      </w:pPr>
      <w:r>
        <w:t xml:space="preserve">4.3 把加工/提取上下文作为核心问题</w:t>
      </w:r>
    </w:p>
    <w:p>
      <w:pPr>
        <w:pStyle w:val="FirstParagraph"/>
      </w:pPr>
      <w:r>
        <w:t xml:space="preserve">茶不是单一对象。绿茶、红茶、黑茶、乌龙茶、发酵茶、提取物、EGCG、茶多酚、茶多糖等对象差异很大。加工、发酵、提取方法会影响成分和活性解释。</w:t>
      </w:r>
    </w:p>
    <w:p>
      <w:pPr>
        <w:pStyle w:val="a0"/>
      </w:pPr>
      <w:r>
        <w:t xml:space="preserve">本项目发现加工/提取上下文是当前文献的最大缺口之一：</w:t>
      </w:r>
    </w:p>
    <w:p>
      <w:pPr>
        <w:pStyle w:val="Compact"/>
        <w:numPr>
          <w:ilvl w:val="0"/>
          <w:numId w:val="1006"/>
        </w:numPr>
      </w:pPr>
      <w:r>
        <w:t xml:space="preserve">processing context 从 146 条提升到 183 条；</w:t>
      </w:r>
    </w:p>
    <w:p>
      <w:pPr>
        <w:pStyle w:val="Compact"/>
        <w:numPr>
          <w:ilvl w:val="0"/>
          <w:numId w:val="1006"/>
        </w:numPr>
      </w:pPr>
      <w:r>
        <w:t xml:space="preserve">extraction context 从 154 条提升到 185 条；</w:t>
      </w:r>
    </w:p>
    <w:p>
      <w:pPr>
        <w:pStyle w:val="Compact"/>
        <w:numPr>
          <w:ilvl w:val="0"/>
          <w:numId w:val="1006"/>
        </w:numPr>
      </w:pPr>
      <w:r>
        <w:t xml:space="preserve">但仍有 303 条记录缺少加工或提取上下文。</w:t>
      </w:r>
    </w:p>
    <w:p>
      <w:pPr>
        <w:pStyle w:val="FirstParagraph"/>
      </w:pPr>
      <w:r>
        <w:t xml:space="preserve">这本身就是一个重要科学发现：很多茶功能活性文献的摘要或开放全文没有提供足够工艺信息。</w:t>
      </w:r>
    </w:p>
    <w:bookmarkEnd w:id="29"/>
    <w:bookmarkStart w:id="30" w:name="不隐藏不确定性而是把不确定性建模"/>
    <w:p>
      <w:pPr>
        <w:pStyle w:val="20"/>
      </w:pPr>
      <w:r>
        <w:t xml:space="preserve">4.4 不隐藏不确定性，而是把不确定性建模</w:t>
      </w:r>
    </w:p>
    <w:p>
      <w:pPr>
        <w:pStyle w:val="FirstParagraph"/>
      </w:pPr>
      <w:r>
        <w:t xml:space="preserve">自动抽取一定存在不确定性。项目没有假装所有关系都完全正确，而是将不确定性作为图谱的一部分。</w:t>
      </w:r>
    </w:p>
    <w:p>
      <w:pPr>
        <w:pStyle w:val="a0"/>
      </w:pPr>
      <w:r>
        <w:t xml:space="preserve">当前不确定性分布为：</w:t>
      </w:r>
    </w:p>
    <w:p>
      <w:pPr>
        <w:pStyle w:val="Compact"/>
        <w:numPr>
          <w:ilvl w:val="0"/>
          <w:numId w:val="1007"/>
        </w:numPr>
      </w:pPr>
      <w:r>
        <w:t xml:space="preserve">low uncertainty：100 条；</w:t>
      </w:r>
    </w:p>
    <w:p>
      <w:pPr>
        <w:pStyle w:val="Compact"/>
        <w:numPr>
          <w:ilvl w:val="0"/>
          <w:numId w:val="1007"/>
        </w:numPr>
      </w:pPr>
      <w:r>
        <w:t xml:space="preserve">moderate uncertainty：470 条；</w:t>
      </w:r>
    </w:p>
    <w:p>
      <w:pPr>
        <w:pStyle w:val="Compact"/>
        <w:numPr>
          <w:ilvl w:val="0"/>
          <w:numId w:val="1007"/>
        </w:numPr>
      </w:pPr>
      <w:r>
        <w:t xml:space="preserve">high uncertainty：65 条。</w:t>
      </w:r>
    </w:p>
    <w:p>
      <w:pPr>
        <w:pStyle w:val="FirstParagraph"/>
      </w:pPr>
      <w:r>
        <w:t xml:space="preserve">这使得用户可以根据任务需要筛选不同可信度的证据。</w:t>
      </w:r>
    </w:p>
    <w:bookmarkEnd w:id="30"/>
    <w:bookmarkStart w:id="31" w:name="支持机制路径查询"/>
    <w:p>
      <w:pPr>
        <w:pStyle w:val="20"/>
      </w:pPr>
      <w:r>
        <w:t xml:space="preserve">4.5 支持机制路径查询</w:t>
      </w:r>
    </w:p>
    <w:p>
      <w:pPr>
        <w:pStyle w:val="FirstParagraph"/>
      </w:pPr>
      <w:r>
        <w:t xml:space="preserve">图谱不仅能统计数量，还能查询机制路径。例如当前已经做出一个 case study：</w:t>
      </w:r>
    </w:p>
    <w:p>
      <w:pPr>
        <w:pStyle w:val="a0"/>
      </w:pPr>
      <w:r>
        <w:t xml:space="preserve">茶多糖 → 肠道菌群/SCFAs → 丁酸/短链脂肪酸 → 肝脏炎症、脂质沉积、肠屏障完整性。</w:t>
      </w:r>
    </w:p>
    <w:p>
      <w:pPr>
        <w:pStyle w:val="a0"/>
      </w:pPr>
      <w:r>
        <w:t xml:space="preserve">这类查询比关键词搜索更有价值，因为它同时保留：</w:t>
      </w:r>
    </w:p>
    <w:p>
      <w:pPr>
        <w:pStyle w:val="Compact"/>
        <w:numPr>
          <w:ilvl w:val="0"/>
          <w:numId w:val="1008"/>
        </w:numPr>
      </w:pPr>
      <w:r>
        <w:t xml:space="preserve">成分类别；</w:t>
      </w:r>
    </w:p>
    <w:p>
      <w:pPr>
        <w:pStyle w:val="Compact"/>
        <w:numPr>
          <w:ilvl w:val="0"/>
          <w:numId w:val="1008"/>
        </w:numPr>
      </w:pPr>
      <w:r>
        <w:t xml:space="preserve">微生物机制；</w:t>
      </w:r>
    </w:p>
    <w:p>
      <w:pPr>
        <w:pStyle w:val="Compact"/>
        <w:numPr>
          <w:ilvl w:val="0"/>
          <w:numId w:val="1008"/>
        </w:numPr>
      </w:pPr>
      <w:r>
        <w:t xml:space="preserve">代谢物；</w:t>
      </w:r>
    </w:p>
    <w:p>
      <w:pPr>
        <w:pStyle w:val="Compact"/>
        <w:numPr>
          <w:ilvl w:val="0"/>
          <w:numId w:val="1008"/>
        </w:numPr>
      </w:pPr>
      <w:r>
        <w:t xml:space="preserve">宿主表型；</w:t>
      </w:r>
    </w:p>
    <w:p>
      <w:pPr>
        <w:pStyle w:val="Compact"/>
        <w:numPr>
          <w:ilvl w:val="0"/>
          <w:numId w:val="1008"/>
        </w:numPr>
      </w:pPr>
      <w:r>
        <w:t xml:space="preserve">证据等级；</w:t>
      </w:r>
    </w:p>
    <w:p>
      <w:pPr>
        <w:pStyle w:val="Compact"/>
        <w:numPr>
          <w:ilvl w:val="0"/>
          <w:numId w:val="1008"/>
        </w:numPr>
      </w:pPr>
      <w:r>
        <w:t xml:space="preserve">不确定性等级；</w:t>
      </w:r>
    </w:p>
    <w:p>
      <w:pPr>
        <w:pStyle w:val="Compact"/>
        <w:numPr>
          <w:ilvl w:val="0"/>
          <w:numId w:val="1008"/>
        </w:numPr>
      </w:pPr>
      <w:r>
        <w:t xml:space="preserve">PMID 来源。</w:t>
      </w:r>
    </w:p>
    <w:bookmarkEnd w:id="31"/>
    <w:bookmarkEnd w:id="32"/>
    <w:bookmarkStart w:id="36" w:name="五能发表什么论文"/>
    <w:p>
      <w:pPr>
        <w:pStyle w:val="10"/>
      </w:pPr>
      <w:r>
        <w:t xml:space="preserve">五、能发表什么论文</w:t>
      </w:r>
    </w:p>
    <w:bookmarkStart w:id="33" w:name="第一篇资源数据库论文"/>
    <w:p>
      <w:pPr>
        <w:pStyle w:val="20"/>
      </w:pPr>
      <w:r>
        <w:t xml:space="preserve">5.1 第一篇：资源/数据库论文</w:t>
      </w:r>
    </w:p>
    <w:p>
      <w:pPr>
        <w:pStyle w:val="FirstParagraph"/>
      </w:pPr>
      <w:r>
        <w:t xml:space="preserve">最适合的第一篇论文定位是资源型或数据库型论文，而不是算法论文。</w:t>
      </w:r>
    </w:p>
    <w:p>
      <w:pPr>
        <w:pStyle w:val="a0"/>
      </w:pPr>
      <w:r>
        <w:t xml:space="preserve">建议题目方向：</w:t>
      </w:r>
    </w:p>
    <w:p>
      <w:pPr>
        <w:pStyle w:val="a9"/>
      </w:pPr>
      <w:r>
        <w:t xml:space="preserve">AutoTeaKG-Silver: An Uncertainty-Aware Evidence Graph for Tea Functional Activity Literature</w:t>
      </w:r>
    </w:p>
    <w:p>
      <w:pPr>
        <w:pStyle w:val="FirstParagraph"/>
      </w:pPr>
      <w:r>
        <w:t xml:space="preserve">可投方向：</w:t>
      </w:r>
    </w:p>
    <w:p>
      <w:pPr>
        <w:pStyle w:val="Compact"/>
        <w:numPr>
          <w:ilvl w:val="0"/>
          <w:numId w:val="1009"/>
        </w:numPr>
      </w:pPr>
      <w:r>
        <w:t xml:space="preserve">Database: The Journal of Biological Databases and Curation；</w:t>
      </w:r>
    </w:p>
    <w:p>
      <w:pPr>
        <w:pStyle w:val="Compact"/>
        <w:numPr>
          <w:ilvl w:val="0"/>
          <w:numId w:val="1009"/>
        </w:numPr>
      </w:pPr>
      <w:r>
        <w:t xml:space="preserve">Scientific Data（需要更像 Data Descriptor）；</w:t>
      </w:r>
    </w:p>
    <w:p>
      <w:pPr>
        <w:pStyle w:val="Compact"/>
        <w:numPr>
          <w:ilvl w:val="0"/>
          <w:numId w:val="1009"/>
        </w:numPr>
      </w:pPr>
      <w:r>
        <w:t xml:space="preserve">Journal of Biomedical Informatics（需要增强验证和图谱应用）；</w:t>
      </w:r>
    </w:p>
    <w:p>
      <w:pPr>
        <w:pStyle w:val="Compact"/>
        <w:numPr>
          <w:ilvl w:val="0"/>
          <w:numId w:val="1009"/>
        </w:numPr>
      </w:pPr>
      <w:r>
        <w:t xml:space="preserve">食品信息学、天然产物信息学或知识图谱相关 workshop。</w:t>
      </w:r>
    </w:p>
    <w:p>
      <w:pPr>
        <w:pStyle w:val="FirstParagraph"/>
      </w:pPr>
      <w:r>
        <w:t xml:space="preserve">目前最匹配的是 Database 类型期刊，因为它接受数据库、注释、biocuration、自动/半自动知识组织这类工作。</w:t>
      </w:r>
    </w:p>
    <w:bookmarkEnd w:id="33"/>
    <w:bookmarkStart w:id="34" w:name="第二篇加工成分上下文抽取方法论文"/>
    <w:p>
      <w:pPr>
        <w:pStyle w:val="20"/>
      </w:pPr>
      <w:r>
        <w:t xml:space="preserve">5.2 第二篇：加工/成分上下文抽取方法论文</w:t>
      </w:r>
    </w:p>
    <w:p>
      <w:pPr>
        <w:pStyle w:val="FirstParagraph"/>
      </w:pPr>
      <w:r>
        <w:t xml:space="preserve">本项目发现加工/提取上下文是茶文献中的明显缺口。后续可以把 processing/component extractor 单独发展成方法论文或短文。</w:t>
      </w:r>
    </w:p>
    <w:p>
      <w:pPr>
        <w:pStyle w:val="a0"/>
      </w:pPr>
      <w:r>
        <w:t xml:space="preserve">可能主题：</w:t>
      </w:r>
    </w:p>
    <w:p>
      <w:pPr>
        <w:pStyle w:val="Compact"/>
        <w:numPr>
          <w:ilvl w:val="0"/>
          <w:numId w:val="1010"/>
        </w:numPr>
      </w:pPr>
      <w:r>
        <w:t xml:space="preserve">面向食品/天然产物文献的加工过程信息抽取；</w:t>
      </w:r>
    </w:p>
    <w:p>
      <w:pPr>
        <w:pStyle w:val="Compact"/>
        <w:numPr>
          <w:ilvl w:val="0"/>
          <w:numId w:val="1010"/>
        </w:numPr>
      </w:pPr>
      <w:r>
        <w:t xml:space="preserve">摘要 vs methods section 中工艺信息可获得性的系统比较；</w:t>
      </w:r>
    </w:p>
    <w:p>
      <w:pPr>
        <w:pStyle w:val="Compact"/>
        <w:numPr>
          <w:ilvl w:val="0"/>
          <w:numId w:val="1010"/>
        </w:numPr>
      </w:pPr>
      <w:r>
        <w:t xml:space="preserve">LLM + vocabulary normalization 的食品加工上下文抽取框架。</w:t>
      </w:r>
    </w:p>
    <w:bookmarkEnd w:id="34"/>
    <w:bookmarkStart w:id="35" w:name="第三篇茶肠道菌群机制图谱论文"/>
    <w:p>
      <w:pPr>
        <w:pStyle w:val="20"/>
      </w:pPr>
      <w:r>
        <w:t xml:space="preserve">5.3 第三篇：茶—肠道菌群机制图谱论文</w:t>
      </w:r>
    </w:p>
    <w:p>
      <w:pPr>
        <w:pStyle w:val="FirstParagraph"/>
      </w:pPr>
      <w:r>
        <w:t xml:space="preserve">KG 中已有 190 条 microbiome-relevant records，可以进一步发展成 C06 方向。</w:t>
      </w:r>
    </w:p>
    <w:p>
      <w:pPr>
        <w:pStyle w:val="a0"/>
      </w:pPr>
      <w:r>
        <w:t xml:space="preserve">可能主题：</w:t>
      </w:r>
    </w:p>
    <w:p>
      <w:pPr>
        <w:pStyle w:val="Compact"/>
        <w:numPr>
          <w:ilvl w:val="0"/>
          <w:numId w:val="1011"/>
        </w:numPr>
      </w:pPr>
      <w:r>
        <w:t xml:space="preserve">茶成分—肠道菌群—代谢物—宿主表型机制图谱；</w:t>
      </w:r>
    </w:p>
    <w:p>
      <w:pPr>
        <w:pStyle w:val="Compact"/>
        <w:numPr>
          <w:ilvl w:val="0"/>
          <w:numId w:val="1011"/>
        </w:numPr>
      </w:pPr>
      <w:r>
        <w:t xml:space="preserve">茶多糖、茶多酚、发酵茶的微生物机制路径比较；</w:t>
      </w:r>
    </w:p>
    <w:p>
      <w:pPr>
        <w:pStyle w:val="Compact"/>
        <w:numPr>
          <w:ilvl w:val="0"/>
          <w:numId w:val="1011"/>
        </w:numPr>
      </w:pPr>
      <w:r>
        <w:t xml:space="preserve">面向实验假设生成的茶微生物机制图谱。</w:t>
      </w:r>
    </w:p>
    <w:p>
      <w:pPr>
        <w:pStyle w:val="FirstParagraph"/>
      </w:pPr>
      <w:r>
        <w:t xml:space="preserve">这篇更偏机制发现和生物学解释，适合在第一篇资源论文基础上推进。</w:t>
      </w:r>
    </w:p>
    <w:bookmarkEnd w:id="35"/>
    <w:bookmarkEnd w:id="36"/>
    <w:bookmarkStart w:id="37" w:name="六当前论文状态"/>
    <w:p>
      <w:pPr>
        <w:pStyle w:val="10"/>
      </w:pPr>
      <w:r>
        <w:t xml:space="preserve">六、当前论文状态</w:t>
      </w:r>
    </w:p>
    <w:p>
      <w:pPr>
        <w:pStyle w:val="FirstParagraph"/>
      </w:pPr>
      <w:r>
        <w:t xml:space="preserve">当前论文已经推进到 Database-oriented v6。</w:t>
      </w:r>
    </w:p>
    <w:p>
      <w:pPr>
        <w:pStyle w:val="a0"/>
      </w:pPr>
      <w:r>
        <w:t xml:space="preserve">已经具备：</w:t>
      </w:r>
    </w:p>
    <w:p>
      <w:pPr>
        <w:pStyle w:val="Compact"/>
        <w:numPr>
          <w:ilvl w:val="0"/>
          <w:numId w:val="1012"/>
        </w:numPr>
      </w:pPr>
      <w:r>
        <w:t xml:space="preserve">Abstract；</w:t>
      </w:r>
    </w:p>
    <w:p>
      <w:pPr>
        <w:pStyle w:val="Compact"/>
        <w:numPr>
          <w:ilvl w:val="0"/>
          <w:numId w:val="1012"/>
        </w:numPr>
      </w:pPr>
      <w:r>
        <w:t xml:space="preserve">Introduction；</w:t>
      </w:r>
    </w:p>
    <w:p>
      <w:pPr>
        <w:pStyle w:val="Compact"/>
        <w:numPr>
          <w:ilvl w:val="0"/>
          <w:numId w:val="1012"/>
        </w:numPr>
      </w:pPr>
      <w:r>
        <w:t xml:space="preserve">Related Work / prior work and resource gap；</w:t>
      </w:r>
    </w:p>
    <w:p>
      <w:pPr>
        <w:pStyle w:val="Compact"/>
        <w:numPr>
          <w:ilvl w:val="0"/>
          <w:numId w:val="1012"/>
        </w:numPr>
      </w:pPr>
      <w:r>
        <w:t xml:space="preserve">Materials and Methods；</w:t>
      </w:r>
    </w:p>
    <w:p>
      <w:pPr>
        <w:pStyle w:val="Compact"/>
        <w:numPr>
          <w:ilvl w:val="0"/>
          <w:numId w:val="1012"/>
        </w:numPr>
      </w:pPr>
      <w:r>
        <w:t xml:space="preserve">Results；</w:t>
      </w:r>
    </w:p>
    <w:p>
      <w:pPr>
        <w:pStyle w:val="Compact"/>
        <w:numPr>
          <w:ilvl w:val="0"/>
          <w:numId w:val="1012"/>
        </w:numPr>
      </w:pPr>
      <w:r>
        <w:t xml:space="preserve">Discussion；</w:t>
      </w:r>
    </w:p>
    <w:p>
      <w:pPr>
        <w:pStyle w:val="Compact"/>
        <w:numPr>
          <w:ilvl w:val="0"/>
          <w:numId w:val="1012"/>
        </w:numPr>
      </w:pPr>
      <w:r>
        <w:t xml:space="preserve">Limitations；</w:t>
      </w:r>
    </w:p>
    <w:p>
      <w:pPr>
        <w:pStyle w:val="Compact"/>
        <w:numPr>
          <w:ilvl w:val="0"/>
          <w:numId w:val="1012"/>
        </w:numPr>
      </w:pPr>
      <w:r>
        <w:t xml:space="preserve">Data and Code Availability；</w:t>
      </w:r>
    </w:p>
    <w:p>
      <w:pPr>
        <w:pStyle w:val="Compact"/>
        <w:numPr>
          <w:ilvl w:val="0"/>
          <w:numId w:val="1012"/>
        </w:numPr>
      </w:pPr>
      <w:r>
        <w:t xml:space="preserve">LLM Usage Statement；</w:t>
      </w:r>
    </w:p>
    <w:p>
      <w:pPr>
        <w:pStyle w:val="Compact"/>
        <w:numPr>
          <w:ilvl w:val="0"/>
          <w:numId w:val="1012"/>
        </w:numPr>
      </w:pPr>
      <w:r>
        <w:t xml:space="preserve">Ethics Statement；</w:t>
      </w:r>
    </w:p>
    <w:p>
      <w:pPr>
        <w:pStyle w:val="Compact"/>
        <w:numPr>
          <w:ilvl w:val="0"/>
          <w:numId w:val="1012"/>
        </w:numPr>
      </w:pPr>
      <w:r>
        <w:t xml:space="preserve">Supplementary Data；</w:t>
      </w:r>
    </w:p>
    <w:p>
      <w:pPr>
        <w:pStyle w:val="Compact"/>
        <w:numPr>
          <w:ilvl w:val="0"/>
          <w:numId w:val="1012"/>
        </w:numPr>
      </w:pPr>
      <w:r>
        <w:t xml:space="preserve">图表和 query tables；</w:t>
      </w:r>
    </w:p>
    <w:p>
      <w:pPr>
        <w:pStyle w:val="Compact"/>
        <w:numPr>
          <w:ilvl w:val="0"/>
          <w:numId w:val="1012"/>
        </w:numPr>
      </w:pPr>
      <w:r>
        <w:t xml:space="preserve">前端展示。</w:t>
      </w:r>
    </w:p>
    <w:p>
      <w:pPr>
        <w:pStyle w:val="FirstParagraph"/>
      </w:pPr>
      <w:r>
        <w:t xml:space="preserve">已经完成的合规项包括：</w:t>
      </w:r>
    </w:p>
    <w:p>
      <w:pPr>
        <w:pStyle w:val="Compact"/>
        <w:numPr>
          <w:ilvl w:val="0"/>
          <w:numId w:val="1013"/>
        </w:numPr>
      </w:pPr>
      <w:r>
        <w:t xml:space="preserve">数据和代码可用性声明；</w:t>
      </w:r>
    </w:p>
    <w:p>
      <w:pPr>
        <w:pStyle w:val="Compact"/>
        <w:numPr>
          <w:ilvl w:val="0"/>
          <w:numId w:val="1013"/>
        </w:numPr>
      </w:pPr>
      <w:r>
        <w:t xml:space="preserve">LLM 使用声明；</w:t>
      </w:r>
    </w:p>
    <w:p>
      <w:pPr>
        <w:pStyle w:val="Compact"/>
        <w:numPr>
          <w:ilvl w:val="0"/>
          <w:numId w:val="1013"/>
        </w:numPr>
      </w:pPr>
      <w:r>
        <w:t xml:space="preserve">伦理声明；</w:t>
      </w:r>
    </w:p>
    <w:p>
      <w:pPr>
        <w:pStyle w:val="Compact"/>
        <w:numPr>
          <w:ilvl w:val="0"/>
          <w:numId w:val="1013"/>
        </w:numPr>
      </w:pPr>
      <w:r>
        <w:t xml:space="preserve">不确定性模型表格化；</w:t>
      </w:r>
    </w:p>
    <w:p>
      <w:pPr>
        <w:pStyle w:val="Compact"/>
        <w:numPr>
          <w:ilvl w:val="0"/>
          <w:numId w:val="1013"/>
        </w:numPr>
      </w:pPr>
      <w:r>
        <w:t xml:space="preserve">stage-wise ablation / QC 表；</w:t>
      </w:r>
    </w:p>
    <w:p>
      <w:pPr>
        <w:pStyle w:val="Compact"/>
        <w:numPr>
          <w:ilvl w:val="0"/>
          <w:numId w:val="1013"/>
        </w:numPr>
      </w:pPr>
      <w:r>
        <w:t xml:space="preserve">graph query case study；</w:t>
      </w:r>
    </w:p>
    <w:p>
      <w:pPr>
        <w:pStyle w:val="Compact"/>
        <w:numPr>
          <w:ilvl w:val="0"/>
          <w:numId w:val="1013"/>
        </w:numPr>
      </w:pPr>
      <w:r>
        <w:t xml:space="preserve">computational related work 文献扩展。</w:t>
      </w:r>
    </w:p>
    <w:bookmarkEnd w:id="37"/>
    <w:bookmarkStart w:id="41" w:name="七主要风险"/>
    <w:p>
      <w:pPr>
        <w:pStyle w:val="10"/>
      </w:pPr>
      <w:r>
        <w:t xml:space="preserve">七、主要风险</w:t>
      </w:r>
    </w:p>
    <w:bookmarkStart w:id="38" w:name="最大风险llm-抽取准确性需要验证"/>
    <w:p>
      <w:pPr>
        <w:pStyle w:val="20"/>
      </w:pPr>
      <w:r>
        <w:t xml:space="preserve">7.1 最大风险：LLM 抽取准确性需要验证</w:t>
      </w:r>
    </w:p>
    <w:p>
      <w:pPr>
        <w:pStyle w:val="FirstParagraph"/>
      </w:pPr>
      <w:r>
        <w:t xml:space="preserve">当前图谱是 silver-standard，不是 gold-standard。虽然每条记录都有置信度和不确定性标记，但投稿时审稿人仍然会问：</w:t>
      </w:r>
    </w:p>
    <w:p>
      <w:pPr>
        <w:pStyle w:val="a9"/>
      </w:pPr>
      <w:r>
        <w:t xml:space="preserve">自动抽取到底准不准？</w:t>
      </w:r>
    </w:p>
    <w:p>
      <w:pPr>
        <w:pStyle w:val="FirstParagraph"/>
      </w:pPr>
      <w:r>
        <w:t xml:space="preserve">目前已经准备好 48 条分层验证样本：</w:t>
      </w:r>
    </w:p>
    <w:p>
      <w:pPr>
        <w:pStyle w:val="Compact"/>
        <w:numPr>
          <w:ilvl w:val="0"/>
          <w:numId w:val="1014"/>
        </w:numPr>
      </w:pPr>
      <w:r>
        <w:t xml:space="preserve">low uncertainty：14 条；</w:t>
      </w:r>
    </w:p>
    <w:p>
      <w:pPr>
        <w:pStyle w:val="Compact"/>
        <w:numPr>
          <w:ilvl w:val="0"/>
          <w:numId w:val="1014"/>
        </w:numPr>
      </w:pPr>
      <w:r>
        <w:t xml:space="preserve">moderate uncertainty：24 条；</w:t>
      </w:r>
    </w:p>
    <w:p>
      <w:pPr>
        <w:pStyle w:val="Compact"/>
        <w:numPr>
          <w:ilvl w:val="0"/>
          <w:numId w:val="1014"/>
        </w:numPr>
      </w:pPr>
      <w:r>
        <w:t xml:space="preserve">high uncertainty：10 条。</w:t>
      </w:r>
    </w:p>
    <w:p>
      <w:pPr>
        <w:pStyle w:val="FirstParagraph"/>
      </w:pPr>
      <w:r>
        <w:t xml:space="preserve">但还需要人工填写 validation worksheet，才能报告字段级准确率。</w:t>
      </w:r>
    </w:p>
    <w:bookmarkEnd w:id="38"/>
    <w:bookmarkStart w:id="39" w:name="第二风险被认为只是工程流水线"/>
    <w:p>
      <w:pPr>
        <w:pStyle w:val="20"/>
      </w:pPr>
      <w:r>
        <w:t xml:space="preserve">7.2 第二风险：被认为只是工程流水线</w:t>
      </w:r>
    </w:p>
    <w:p>
      <w:pPr>
        <w:pStyle w:val="FirstParagraph"/>
      </w:pPr>
      <w:r>
        <w:t xml:space="preserve">应对方式已经部分完成：</w:t>
      </w:r>
    </w:p>
    <w:p>
      <w:pPr>
        <w:pStyle w:val="Compact"/>
        <w:numPr>
          <w:ilvl w:val="0"/>
          <w:numId w:val="1015"/>
        </w:numPr>
      </w:pPr>
      <w:r>
        <w:t xml:space="preserve">加入 uncertainty model；</w:t>
      </w:r>
    </w:p>
    <w:p>
      <w:pPr>
        <w:pStyle w:val="Compact"/>
        <w:numPr>
          <w:ilvl w:val="0"/>
          <w:numId w:val="1015"/>
        </w:numPr>
      </w:pPr>
      <w:r>
        <w:t xml:space="preserve">加入 stage-wise QC table；</w:t>
      </w:r>
    </w:p>
    <w:p>
      <w:pPr>
        <w:pStyle w:val="Compact"/>
        <w:numPr>
          <w:ilvl w:val="0"/>
          <w:numId w:val="1015"/>
        </w:numPr>
      </w:pPr>
      <w:r>
        <w:t xml:space="preserve">加入 graph query case study；</w:t>
      </w:r>
    </w:p>
    <w:p>
      <w:pPr>
        <w:pStyle w:val="Compact"/>
        <w:numPr>
          <w:ilvl w:val="0"/>
          <w:numId w:val="1015"/>
        </w:numPr>
      </w:pPr>
      <w:r>
        <w:t xml:space="preserve">加入 computational related work；</w:t>
      </w:r>
    </w:p>
    <w:p>
      <w:pPr>
        <w:pStyle w:val="Compact"/>
        <w:numPr>
          <w:ilvl w:val="0"/>
          <w:numId w:val="1015"/>
        </w:numPr>
      </w:pPr>
      <w:r>
        <w:t xml:space="preserve">明确 silver-standard 定位。</w:t>
      </w:r>
    </w:p>
    <w:p>
      <w:pPr>
        <w:pStyle w:val="FirstParagraph"/>
      </w:pPr>
      <w:r>
        <w:t xml:space="preserve">但后续仍建议补一张更强的“图谱查询案例”或“验证结果表”。</w:t>
      </w:r>
    </w:p>
    <w:bookmarkEnd w:id="39"/>
    <w:bookmarkStart w:id="40" w:name="第三风险投稿模板和版面"/>
    <w:p>
      <w:pPr>
        <w:pStyle w:val="20"/>
      </w:pPr>
      <w:r>
        <w:t xml:space="preserve">7.3 第三风险：投稿模板和版面</w:t>
      </w:r>
    </w:p>
    <w:p>
      <w:pPr>
        <w:pStyle w:val="FirstParagraph"/>
      </w:pPr>
      <w:r>
        <w:t xml:space="preserve">当前 v6 是 Database-oriented 草案，但还不是目标期刊官方模板。后续需要根据目标期刊要求调整：</w:t>
      </w:r>
    </w:p>
    <w:p>
      <w:pPr>
        <w:pStyle w:val="Compact"/>
        <w:numPr>
          <w:ilvl w:val="0"/>
          <w:numId w:val="1016"/>
        </w:numPr>
      </w:pPr>
      <w:r>
        <w:t xml:space="preserve">版面；</w:t>
      </w:r>
    </w:p>
    <w:p>
      <w:pPr>
        <w:pStyle w:val="Compact"/>
        <w:numPr>
          <w:ilvl w:val="0"/>
          <w:numId w:val="1016"/>
        </w:numPr>
      </w:pPr>
      <w:r>
        <w:t xml:space="preserve">supplementary materials；</w:t>
      </w:r>
    </w:p>
    <w:p>
      <w:pPr>
        <w:pStyle w:val="Compact"/>
        <w:numPr>
          <w:ilvl w:val="0"/>
          <w:numId w:val="1016"/>
        </w:numPr>
      </w:pPr>
      <w:r>
        <w:t xml:space="preserve">数据可用性格式；</w:t>
      </w:r>
    </w:p>
    <w:p>
      <w:pPr>
        <w:pStyle w:val="Compact"/>
        <w:numPr>
          <w:ilvl w:val="0"/>
          <w:numId w:val="1016"/>
        </w:numPr>
      </w:pPr>
      <w:r>
        <w:t xml:space="preserve">图表位置；</w:t>
      </w:r>
    </w:p>
    <w:p>
      <w:pPr>
        <w:pStyle w:val="Compact"/>
        <w:numPr>
          <w:ilvl w:val="0"/>
          <w:numId w:val="1016"/>
        </w:numPr>
      </w:pPr>
      <w:r>
        <w:t xml:space="preserve">引用格式；</w:t>
      </w:r>
    </w:p>
    <w:p>
      <w:pPr>
        <w:pStyle w:val="Compact"/>
        <w:numPr>
          <w:ilvl w:val="0"/>
          <w:numId w:val="1016"/>
        </w:numPr>
      </w:pPr>
      <w:r>
        <w:t xml:space="preserve">是否需要 cover letter。</w:t>
      </w:r>
    </w:p>
    <w:bookmarkEnd w:id="40"/>
    <w:bookmarkEnd w:id="41"/>
    <w:bookmarkStart w:id="45" w:name="八下一步建议"/>
    <w:p>
      <w:pPr>
        <w:pStyle w:val="10"/>
      </w:pPr>
      <w:r>
        <w:t xml:space="preserve">八、下一步建议</w:t>
      </w:r>
    </w:p>
    <w:bookmarkStart w:id="42" w:name="立即完成验证样本"/>
    <w:p>
      <w:pPr>
        <w:pStyle w:val="20"/>
      </w:pPr>
      <w:r>
        <w:t xml:space="preserve">8.1 立即完成验证样本</w:t>
      </w:r>
    </w:p>
    <w:p>
      <w:pPr>
        <w:pStyle w:val="FirstParagraph"/>
      </w:pPr>
      <w:r>
        <w:t xml:space="preserve">最优先任务是让 1-2 人填写 48 条 validation worksheet。完成后可以生成：</w:t>
      </w:r>
    </w:p>
    <w:p>
      <w:pPr>
        <w:pStyle w:val="Compact"/>
        <w:numPr>
          <w:ilvl w:val="0"/>
          <w:numId w:val="1017"/>
        </w:numPr>
      </w:pPr>
      <w:r>
        <w:t xml:space="preserve">字段级准确率；</w:t>
      </w:r>
    </w:p>
    <w:p>
      <w:pPr>
        <w:pStyle w:val="Compact"/>
        <w:numPr>
          <w:ilvl w:val="0"/>
          <w:numId w:val="1017"/>
        </w:numPr>
      </w:pPr>
      <w:r>
        <w:t xml:space="preserve">accept / accept with correction / reject 比例；</w:t>
      </w:r>
    </w:p>
    <w:p>
      <w:pPr>
        <w:pStyle w:val="Compact"/>
        <w:numPr>
          <w:ilvl w:val="0"/>
          <w:numId w:val="1017"/>
        </w:numPr>
      </w:pPr>
      <w:r>
        <w:t xml:space="preserve">低/中/高不确定性分层质量；</w:t>
      </w:r>
    </w:p>
    <w:p>
      <w:pPr>
        <w:pStyle w:val="Compact"/>
        <w:numPr>
          <w:ilvl w:val="0"/>
          <w:numId w:val="1017"/>
        </w:numPr>
      </w:pPr>
      <w:r>
        <w:t xml:space="preserve">哪些字段最容易错。</w:t>
      </w:r>
    </w:p>
    <w:p>
      <w:pPr>
        <w:pStyle w:val="FirstParagraph"/>
      </w:pPr>
      <w:r>
        <w:t xml:space="preserve">这会显著提高论文可信度。</w:t>
      </w:r>
    </w:p>
    <w:bookmarkEnd w:id="42"/>
    <w:bookmarkStart w:id="43" w:name="确定目标期刊"/>
    <w:p>
      <w:pPr>
        <w:pStyle w:val="20"/>
      </w:pPr>
      <w:r>
        <w:t xml:space="preserve">8.2 确定目标期刊</w:t>
      </w:r>
    </w:p>
    <w:p>
      <w:pPr>
        <w:pStyle w:val="FirstParagraph"/>
      </w:pPr>
      <w:r>
        <w:t xml:space="preserve">建议优先选择 Database 方向。如果选择 Scientific Data，则需要把论文改写成 Data Descriptor 风格，弱化方法论和讨论部分。</w:t>
      </w:r>
    </w:p>
    <w:bookmarkEnd w:id="43"/>
    <w:bookmarkStart w:id="44" w:name="做投稿版-v7"/>
    <w:p>
      <w:pPr>
        <w:pStyle w:val="20"/>
      </w:pPr>
      <w:r>
        <w:t xml:space="preserve">8.3 做投稿版 v7</w:t>
      </w:r>
    </w:p>
    <w:p>
      <w:pPr>
        <w:pStyle w:val="FirstParagraph"/>
      </w:pPr>
      <w:r>
        <w:t xml:space="preserve">v7 应该围绕目标期刊进行：</w:t>
      </w:r>
    </w:p>
    <w:p>
      <w:pPr>
        <w:pStyle w:val="Compact"/>
        <w:numPr>
          <w:ilvl w:val="0"/>
          <w:numId w:val="1018"/>
        </w:numPr>
      </w:pPr>
      <w:r>
        <w:t xml:space="preserve">模板转换；</w:t>
      </w:r>
    </w:p>
    <w:p>
      <w:pPr>
        <w:pStyle w:val="Compact"/>
        <w:numPr>
          <w:ilvl w:val="0"/>
          <w:numId w:val="1018"/>
        </w:numPr>
      </w:pPr>
      <w:r>
        <w:t xml:space="preserve">supplement 拆分；</w:t>
      </w:r>
    </w:p>
    <w:p>
      <w:pPr>
        <w:pStyle w:val="Compact"/>
        <w:numPr>
          <w:ilvl w:val="0"/>
          <w:numId w:val="1018"/>
        </w:numPr>
      </w:pPr>
      <w:r>
        <w:t xml:space="preserve">表格版面精修；</w:t>
      </w:r>
    </w:p>
    <w:p>
      <w:pPr>
        <w:pStyle w:val="Compact"/>
        <w:numPr>
          <w:ilvl w:val="0"/>
          <w:numId w:val="1018"/>
        </w:numPr>
      </w:pPr>
      <w:r>
        <w:t xml:space="preserve">cover letter；</w:t>
      </w:r>
    </w:p>
    <w:p>
      <w:pPr>
        <w:pStyle w:val="Compact"/>
        <w:numPr>
          <w:ilvl w:val="0"/>
          <w:numId w:val="1018"/>
        </w:numPr>
      </w:pPr>
      <w:r>
        <w:t xml:space="preserve">data/code availability 按期刊格式重写。</w:t>
      </w:r>
    </w:p>
    <w:bookmarkEnd w:id="44"/>
    <w:bookmarkEnd w:id="45"/>
    <w:bookmarkStart w:id="46" w:name="九需要老板支持的事项"/>
    <w:p>
      <w:pPr>
        <w:pStyle w:val="10"/>
      </w:pPr>
      <w:r>
        <w:t xml:space="preserve">九、需要老板支持的事项</w:t>
      </w:r>
    </w:p>
    <w:p>
      <w:pPr>
        <w:pStyle w:val="Compact"/>
        <w:numPr>
          <w:ilvl w:val="0"/>
          <w:numId w:val="1019"/>
        </w:numPr>
      </w:pPr>
      <w:r>
        <w:t xml:space="preserve">确认论文定位：优先资源/数据库论文，而不是算法论文。</w:t>
      </w:r>
    </w:p>
    <w:p>
      <w:pPr>
        <w:pStyle w:val="Compact"/>
        <w:numPr>
          <w:ilvl w:val="0"/>
          <w:numId w:val="1019"/>
        </w:numPr>
      </w:pPr>
      <w:r>
        <w:t xml:space="preserve">安排 1-2 人完成 48 条抽样验证。</w:t>
      </w:r>
    </w:p>
    <w:p>
      <w:pPr>
        <w:pStyle w:val="Compact"/>
        <w:numPr>
          <w:ilvl w:val="0"/>
          <w:numId w:val="1019"/>
        </w:numPr>
      </w:pPr>
      <w:r>
        <w:t xml:space="preserve">确定目标期刊或会议方向。</w:t>
      </w:r>
    </w:p>
    <w:p>
      <w:pPr>
        <w:pStyle w:val="Compact"/>
        <w:numPr>
          <w:ilvl w:val="0"/>
          <w:numId w:val="1019"/>
        </w:numPr>
      </w:pPr>
      <w:r>
        <w:t xml:space="preserve">决定是否继续扩大 full-text extraction 和人工验证规模。</w:t>
      </w:r>
    </w:p>
    <w:p>
      <w:pPr>
        <w:pStyle w:val="Compact"/>
        <w:numPr>
          <w:ilvl w:val="0"/>
          <w:numId w:val="1019"/>
        </w:numPr>
      </w:pPr>
      <w:r>
        <w:t xml:space="preserve">决定是否将前端做成正式在线展示页面。</w:t>
      </w:r>
    </w:p>
    <w:bookmarkEnd w:id="46"/>
    <w:bookmarkStart w:id="47" w:name="十结论"/>
    <w:p>
      <w:pPr>
        <w:pStyle w:val="10"/>
      </w:pPr>
      <w:r>
        <w:t xml:space="preserve">十、结论</w:t>
      </w:r>
    </w:p>
    <w:p>
      <w:pPr>
        <w:pStyle w:val="FirstParagraph"/>
      </w:pPr>
      <w:r>
        <w:t xml:space="preserve">AutoTeaKG-Silver 已经具备四类成果：</w:t>
      </w:r>
    </w:p>
    <w:p>
      <w:pPr>
        <w:pStyle w:val="Compact"/>
        <w:numPr>
          <w:ilvl w:val="0"/>
          <w:numId w:val="1020"/>
        </w:numPr>
      </w:pPr>
      <w:r>
        <w:t xml:space="preserve">数据和知识图谱；</w:t>
      </w:r>
    </w:p>
    <w:p>
      <w:pPr>
        <w:pStyle w:val="Compact"/>
        <w:numPr>
          <w:ilvl w:val="0"/>
          <w:numId w:val="1020"/>
        </w:numPr>
      </w:pPr>
      <w:r>
        <w:t xml:space="preserve">可复现代码；</w:t>
      </w:r>
    </w:p>
    <w:p>
      <w:pPr>
        <w:pStyle w:val="Compact"/>
        <w:numPr>
          <w:ilvl w:val="0"/>
          <w:numId w:val="1020"/>
        </w:numPr>
      </w:pPr>
      <w:r>
        <w:t xml:space="preserve">前端展示；</w:t>
      </w:r>
    </w:p>
    <w:p>
      <w:pPr>
        <w:pStyle w:val="Compact"/>
        <w:numPr>
          <w:ilvl w:val="0"/>
          <w:numId w:val="1020"/>
        </w:numPr>
      </w:pPr>
      <w:r>
        <w:t xml:space="preserve">论文和汇报材料。</w:t>
      </w:r>
    </w:p>
    <w:p>
      <w:pPr>
        <w:pStyle w:val="FirstParagraph"/>
      </w:pPr>
      <w:r>
        <w:t xml:space="preserve">项目当前已经从探索阶段进入投稿前打磨阶段。最关键的下一步不是再扩更多数据，而是补齐字段级验证结果，并围绕目标期刊完成投稿版定稿。</w:t>
      </w:r>
    </w:p>
    <w:bookmarkEnd w:id="47"/>
    <w:sectPr w:rsidR="00E1645B" w:rsidSect="00C47116">
      <w:footerReference r:id="rId9" w:type="default"/>
      <w:pgSz w:code="9"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  <w:docPartObj>
        <w:docPartGallery w:val="Page Numbers (Bottom of Page)"/>
        <w:docPartUnique/>
      </w:docPartObj>
    </w:sdtPr>
    <w:sdtContent>
      <w:p w14:paraId="542A371B" w14:textId="77777777" w:rsidR="00E1645B" w:rsidRDefault="009013F6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 w14:textId="77777777" w:rsidR="00E1645B" w:rsidRDefault="00E1645B">
    <w:pPr>
      <w:pStyle w:val="af1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F7DE9768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845A1078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A6FCA292"/>
    <w:lvl w:ilvl="0">
      <w:start w:val="1"/>
      <w:numFmt w:val="decimal"/>
      <w:suff w:val="space"/>
      <w:lvlText w:val="%1."/>
      <w:lvlJc w:val="right"/>
      <w:pPr>
        <w:ind w:firstLine="765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765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765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765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765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765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765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765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765" w:left="4536"/>
      </w:pPr>
      <w:rPr>
        <w:rFonts w:hint="eastAsia"/>
      </w:rPr>
    </w:lvl>
  </w:abstractNum>
  <w:abstractNum w15:restartNumberingAfterBreak="0" w:abstractNumId="3">
    <w:nsid w:val="289471C0"/>
    <w:multiLevelType w:val="hybridMultilevel"/>
    <w:tmpl w:val="1FD8214E"/>
    <w:lvl w:ilvl="0" w:tplc="04090001">
      <w:start w:val="1"/>
      <w:numFmt w:val="bullet"/>
      <w:lvlText w:val=""/>
      <w:lvlJc w:val="left"/>
      <w:pPr>
        <w:ind w:hanging="440" w:left="9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40" w:left="136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4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40" w:left="224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40" w:left="268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40" w:left="31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40" w:left="35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40" w:left="400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40" w:left="4440"/>
      </w:pPr>
      <w:rPr>
        <w:rFonts w:ascii="Wingdings" w:hAnsi="Wingdings" w:hint="default"/>
      </w:rPr>
    </w:lvl>
  </w:abstractNum>
  <w:abstractNum w15:restartNumberingAfterBreak="0" w:abstractNumId="4">
    <w:nsid w:val="2BC278D3"/>
    <w:multiLevelType w:val="multilevel"/>
    <w:tmpl w:val="5262CB2E"/>
    <w:styleLink w:val="1"/>
    <w:lvl w:ilvl="0">
      <w:numFmt w:val="bullet"/>
      <w:lvlText w:val="•"/>
      <w:lvlJc w:val="left"/>
      <w:pPr>
        <w:ind w:hanging="480" w:left="720"/>
      </w:pPr>
      <w:rPr>
        <w:rFonts w:ascii="微软雅黑" w:eastAsia="微软雅黑" w:hAnsi="微软雅黑" w:hint="eastAsia"/>
        <w:sz w:val="28"/>
      </w:rPr>
    </w:lvl>
    <w:lvl w:ilvl="1">
      <w:numFmt w:val="bullet"/>
      <w:lvlText w:val=""/>
      <w:lvlJc w:val="left"/>
      <w:pPr>
        <w:ind w:hanging="480" w:left="1440"/>
      </w:pPr>
      <w:rPr>
        <w:rFonts w:ascii="Wingdings" w:eastAsia="微软雅黑" w:hAnsi="Wingdings" w:hint="default"/>
        <w:sz w:val="28"/>
      </w:rPr>
    </w:lvl>
    <w:lvl w:ilvl="2">
      <w:numFmt w:val="bullet"/>
      <w:lvlText w:val=""/>
      <w:lvlJc w:val="left"/>
      <w:pPr>
        <w:ind w:hanging="480" w:left="2160"/>
      </w:pPr>
      <w:rPr>
        <w:rFonts w:ascii="Wingdings" w:eastAsia="微软雅黑" w:hAnsi="Wingdings" w:hint="default"/>
        <w:sz w:val="28"/>
      </w:rPr>
    </w:lvl>
    <w:lvl w:ilvl="3">
      <w:numFmt w:val="bullet"/>
      <w:lvlText w:val="•"/>
      <w:lvlJc w:val="left"/>
      <w:pPr>
        <w:ind w:hanging="480" w:left="2880"/>
      </w:pPr>
      <w:rPr>
        <w:rFonts w:ascii="微软雅黑" w:eastAsia="微软雅黑" w:hAnsi="微软雅黑" w:hint="eastAsia"/>
        <w:sz w:val="28"/>
      </w:rPr>
    </w:lvl>
    <w:lvl w:ilvl="4">
      <w:numFmt w:val="bullet"/>
      <w:lvlText w:val="•"/>
      <w:lvlJc w:val="left"/>
      <w:pPr>
        <w:ind w:hanging="480" w:left="3600"/>
      </w:pPr>
      <w:rPr>
        <w:rFonts w:ascii="微软雅黑" w:eastAsia="微软雅黑" w:hAnsi="微软雅黑" w:hint="eastAsia"/>
        <w:sz w:val="28"/>
      </w:rPr>
    </w:lvl>
    <w:lvl w:ilvl="5">
      <w:numFmt w:val="bullet"/>
      <w:lvlText w:val="•"/>
      <w:lvlJc w:val="left"/>
      <w:pPr>
        <w:ind w:hanging="480" w:left="4320"/>
      </w:pPr>
      <w:rPr>
        <w:rFonts w:eastAsia="微软雅黑" w:hint="eastAsia"/>
        <w:sz w:val="28"/>
      </w:rPr>
    </w:lvl>
    <w:lvl w:ilvl="6">
      <w:numFmt w:val="bullet"/>
      <w:lvlText w:val="•"/>
      <w:lvlJc w:val="left"/>
      <w:pPr>
        <w:ind w:hanging="480" w:left="5040"/>
      </w:pPr>
      <w:rPr>
        <w:rFonts w:eastAsia="微软雅黑"/>
        <w:sz w:val="28"/>
      </w:rPr>
    </w:lvl>
    <w:lvl w:ilvl="7">
      <w:numFmt w:val="bullet"/>
      <w:lvlText w:val="•"/>
      <w:lvlJc w:val="left"/>
      <w:pPr>
        <w:ind w:hanging="480" w:left="5760"/>
      </w:pPr>
      <w:rPr>
        <w:rFonts w:eastAsia="微软雅黑" w:hint="eastAsia"/>
        <w:sz w:val="28"/>
      </w:rPr>
    </w:lvl>
    <w:lvl w:ilvl="8">
      <w:numFmt w:val="bullet"/>
      <w:lvlText w:val="•"/>
      <w:lvlJc w:val="left"/>
      <w:pPr>
        <w:ind w:hanging="480" w:left="6480"/>
      </w:pPr>
      <w:rPr>
        <w:rFonts w:eastAsia="微软雅黑" w:hint="eastAsia"/>
        <w:sz w:val="28"/>
      </w:rPr>
    </w:lvl>
  </w:abstractNum>
  <w:abstractNum w15:restartNumberingAfterBreak="0" w:abstractNumId="5">
    <w:nsid w:val="553929AC"/>
    <w:multiLevelType w:val="multilevel"/>
    <w:tmpl w:val="22C0AC60"/>
    <w:styleLink w:val="2"/>
    <w:lvl w:ilvl="0">
      <w:start w:val="1"/>
      <w:numFmt w:val="decimal"/>
      <w:lvlText w:val="%1."/>
      <w:lvlJc w:val="left"/>
      <w:pPr>
        <w:ind w:hanging="480" w:left="1440"/>
      </w:pPr>
      <w:rPr>
        <w:rFonts w:hint="eastAsia"/>
      </w:rPr>
    </w:lvl>
    <w:lvl w:ilvl="1">
      <w:start w:val="1"/>
      <w:numFmt w:val="decimal"/>
      <w:lvlText w:val="%2)"/>
      <w:lvlJc w:val="left"/>
      <w:pPr>
        <w:ind w:hanging="480" w:left="2160"/>
      </w:pPr>
      <w:rPr>
        <w:rFonts w:hint="eastAsia"/>
      </w:rPr>
    </w:lvl>
    <w:lvl w:ilvl="2">
      <w:start w:val="1"/>
      <w:numFmt w:val="upperLetter"/>
      <w:lvlText w:val="%3."/>
      <w:lvlJc w:val="left"/>
      <w:pPr>
        <w:ind w:hanging="480" w:left="2880"/>
      </w:pPr>
      <w:rPr>
        <w:rFonts w:hint="eastAsia"/>
      </w:rPr>
    </w:lvl>
    <w:lvl w:ilvl="3">
      <w:start w:val="1"/>
      <w:numFmt w:val="lowerLetter"/>
      <w:lvlText w:val="%4."/>
      <w:lvlJc w:val="left"/>
      <w:pPr>
        <w:ind w:hanging="480" w:left="3600"/>
      </w:pPr>
      <w:rPr>
        <w:rFonts w:hint="eastAsia"/>
      </w:rPr>
    </w:lvl>
    <w:lvl w:ilvl="4">
      <w:start w:val="1"/>
      <w:numFmt w:val="decimal"/>
      <w:lvlText w:val="%5."/>
      <w:lvlJc w:val="left"/>
      <w:pPr>
        <w:ind w:hanging="480" w:left="4320"/>
      </w:pPr>
      <w:rPr>
        <w:rFonts w:hint="eastAsia"/>
      </w:rPr>
    </w:lvl>
    <w:lvl w:ilvl="5">
      <w:start w:val="1"/>
      <w:numFmt w:val="decimal"/>
      <w:lvlText w:val="%6)"/>
      <w:lvlJc w:val="left"/>
      <w:pPr>
        <w:ind w:hanging="480" w:left="5040"/>
      </w:pPr>
      <w:rPr>
        <w:rFonts w:hint="eastAsia"/>
      </w:rPr>
    </w:lvl>
    <w:lvl w:ilvl="6">
      <w:start w:val="1"/>
      <w:numFmt w:val="upperLetter"/>
      <w:lvlText w:val="%7."/>
      <w:lvlJc w:val="left"/>
      <w:pPr>
        <w:ind w:hanging="480" w:left="57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hanging="480" w:left="6480"/>
      </w:pPr>
      <w:rPr>
        <w:rFonts w:hint="eastAsia"/>
      </w:rPr>
    </w:lvl>
    <w:lvl w:ilvl="8">
      <w:start w:val="1"/>
      <w:numFmt w:val="lowerRoman"/>
      <w:lvlText w:val="%9."/>
      <w:lvlJc w:val="left"/>
      <w:pPr>
        <w:ind w:hanging="480" w:left="7200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179438853" w:numId="1">
    <w:abstractNumId w:val="4"/>
  </w:num>
  <w:num w16cid:durableId="1185561364" w:numId="2">
    <w:abstractNumId w:val="5"/>
  </w:num>
  <w:num w16cid:durableId="2049603216" w:numId="3">
    <w:abstractNumId w:val="0"/>
  </w:num>
  <w:num w16cid:durableId="703869699" w:numId="4">
    <w:abstractNumId w:val="2"/>
  </w:num>
  <w:num w16cid:durableId="1822653246" w:numId="5">
    <w:abstractNumId w:val="2"/>
  </w:num>
  <w:num w16cid:durableId="2079478619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67565266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744447668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94360317"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8518209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43059312"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111394418" w:numId="12">
    <w:abstractNumId w:val="1"/>
  </w:num>
  <w:num w16cid:durableId="723678939" w:numId="13">
    <w:abstractNumId w:val="1"/>
  </w:num>
  <w:num w16cid:durableId="2047368205" w:numId="14">
    <w:abstractNumId w:val="1"/>
  </w:num>
  <w:num w16cid:durableId="974989202" w:numId="15">
    <w:abstractNumId w:val="1"/>
  </w:num>
  <w:num w16cid:durableId="55974617" w:numId="16">
    <w:abstractNumId w:val="1"/>
  </w:num>
  <w:num w16cid:durableId="1273897876" w:numId="17">
    <w:abstractNumId w:val="1"/>
  </w:num>
  <w:num w16cid:durableId="1449272727" w:numId="18">
    <w:abstractNumId w:val="1"/>
  </w:num>
  <w:num w16cid:durableId="154762627" w:numId="19">
    <w:abstractNumId w:val="1"/>
  </w:num>
  <w:num w16cid:durableId="1122966913" w:numId="20">
    <w:abstractNumId w:val="1"/>
  </w:num>
  <w:num w16cid:durableId="370495256"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425224256" w:numId="22">
    <w:abstractNumId w:val="3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2"/>
  <w:embedSystemFonts/>
  <w:bordersDoNotSurroundHeader/>
  <w:bordersDoNotSurroundFooter/>
  <w:proofState w:grammar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footnotePr>
    <w:footnote w:id="-1"/>
    <w:footnote w:id="0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45B"/>
    <w:rsid w:val="000221AA"/>
    <w:rsid w:val="00025AF3"/>
    <w:rsid w:val="0004797B"/>
    <w:rsid w:val="00047E47"/>
    <w:rsid w:val="0007342E"/>
    <w:rsid w:val="000753E7"/>
    <w:rsid w:val="00087D78"/>
    <w:rsid w:val="00091BE4"/>
    <w:rsid w:val="0009469B"/>
    <w:rsid w:val="000B5C22"/>
    <w:rsid w:val="000B699B"/>
    <w:rsid w:val="000F035A"/>
    <w:rsid w:val="00113CC5"/>
    <w:rsid w:val="0013396A"/>
    <w:rsid w:val="00164262"/>
    <w:rsid w:val="0017089F"/>
    <w:rsid w:val="001B0C35"/>
    <w:rsid w:val="001B6BBA"/>
    <w:rsid w:val="001D786D"/>
    <w:rsid w:val="00221DDC"/>
    <w:rsid w:val="002C5429"/>
    <w:rsid w:val="002F133B"/>
    <w:rsid w:val="0033595C"/>
    <w:rsid w:val="00382843"/>
    <w:rsid w:val="003A1B17"/>
    <w:rsid w:val="003C2F7C"/>
    <w:rsid w:val="00482A2A"/>
    <w:rsid w:val="004A10CE"/>
    <w:rsid w:val="004C4FF6"/>
    <w:rsid w:val="004E56DA"/>
    <w:rsid w:val="00505A95"/>
    <w:rsid w:val="005561E1"/>
    <w:rsid w:val="00570284"/>
    <w:rsid w:val="005A7FAC"/>
    <w:rsid w:val="005B0769"/>
    <w:rsid w:val="005E74FC"/>
    <w:rsid w:val="005F4E7C"/>
    <w:rsid w:val="00600F4C"/>
    <w:rsid w:val="00620A0C"/>
    <w:rsid w:val="006629BB"/>
    <w:rsid w:val="006747B6"/>
    <w:rsid w:val="00681818"/>
    <w:rsid w:val="00683C59"/>
    <w:rsid w:val="006B564A"/>
    <w:rsid w:val="0071074D"/>
    <w:rsid w:val="007126C7"/>
    <w:rsid w:val="00740662"/>
    <w:rsid w:val="007453BF"/>
    <w:rsid w:val="007510D8"/>
    <w:rsid w:val="007950A2"/>
    <w:rsid w:val="007B7F35"/>
    <w:rsid w:val="007F1979"/>
    <w:rsid w:val="007F29BC"/>
    <w:rsid w:val="00801FC5"/>
    <w:rsid w:val="008F4924"/>
    <w:rsid w:val="009013F6"/>
    <w:rsid w:val="009149B5"/>
    <w:rsid w:val="00922EA0"/>
    <w:rsid w:val="0092513E"/>
    <w:rsid w:val="00970C9D"/>
    <w:rsid w:val="00977B74"/>
    <w:rsid w:val="009A3285"/>
    <w:rsid w:val="009B069A"/>
    <w:rsid w:val="009C1C2F"/>
    <w:rsid w:val="00A14FF3"/>
    <w:rsid w:val="00A83165"/>
    <w:rsid w:val="00A976D3"/>
    <w:rsid w:val="00AA1B8B"/>
    <w:rsid w:val="00AE42ED"/>
    <w:rsid w:val="00AF14BC"/>
    <w:rsid w:val="00B25A83"/>
    <w:rsid w:val="00B8037B"/>
    <w:rsid w:val="00B9542F"/>
    <w:rsid w:val="00BA073E"/>
    <w:rsid w:val="00BA49AB"/>
    <w:rsid w:val="00BB0144"/>
    <w:rsid w:val="00BD3843"/>
    <w:rsid w:val="00BD4F7D"/>
    <w:rsid w:val="00BF2EFB"/>
    <w:rsid w:val="00BF6B73"/>
    <w:rsid w:val="00C00C92"/>
    <w:rsid w:val="00C06AC9"/>
    <w:rsid w:val="00C214C8"/>
    <w:rsid w:val="00C47116"/>
    <w:rsid w:val="00C63491"/>
    <w:rsid w:val="00D14922"/>
    <w:rsid w:val="00D31585"/>
    <w:rsid w:val="00D418AC"/>
    <w:rsid w:val="00D446E0"/>
    <w:rsid w:val="00D446FE"/>
    <w:rsid w:val="00D83FFB"/>
    <w:rsid w:val="00DA58B7"/>
    <w:rsid w:val="00DB3671"/>
    <w:rsid w:val="00DC0840"/>
    <w:rsid w:val="00DE2CBB"/>
    <w:rsid w:val="00E10764"/>
    <w:rsid w:val="00E1645B"/>
    <w:rsid w:val="00E2394E"/>
    <w:rsid w:val="00E367ED"/>
    <w:rsid w:val="00E44B39"/>
    <w:rsid w:val="00E52940"/>
    <w:rsid w:val="00E56281"/>
    <w:rsid w:val="00E83C7F"/>
    <w:rsid w:val="00EF003C"/>
    <w:rsid w:val="00F130A2"/>
    <w:rsid w:val="00F3150F"/>
    <w:rsid w:val="00F346C6"/>
    <w:rsid w:val="00F90FDD"/>
    <w:rsid w:val="00FB2AD0"/>
    <w:rsid w:val="00FC335F"/>
    <w:rsid w:val="00FE1EF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BD3843"/>
    <w:pPr>
      <w:spacing w:after="0" w:line="360" w:lineRule="auto"/>
    </w:pPr>
    <w:rPr>
      <w:rFonts w:ascii="Times New Roman" w:eastAsia="宋体" w:hAnsi="Times New Roman"/>
    </w:rPr>
  </w:style>
  <w:style w:styleId="10" w:type="paragraph">
    <w:name w:val="heading 1"/>
    <w:basedOn w:val="a"/>
    <w:next w:val="a0"/>
    <w:autoRedefine/>
    <w:uiPriority w:val="9"/>
    <w:qFormat/>
    <w:rsid w:val="00891C5E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0" w:type="paragraph">
    <w:name w:val="heading 2"/>
    <w:basedOn w:val="a"/>
    <w:next w:val="a0"/>
    <w:uiPriority w:val="9"/>
    <w:unhideWhenUsed/>
    <w:qFormat/>
    <w:rsid w:val="00C22677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rsid w:val="004A10CE"/>
    <w:pPr>
      <w:keepNext/>
      <w:keepLines/>
      <w:spacing w:before="200"/>
      <w:outlineLvl w:val="2"/>
    </w:pPr>
    <w:rPr>
      <w:rFonts w:cstheme="majorBidi" w:eastAsia="黑体"/>
      <w:b/>
      <w:bCs/>
      <w:sz w:val="28"/>
      <w:szCs w:val="28"/>
    </w:rPr>
  </w:style>
  <w:style w:styleId="4" w:type="paragraph">
    <w:name w:val="heading 4"/>
    <w:basedOn w:val="a"/>
    <w:next w:val="a0"/>
    <w:link w:val="40"/>
    <w:uiPriority w:val="9"/>
    <w:unhideWhenUsed/>
    <w:qFormat/>
    <w:rsid w:val="004A10CE"/>
    <w:pPr>
      <w:keepNext/>
      <w:keepLines/>
      <w:spacing w:before="200"/>
      <w:outlineLvl w:val="3"/>
    </w:pPr>
    <w:rPr>
      <w:rFonts w:cstheme="majorBidi" w:eastAsia="黑体"/>
      <w:b/>
      <w:bCs/>
    </w:rPr>
  </w:style>
  <w:style w:styleId="5" w:type="paragraph">
    <w:name w:val="heading 5"/>
    <w:basedOn w:val="a"/>
    <w:next w:val="a0"/>
    <w:uiPriority w:val="9"/>
    <w:unhideWhenUsed/>
    <w:qFormat/>
    <w:rsid w:val="00BA49AB"/>
    <w:pPr>
      <w:keepNext/>
      <w:keepLines/>
      <w:spacing w:before="200"/>
      <w:outlineLvl w:val="4"/>
    </w:pPr>
    <w:rPr>
      <w:rFonts w:asciiTheme="majorHAnsi" w:cstheme="majorBidi" w:eastAsia="黑体" w:hAnsiTheme="majorHAnsi"/>
      <w:b/>
      <w:iCs/>
    </w:rPr>
  </w:style>
  <w:style w:styleId="6" w:type="paragraph">
    <w:name w:val="heading 6"/>
    <w:basedOn w:val="a"/>
    <w:next w:val="a0"/>
    <w:uiPriority w:val="9"/>
    <w:unhideWhenUsed/>
    <w:qFormat/>
    <w:rsid w:val="004A10CE"/>
    <w:pPr>
      <w:keepNext/>
      <w:keepLines/>
      <w:spacing w:before="200"/>
      <w:outlineLvl w:val="5"/>
    </w:pPr>
    <w:rPr>
      <w:rFonts w:cstheme="majorBidi" w:eastAsia="黑体"/>
      <w:b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  <w:rsid w:val="00743667"/>
  </w:style>
  <w:style w:customStyle="1" w:styleId="FirstParagraph" w:type="paragraph">
    <w:name w:val="First Paragraph"/>
    <w:basedOn w:val="a"/>
    <w:next w:val="a0"/>
    <w:qFormat/>
    <w:rsid w:val="006629BB"/>
    <w:pPr>
      <w:spacing w:before="180"/>
      <w:ind w:firstLine="200" w:firstLineChars="200"/>
    </w:pPr>
    <w:rPr>
      <w:lang w:eastAsia="zh-CN"/>
    </w:rPr>
  </w:style>
  <w:style w:customStyle="1" w:styleId="Compact" w:type="paragraph">
    <w:name w:val="Compact"/>
    <w:basedOn w:val="a0"/>
    <w:qFormat/>
    <w:rsid w:val="001B6BBA"/>
    <w:pPr>
      <w:spacing w:after="60" w:before="60"/>
      <w:ind w:firstLine="0" w:firstLineChars="0"/>
    </w:pPr>
  </w:style>
  <w:style w:styleId="a5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6" w:type="paragraph">
    <w:name w:val="Subtitle"/>
    <w:basedOn w:val="a5"/>
    <w:next w:val="a0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7" w:type="paragraph">
    <w:name w:val="Date"/>
    <w:next w:val="a0"/>
    <w:qFormat/>
    <w:pPr>
      <w:keepNext/>
      <w:keepLines/>
      <w:jc w:val="center"/>
    </w:p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styleId="a8" w:type="paragraph">
    <w:name w:val="Bibliography"/>
    <w:basedOn w:val="a"/>
    <w:qFormat/>
    <w:rsid w:val="006629BB"/>
    <w:pPr>
      <w:tabs>
        <w:tab w:pos="384" w:val="left"/>
      </w:tabs>
      <w:ind w:hanging="200" w:hangingChars="200" w:left="200"/>
    </w:pPr>
  </w:style>
  <w:style w:styleId="a9" w:type="paragraph">
    <w:name w:val="Block Text"/>
    <w:basedOn w:val="a"/>
    <w:uiPriority w:val="9"/>
    <w:unhideWhenUsed/>
    <w:qFormat/>
    <w:rsid w:val="00113CC5"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a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rsid w:val="004F42FD"/>
    <w:pPr>
      <w:jc w:val="center"/>
    </w:pPr>
    <w:rPr>
      <w:rFonts w:ascii="Times New Roman" w:eastAsia="宋体" w:hAnsi="Times New Roman"/>
      <w:sz w:val="20"/>
      <w:szCs w:val="20"/>
      <w:lang w:eastAsia="zh-CN"/>
    </w:rPr>
    <w:tblPr>
      <w:jc w:val="center"/>
      <w:tblInd w:type="dxa" w:w="0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b" w:type="paragraph">
    <w:name w:val="caption"/>
    <w:basedOn w:val="a"/>
    <w:link w:val="ac"/>
    <w:rsid w:val="005D0F42"/>
    <w:pPr>
      <w:spacing w:after="120"/>
      <w:jc w:val="center"/>
    </w:pPr>
  </w:style>
  <w:style w:customStyle="1" w:styleId="TableCaption" w:type="paragraph">
    <w:name w:val="Table Caption"/>
    <w:basedOn w:val="ab"/>
    <w:pPr>
      <w:keepNext/>
    </w:pPr>
  </w:style>
  <w:style w:customStyle="1" w:styleId="ImageCaption" w:type="paragraph">
    <w:name w:val="Image Caption"/>
    <w:basedOn w:val="ab"/>
  </w:style>
  <w:style w:customStyle="1" w:styleId="Figure" w:type="paragraph">
    <w:name w:val="Figure"/>
    <w:basedOn w:val="a"/>
    <w:rsid w:val="000F035A"/>
    <w:pPr>
      <w:jc w:val="center"/>
    </w:pPr>
  </w:style>
  <w:style w:customStyle="1" w:styleId="CaptionedFigure" w:type="paragraph">
    <w:name w:val="Captioned Figure"/>
    <w:basedOn w:val="Figure"/>
    <w:rsid w:val="00B8037B"/>
    <w:pPr>
      <w:keepNext/>
    </w:pPr>
  </w:style>
  <w:style w:customStyle="1" w:styleId="ac" w:type="character">
    <w:name w:val="题注 字符"/>
    <w:basedOn w:val="a1"/>
    <w:link w:val="ab"/>
    <w:rsid w:val="005D0F42"/>
    <w:rPr>
      <w:rFonts w:ascii="Times New Roman" w:eastAsia="宋体" w:hAnsi="Times New Roman"/>
    </w:rPr>
  </w:style>
  <w:style w:customStyle="1" w:styleId="VerbatimChar" w:type="character">
    <w:name w:val="Verbatim Char"/>
    <w:basedOn w:val="ac"/>
    <w:link w:val="SourceCode"/>
    <w:rsid w:val="00BF2EFB"/>
    <w:rPr>
      <w:rFonts w:ascii="Fira Code" w:cs="Times New Roman (正文 CS 字体)" w:eastAsia="宋体" w:hAnsi="Fira Code"/>
      <w:color w:themeColor="text1" w:themeTint="BF" w:val="404040"/>
      <w:sz w:val="21"/>
      <w:shd w:color="F3F4F4" w:fill="FFFFFF" w:themeFill="background1" w:val="clear"/>
      <w:lang w:eastAsia="zh-CN"/>
    </w:rPr>
  </w:style>
  <w:style w:styleId="ad" w:type="character">
    <w:name w:val="footnote reference"/>
    <w:basedOn w:val="ac"/>
    <w:rPr>
      <w:rFonts w:ascii="Times New Roman" w:eastAsia="宋体" w:hAnsi="Times New Roman"/>
      <w:vertAlign w:val="superscript"/>
    </w:rPr>
  </w:style>
  <w:style w:styleId="ae" w:type="character">
    <w:name w:val="Hyperlink"/>
    <w:basedOn w:val="ac"/>
    <w:rsid w:val="000C100F"/>
    <w:rPr>
      <w:rFonts w:ascii="Times New Roman" w:eastAsia="宋体" w:hAnsi="Times New Roman"/>
      <w:color w:val="0070C0"/>
    </w:rPr>
  </w:style>
  <w:style w:styleId="TOC" w:type="paragraph">
    <w:name w:val="TOC Heading"/>
    <w:basedOn w:val="10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SourceCode" w:type="paragraph">
    <w:name w:val="Source Code"/>
    <w:basedOn w:val="a"/>
    <w:link w:val="VerbatimChar"/>
    <w:qFormat/>
    <w:rsid w:val="00BF2EFB"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FFFFF" w:themeFill="background1" w:val="clear"/>
      <w:wordWrap w:val="0"/>
      <w:ind w:left="300" w:leftChars="300"/>
    </w:pPr>
    <w:rPr>
      <w:rFonts w:ascii="Fira Code" w:cs="Times New Roman (正文 CS 字体)" w:hAnsi="Fira Code"/>
      <w:color w:themeColor="text1" w:themeTint="BF" w:val="404040"/>
      <w:sz w:val="21"/>
      <w:shd w:color="auto" w:fill="auto" w:val="pct5"/>
      <w:lang w:eastAsia="zh-CN"/>
    </w:rPr>
  </w:style>
  <w:style w:customStyle="1" w:styleId="a4" w:type="character">
    <w:name w:val="正文文本 字符"/>
    <w:basedOn w:val="a1"/>
    <w:link w:val="a0"/>
    <w:rsid w:val="00743667"/>
    <w:rPr>
      <w:rFonts w:ascii="Times New Roman" w:eastAsia="宋体" w:hAnsi="Times New Roman"/>
      <w:lang w:eastAsia="zh-CN"/>
    </w:rPr>
  </w:style>
  <w:style w:styleId="af" w:type="paragraph">
    <w:name w:val="header"/>
    <w:basedOn w:val="a"/>
    <w:link w:val="af0"/>
    <w:rsid w:val="00797A2D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af0" w:type="character">
    <w:name w:val="页眉 字符"/>
    <w:basedOn w:val="a1"/>
    <w:link w:val="af"/>
    <w:rsid w:val="00797A2D"/>
    <w:rPr>
      <w:sz w:val="18"/>
      <w:szCs w:val="18"/>
    </w:rPr>
  </w:style>
  <w:style w:styleId="af1" w:type="paragraph">
    <w:name w:val="footer"/>
    <w:basedOn w:val="a"/>
    <w:link w:val="af2"/>
    <w:uiPriority w:val="99"/>
    <w:rsid w:val="00797A2D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customStyle="1" w:styleId="af2" w:type="character">
    <w:name w:val="页脚 字符"/>
    <w:basedOn w:val="a1"/>
    <w:link w:val="af1"/>
    <w:uiPriority w:val="99"/>
    <w:rsid w:val="00797A2D"/>
    <w:rPr>
      <w:sz w:val="18"/>
      <w:szCs w:val="18"/>
    </w:rPr>
  </w:style>
  <w:style w:customStyle="1" w:styleId="1" w:type="numbering">
    <w:name w:val="列表1"/>
    <w:uiPriority w:val="99"/>
    <w:rsid w:val="00797A2D"/>
    <w:pPr>
      <w:numPr>
        <w:numId w:val="1"/>
      </w:numPr>
    </w:pPr>
  </w:style>
  <w:style w:customStyle="1" w:styleId="2" w:type="numbering">
    <w:name w:val="列表2"/>
    <w:uiPriority w:val="99"/>
    <w:rsid w:val="00D42F07"/>
    <w:pPr>
      <w:numPr>
        <w:numId w:val="2"/>
      </w:numPr>
    </w:pPr>
  </w:style>
  <w:style w:customStyle="1" w:styleId="af3" w:type="paragraph">
    <w:name w:val="图片"/>
    <w:basedOn w:val="FirstParagraph"/>
    <w:qFormat/>
    <w:rsid w:val="005D0F42"/>
    <w:pPr>
      <w:keepNext/>
      <w:jc w:val="center"/>
    </w:pPr>
    <w:rPr>
      <w:noProof/>
    </w:rPr>
  </w:style>
  <w:style w:customStyle="1" w:styleId="Compact10071" w:type="paragraph">
    <w:name w:val="样式 Compact + 10 磅 首行缩进:  0.71 厘米"/>
    <w:basedOn w:val="Compact"/>
    <w:rsid w:val="00BF4643"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rsid w:val="004F42FD"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rsid w:val="00C22998"/>
    <w:pPr>
      <w:jc w:val="center"/>
    </w:pPr>
    <w:rPr>
      <w:lang w:eastAsia="zh-CN"/>
    </w:rPr>
  </w:style>
  <w:style w:customStyle="1" w:styleId="40" w:type="character">
    <w:name w:val="标题 4 字符"/>
    <w:basedOn w:val="a1"/>
    <w:link w:val="4"/>
    <w:uiPriority w:val="9"/>
    <w:rsid w:val="004A10CE"/>
    <w:rPr>
      <w:rFonts w:ascii="Times New Roman" w:cstheme="majorBidi" w:eastAsia="黑体" w:hAnsi="Times New Roman"/>
      <w:b/>
      <w:bCs/>
    </w:rPr>
  </w:style>
  <w:style w:customStyle="1" w:styleId="InlineCode" w:type="character">
    <w:name w:val="Inline Code"/>
    <w:basedOn w:val="VerbatimChar"/>
    <w:uiPriority w:val="1"/>
    <w:qFormat/>
    <w:rsid w:val="00E10764"/>
    <w:rPr>
      <w:rFonts w:ascii="Fira Code" w:cs="Times New Roman (正文 CS 字体)" w:eastAsia="宋体" w:hAnsi="Fira Code"/>
      <w:color w:themeColor="text1" w:themeTint="BF" w:val="404040"/>
      <w:sz w:val="21"/>
      <w:bdr w:color="auto" w:space="0" w:sz="0" w:val="none"/>
      <w:shd w:color="F3F4F4" w:fill="F2F2F2" w:themeFill="background1" w:themeFillShade="F2" w:val="clear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10</Pages>
  <Words>690</Words>
  <Characters>3937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AutoTeaKG-Silver 项目汇报</dc:title>
  <dc:creator>项目内部汇报</dc:creator>
  <cp:keywords/>
  <dcterms:created xsi:type="dcterms:W3CDTF">2026-04-14T02:59:16Z</dcterms:created>
  <dcterms:modified xsi:type="dcterms:W3CDTF">2026-04-14T02:59:16Z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2026-04-14</vt:lpwstr>
  </property>
  <property fmtid="{D5CDD505-2E9C-101B-9397-08002B2CF9AE}" pid="3" name="subtitle">
    <vt:lpwstr>茶功能活性文献的自动化证据图谱、论文产出与下一步计划</vt:lpwstr>
  </property>
</Properties>
</file>