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sz w:val="44"/>
        </w:rPr>
        <w:t>基于TDLAS与轻量级1D-CNN的低成本CO气体浓度检测系统</w:t>
      </w:r>
    </w:p>
    <w:p>
      <w:pPr>
        <w:spacing w:after="360"/>
        <w:jc w:val="center"/>
      </w:pPr>
      <w:r>
        <w:rPr>
          <w:rFonts w:ascii="Times New Roman" w:hAnsi="Times New Roman"/>
          <w:i/>
          <w:sz w:val="28"/>
        </w:rPr>
        <w:t>A Low-Cost CO Gas Concentration Detection System Based on TDLAS and Lightweight 1D-CNN</w:t>
      </w:r>
    </w:p>
    <w:p>
      <w:pPr>
        <w:spacing w:after="80"/>
        <w:ind w:firstLine="420"/>
      </w:pPr>
      <w:r>
        <w:rPr>
          <w:rFonts w:ascii="黑体" w:hAnsi="黑体" w:eastAsia="黑体"/>
          <w:b/>
          <w:sz w:val="24"/>
        </w:rPr>
        <w:t>摘　要：</w:t>
      </w:r>
      <w:r>
        <w:rPr>
          <w:rFonts w:ascii="宋体" w:hAnsi="宋体" w:eastAsia="宋体"/>
          <w:sz w:val="24"/>
        </w:rPr>
        <w:t>针对阴燃火灾早期预警中一氧化碳（CO）浓度实时检测的需求，本文设计了一种基于可调谐二极管激光吸收光谱（TDLAS）技术的低成本气体检测系统。系统采用1550nm分布反馈（DFB）激光器作为光源，通过波长调制光谱（WMS）技术提取CO气体在6380 cm⁻¹附近的二次谐波（2f）信号。为解决传统锁相放大方案成本高、体积大的问题，本文提出了一种基于一维卷积神经网络（1D-CNN）的浓度反演算法，该模型仅含2833个参数，可部署于STM32F407微控制器上实现嵌入式推理。实验结果表明，系统的检测限（LOD）为9.5 ppm，定量限（LOQ）为31.7 ppm，响应时间T90为320 ms，24小时连续运行的相对标准偏差（RSD）为1.04%。1D-CNN模型在测试集上的平均绝对误差（MAE）为2.7 ppm，决定系数R²达到0.9997，显著优于传统二次谐波拟合法（MAE=75.3 ppm）和支持向量回归（MAE=42.1 ppm）。本系统具有成本低、体积小、响应快的优点，适用于阴燃火灾现场的便携式CO检测。</w:t>
      </w:r>
    </w:p>
    <w:p>
      <w:pPr>
        <w:spacing w:after="240"/>
      </w:pPr>
      <w:r>
        <w:rPr>
          <w:rFonts w:ascii="黑体" w:hAnsi="黑体" w:eastAsia="黑体"/>
          <w:b/>
          <w:sz w:val="24"/>
        </w:rPr>
        <w:t>关键词：</w:t>
      </w:r>
      <w:r>
        <w:rPr>
          <w:rFonts w:ascii="宋体" w:hAnsi="宋体" w:eastAsia="宋体"/>
          <w:sz w:val="24"/>
        </w:rPr>
        <w:t>可调谐二极管激光吸收光谱；波长调制光谱；一维卷积神经网络；一氧化碳检测；阴燃火灾；嵌入式部署</w:t>
      </w:r>
    </w:p>
    <w:p>
      <w:pPr>
        <w:spacing w:after="80"/>
      </w:pPr>
      <w:r>
        <w:rPr>
          <w:rFonts w:ascii="Times New Roman" w:hAnsi="Times New Roman"/>
          <w:b/>
          <w:sz w:val="22"/>
        </w:rPr>
        <w:t xml:space="preserve">Abstract: </w:t>
      </w:r>
      <w:r>
        <w:rPr>
          <w:rFonts w:ascii="Times New Roman" w:hAnsi="Times New Roman"/>
          <w:sz w:val="22"/>
        </w:rPr>
        <w:t>Aiming at the demand for real-time carbon monoxide (CO) concentration detection in early warning of smoldering fires, this paper designs a low-cost gas detection system based on Tunable Diode Laser Absorption Spectroscopy (TDLAS). The system employs a 1550nm distributed feedback (DFB) laser as the light source and extracts the second harmonic (2f) signal of CO gas near 6380 cm⁻¹ through Wavelength Modulation Spectroscopy (WMS). To address the high cost and large volume of traditional lock-in amplifier solutions, a concentration inversion algorithm based on a one-dimensional convolutional neural network (1D-CNN) is proposed, with only 2833 parameters, deployable on an STM32F407 microcontroller for embedded inference. Experimental results show that the system achieves a limit of detection (LOD) of 9.5 ppm, a limit of quantification (LOQ) of 31.7 ppm, a T90 response time of 320 ms, and a relative standard deviation (RSD) of 1.04% over 24 hours of continuous operation. The 1D-CNN model achieves a mean absolute error (MAE) of 2.7 ppm and a coefficient of determination R² of 0.9997 on the test set, significantly outperforming the traditional second harmonic fitting method (MAE=75.3 ppm) and support vector regression (MAE=42.1 ppm).</w:t>
      </w:r>
    </w:p>
    <w:p>
      <w:pPr>
        <w:spacing w:after="360"/>
      </w:pPr>
      <w:r>
        <w:rPr>
          <w:rFonts w:ascii="Times New Roman" w:hAnsi="Times New Roman"/>
          <w:b/>
          <w:sz w:val="22"/>
        </w:rPr>
        <w:t xml:space="preserve">Keywords: </w:t>
      </w:r>
      <w:r>
        <w:rPr>
          <w:rFonts w:ascii="Times New Roman" w:hAnsi="Times New Roman"/>
          <w:sz w:val="22"/>
        </w:rPr>
        <w:t>TDLAS; WMS; 1D-CNN; CO detection; smoldering fire; embedded deployment</w:t>
      </w:r>
    </w:p>
    <w:p>
      <w:pPr>
        <w:spacing w:before="240" w:after="120"/>
        <w:jc w:val="left"/>
      </w:pPr>
      <w:r>
        <w:rPr>
          <w:rFonts w:ascii="黑体" w:hAnsi="黑体" w:eastAsia="黑体"/>
          <w:b/>
          <w:sz w:val="32"/>
        </w:rPr>
        <w:t>1 引言</w:t>
      </w:r>
    </w:p>
    <w:p>
      <w:pPr>
        <w:spacing w:before="240" w:after="120"/>
        <w:jc w:val="left"/>
      </w:pPr>
      <w:r>
        <w:rPr>
          <w:rFonts w:ascii="黑体" w:hAnsi="黑体" w:eastAsia="黑体"/>
          <w:b/>
          <w:sz w:val="28"/>
        </w:rPr>
        <w:t>1.1 研究背景</w:t>
      </w:r>
    </w:p>
    <w:p>
      <w:pPr>
        <w:spacing w:after="120" w:before="0"/>
        <w:ind w:firstLine="420"/>
      </w:pPr>
      <w:r>
        <w:rPr>
          <w:rFonts w:ascii="宋体" w:hAnsi="宋体" w:eastAsia="宋体"/>
          <w:b w:val="0"/>
          <w:sz w:val="24"/>
        </w:rPr>
        <w:t>阴燃（Smoldering）是低温、无焰的缓慢燃烧过程，是森林火灾和建筑火灾的重要起始形式[1]。与明火相比，阴燃过程隐蔽性强、持续时间长，且产生大量有毒气体，其中一氧化碳（CO）是最主要的特征气体之一[2]。CO浓度在阴燃初期即可达到50-500 ppm，对人员安全构成严重威胁。因此，实现CO浓度的快速、准确检测对阴燃火灾的早期预警具有重要意义。</w:t>
      </w:r>
    </w:p>
    <w:p>
      <w:pPr>
        <w:spacing w:after="120" w:before="0"/>
        <w:ind w:firstLine="420"/>
      </w:pPr>
      <w:r>
        <w:rPr>
          <w:rFonts w:ascii="宋体" w:hAnsi="宋体" w:eastAsia="宋体"/>
          <w:b w:val="0"/>
          <w:sz w:val="24"/>
        </w:rPr>
        <w:t>目前，CO检测的主要方法包括电化学传感器法、金属氧化物半导体（MOS）法和光谱吸收法[3]。电化学传感器虽然成本低，但响应时间长（通常&gt;30 s）、寿命短（1-2年），且易受交叉气体干扰。MOS传感器功耗低，但选择性差，对温度和湿度敏感。相比之下，可调谐二极管激光吸收光谱（TDLAS）技术具有高选择性、快速响应和长寿命等优势，是气体检测领域的研究热点[4]。</w:t>
      </w:r>
    </w:p>
    <w:p>
      <w:pPr>
        <w:spacing w:before="240" w:after="120"/>
        <w:jc w:val="left"/>
      </w:pPr>
      <w:r>
        <w:rPr>
          <w:rFonts w:ascii="黑体" w:hAnsi="黑体" w:eastAsia="黑体"/>
          <w:b/>
          <w:sz w:val="28"/>
        </w:rPr>
        <w:t>1.2 研究现状</w:t>
      </w:r>
    </w:p>
    <w:p>
      <w:pPr>
        <w:spacing w:after="120" w:before="0"/>
        <w:ind w:firstLine="420"/>
      </w:pPr>
      <w:r>
        <w:rPr>
          <w:rFonts w:ascii="宋体" w:hAnsi="宋体" w:eastAsia="宋体"/>
          <w:b w:val="0"/>
          <w:sz w:val="24"/>
        </w:rPr>
        <w:t>TDLAS技术自20世纪70年代发展至今，已在环境监测、工业过程控制和医疗诊断等领域得到广泛应用[5]。波长调制光谱（WMS）作为TDLAS的核心技术之一，通过对激光器注入电流施加高频正弦调制，利用锁相放大器提取谐波信号，有效提高了检测灵敏度和抗干扰能力[6]。</w:t>
      </w:r>
    </w:p>
    <w:p>
      <w:pPr>
        <w:spacing w:after="120" w:before="0"/>
        <w:ind w:firstLine="420"/>
      </w:pPr>
      <w:r>
        <w:rPr>
          <w:rFonts w:ascii="宋体" w:hAnsi="宋体" w:eastAsia="宋体"/>
          <w:b w:val="0"/>
          <w:sz w:val="24"/>
        </w:rPr>
        <w:t>传统的WMS-TDLAS系统通常采用模拟锁相放大器或数字信号处理器（DSP）进行2f信号解调，存在成本高、功耗大、体积大等问题[7]。近年来，随着深度学习技术的发展，基于神经网络的信号处理方法逐渐被引入光谱分析领域[8]。然而，现有研究多集中于实验室环境下的离线分析，鲜有面向嵌入式实时部署的轻量化模型设计。</w:t>
      </w:r>
    </w:p>
    <w:p>
      <w:pPr>
        <w:spacing w:before="240" w:after="120"/>
        <w:jc w:val="left"/>
      </w:pPr>
      <w:r>
        <w:rPr>
          <w:rFonts w:ascii="黑体" w:hAnsi="黑体" w:eastAsia="黑体"/>
          <w:b/>
          <w:sz w:val="28"/>
        </w:rPr>
        <w:t>1.3 本文贡献</w:t>
      </w:r>
    </w:p>
    <w:p>
      <w:pPr>
        <w:spacing w:after="120" w:before="0"/>
        <w:ind w:firstLine="420"/>
      </w:pPr>
      <w:r>
        <w:rPr>
          <w:rFonts w:ascii="宋体" w:hAnsi="宋体" w:eastAsia="宋体"/>
          <w:b w:val="0"/>
          <w:sz w:val="24"/>
        </w:rPr>
        <w:t>针对上述问题，本文的主要贡献如下：</w:t>
      </w:r>
    </w:p>
    <w:p>
      <w:pPr>
        <w:spacing w:after="120" w:before="0"/>
        <w:ind w:firstLine="420"/>
      </w:pPr>
      <w:r>
        <w:rPr>
          <w:rFonts w:ascii="宋体" w:hAnsi="宋体" w:eastAsia="宋体"/>
          <w:b w:val="0"/>
          <w:sz w:val="24"/>
        </w:rPr>
        <w:t>（1）设计了一套基于TDLAS-WMS的低成本CO气体检测系统，采用国产DFB激光器和InGaAs光电探测器，系统总成本控制在2000元以内；</w:t>
      </w:r>
    </w:p>
    <w:p>
      <w:pPr>
        <w:spacing w:after="120" w:before="0"/>
        <w:ind w:firstLine="420"/>
      </w:pPr>
      <w:r>
        <w:rPr>
          <w:rFonts w:ascii="宋体" w:hAnsi="宋体" w:eastAsia="宋体"/>
          <w:b w:val="0"/>
          <w:sz w:val="24"/>
        </w:rPr>
        <w:t>（2）提出了一种基于轻量级1D-CNN的浓度反演算法，模型参数量仅2833个，可通过STM32Cube.AI部署于STM32F407微控制器；</w:t>
      </w:r>
    </w:p>
    <w:p>
      <w:pPr>
        <w:spacing w:after="120" w:before="0"/>
        <w:ind w:firstLine="420"/>
      </w:pPr>
      <w:r>
        <w:rPr>
          <w:rFonts w:ascii="宋体" w:hAnsi="宋体" w:eastAsia="宋体"/>
          <w:b w:val="0"/>
          <w:sz w:val="24"/>
        </w:rPr>
        <w:t>（3）通过仿真实验和系统测试，验证了系统在检测限、响应时间和长期稳定性等方面的性能。</w:t>
      </w:r>
    </w:p>
    <w:p>
      <w:pPr>
        <w:spacing w:before="240" w:after="120"/>
        <w:jc w:val="left"/>
      </w:pPr>
      <w:r>
        <w:rPr>
          <w:rFonts w:ascii="黑体" w:hAnsi="黑体" w:eastAsia="黑体"/>
          <w:b/>
          <w:sz w:val="32"/>
        </w:rPr>
        <w:t>2 系统设计</w:t>
      </w:r>
    </w:p>
    <w:p>
      <w:pPr>
        <w:spacing w:before="240" w:after="120"/>
        <w:jc w:val="left"/>
      </w:pPr>
      <w:r>
        <w:rPr>
          <w:rFonts w:ascii="黑体" w:hAnsi="黑体" w:eastAsia="黑体"/>
          <w:b/>
          <w:sz w:val="28"/>
        </w:rPr>
        <w:t>2.1 检测原理</w:t>
      </w:r>
    </w:p>
    <w:p>
      <w:pPr>
        <w:spacing w:after="120" w:before="0"/>
        <w:ind w:firstLine="420"/>
      </w:pPr>
      <w:r>
        <w:rPr>
          <w:rFonts w:ascii="宋体" w:hAnsi="宋体" w:eastAsia="宋体"/>
          <w:b w:val="0"/>
          <w:sz w:val="24"/>
        </w:rPr>
        <w:t>TDLAS技术基于Beer-Lambert定律，当激光通过含有目标气体的光路时，特定波长的光被气体分子吸收，导致光强衰减。透射率可表示为：</w:t>
      </w:r>
    </w:p>
    <w:p>
      <w:pPr>
        <w:spacing w:after="120" w:before="0"/>
        <w:jc w:val="center"/>
      </w:pPr>
      <w:r>
        <w:rPr>
          <w:rFonts w:ascii="Times New Roman" w:hAnsi="Times New Roman" w:eastAsia="Times New Roman"/>
          <w:b w:val="0"/>
          <w:sz w:val="22"/>
        </w:rPr>
        <w:t>I(ν) = I₀(ν) exp[−α(ν)·C·L]</w:t>
      </w:r>
    </w:p>
    <w:p>
      <w:pPr>
        <w:spacing w:after="120" w:before="0"/>
        <w:ind w:firstLine="420"/>
      </w:pPr>
      <w:r>
        <w:rPr>
          <w:rFonts w:ascii="宋体" w:hAnsi="宋体" w:eastAsia="宋体"/>
          <w:b w:val="0"/>
          <w:sz w:val="24"/>
        </w:rPr>
        <w:t>其中，I₀(ν)为入射光强，α(ν)为吸收系数，C为气体浓度，L为光程长度。</w:t>
      </w:r>
    </w:p>
    <w:p>
      <w:pPr>
        <w:spacing w:after="120" w:before="0"/>
        <w:ind w:firstLine="420"/>
      </w:pPr>
      <w:r>
        <w:rPr>
          <w:rFonts w:ascii="宋体" w:hAnsi="宋体" w:eastAsia="宋体"/>
          <w:b w:val="0"/>
          <w:sz w:val="24"/>
        </w:rPr>
        <w:t>CO分子在近红外波段（1550 nm附近，约6380 cm⁻¹）存在多条吸收线，其线强度约为1.28×10⁻²¹ cm⁻¹/(molecule·cm⁻²)。本文选取该波段的特征吸收线作为检测目标。</w:t>
      </w:r>
    </w:p>
    <w:p>
      <w:pPr>
        <w:spacing w:before="240" w:after="120"/>
        <w:jc w:val="left"/>
      </w:pPr>
      <w:r>
        <w:rPr>
          <w:rFonts w:ascii="黑体" w:hAnsi="黑体" w:eastAsia="黑体"/>
          <w:b/>
          <w:sz w:val="28"/>
        </w:rPr>
        <w:t>2.2 WMS调制方案</w:t>
      </w:r>
    </w:p>
    <w:p>
      <w:pPr>
        <w:spacing w:after="120" w:before="0"/>
        <w:ind w:firstLine="420"/>
      </w:pPr>
      <w:r>
        <w:rPr>
          <w:rFonts w:ascii="宋体" w:hAnsi="宋体" w:eastAsia="宋体"/>
          <w:b w:val="0"/>
          <w:sz w:val="24"/>
        </w:rPr>
        <w:t>WMS技术通过在激光器的直流偏置电流上叠加高频正弦调制信号，使激光波长周期性扫描过气体吸收线。瞬时频率可表示为：</w:t>
      </w:r>
    </w:p>
    <w:p>
      <w:pPr>
        <w:spacing w:after="120" w:before="0"/>
        <w:jc w:val="center"/>
      </w:pPr>
      <w:r>
        <w:rPr>
          <w:rFonts w:ascii="Times New Roman" w:hAnsi="Times New Roman" w:eastAsia="Times New Roman"/>
          <w:b w:val="0"/>
          <w:sz w:val="22"/>
        </w:rPr>
        <w:t>ν(t) = ν̄ + Δν·sin(2πfₘt)</w:t>
      </w:r>
    </w:p>
    <w:p>
      <w:pPr>
        <w:spacing w:after="120" w:before="0"/>
        <w:ind w:firstLine="420"/>
      </w:pPr>
      <w:r>
        <w:rPr>
          <w:rFonts w:ascii="宋体" w:hAnsi="宋体" w:eastAsia="宋体"/>
          <w:b w:val="0"/>
          <w:sz w:val="24"/>
        </w:rPr>
        <w:t>其中，ν̄为中心频率，Δν为调制深度，fₘ为调制频率。经气体吸收后的光强信号包含各次谐波分量，其中二次谐波（2f）信号的峰峰值与气体浓度近似成线性关系，且在吸收线中心处具有最大值。本文采用的调制参数为：调制频率10 kHz，调制深度0.05 cm⁻¹，扫描频率100 Hz。</w:t>
      </w:r>
    </w:p>
    <w:p>
      <w:pPr>
        <w:spacing w:before="240" w:after="120"/>
        <w:jc w:val="left"/>
      </w:pPr>
      <w:r>
        <w:rPr>
          <w:rFonts w:ascii="黑体" w:hAnsi="黑体" w:eastAsia="黑体"/>
          <w:b/>
          <w:sz w:val="28"/>
        </w:rPr>
        <w:t>2.3 硬件架构</w:t>
      </w:r>
    </w:p>
    <w:p>
      <w:pPr>
        <w:spacing w:after="120" w:before="0"/>
        <w:ind w:firstLine="420"/>
      </w:pPr>
      <w:r>
        <w:rPr>
          <w:rFonts w:ascii="宋体" w:hAnsi="宋体" w:eastAsia="宋体"/>
          <w:b w:val="0"/>
          <w:sz w:val="24"/>
        </w:rPr>
        <w:t>系统的硬件架构如图1所示，主要由以下模块组成：</w:t>
      </w:r>
    </w:p>
    <w:p>
      <w:pPr>
        <w:spacing w:after="120" w:before="0"/>
        <w:ind w:firstLine="420"/>
      </w:pPr>
      <w:r>
        <w:rPr>
          <w:rFonts w:ascii="宋体" w:hAnsi="宋体" w:eastAsia="宋体"/>
          <w:b w:val="0"/>
          <w:sz w:val="24"/>
        </w:rPr>
        <w:t>（1）激光器驱动模块：采用武汉光迅1550nm DFB激光器（输出功率10mW），配合WLD3343恒流驱动芯片和MAX8521 TEC温控芯片，实现激光器的精密电流控制和温度稳定。恒流驱动电路的输出电流包含低频锯齿波扫描（100 Hz）和高频正弦调制（10 kHz）两个分量。</w:t>
      </w:r>
    </w:p>
    <w:p>
      <w:pPr>
        <w:spacing w:after="120" w:before="0"/>
        <w:ind w:firstLine="420"/>
      </w:pPr>
      <w:r>
        <w:rPr>
          <w:rFonts w:ascii="宋体" w:hAnsi="宋体" w:eastAsia="宋体"/>
          <w:b w:val="0"/>
          <w:sz w:val="24"/>
        </w:rPr>
        <w:t>（2）光学模块：激光经光纤耦合器分光后，一路进入50cm气体吸收池（含CO/N₂混合气体），另一路作为参考。吸收池出口的透射光由InGaAs光电探测器（武汉光迅PD1550，响应度0.85 A/W）转换为电信号。</w:t>
      </w:r>
    </w:p>
    <w:p>
      <w:pPr>
        <w:spacing w:after="120" w:before="0"/>
        <w:ind w:firstLine="420"/>
      </w:pPr>
      <w:r>
        <w:rPr>
          <w:rFonts w:ascii="宋体" w:hAnsi="宋体" w:eastAsia="宋体"/>
          <w:b w:val="0"/>
          <w:sz w:val="24"/>
        </w:rPr>
        <w:t>（3）信号采集模块：光电探测器的输出信号经跨阻放大器（OPA380）放大后，由STM32F407的12位ADC以100 kHz采样率进行数字化。ADC数据通过DMA自动搬运至内存缓冲区，无需CPU介入。</w:t>
      </w:r>
    </w:p>
    <w:p>
      <w:pPr>
        <w:spacing w:after="120" w:before="0"/>
        <w:ind w:firstLine="420"/>
      </w:pPr>
      <w:r>
        <w:rPr>
          <w:rFonts w:ascii="宋体" w:hAnsi="宋体" w:eastAsia="宋体"/>
          <w:b w:val="0"/>
          <w:sz w:val="24"/>
        </w:rPr>
        <w:t>（4）数据处理模块：STM32F407微控制器（168 MHz，192 KB RAM）运行轻量级1D-CNN模型，对采集的2f信号进行实时浓度反演，结果通过UART串口发送至上位机。</w:t>
      </w:r>
    </w:p>
    <w:p>
      <w:pPr>
        <w:spacing w:after="120" w:before="0"/>
        <w:jc w:val="center"/>
      </w:pPr>
      <w:r>
        <w:rPr>
          <w:rFonts w:ascii="宋体" w:hAnsi="宋体" w:eastAsia="宋体"/>
          <w:b/>
          <w:sz w:val="20"/>
        </w:rPr>
        <w:t>表1 系统主要硬件参数</w:t>
      </w:r>
    </w:p>
    <w:tbl>
      <w:tblPr>
        <w:tblStyle w:val="TableGrid"/>
        <w:tblW w:type="auto" w:w="0"/>
        <w:jc w:val="center"/>
        <w:tblLook w:firstColumn="1" w:firstRow="1" w:lastColumn="0" w:lastRow="0" w:noHBand="0" w:noVBand="1" w:val="04A0"/>
      </w:tblPr>
      <w:tblGrid>
        <w:gridCol w:w="4150"/>
        <w:gridCol w:w="4150"/>
      </w:tblGrid>
      <w:tr>
        <w:tc>
          <w:tcPr>
            <w:tcW w:type="dxa" w:w="4150"/>
            <w:shd w:val="clear" w:color="auto" w:fill="D9E2F3"/>
          </w:tcPr>
          <w:p>
            <w:pPr>
              <w:jc w:val="center"/>
            </w:pPr>
            <w:r>
              <w:rPr>
                <w:rFonts w:ascii="黑体" w:hAnsi="黑体" w:eastAsia="黑体"/>
                <w:b/>
                <w:sz w:val="20"/>
              </w:rPr>
              <w:t>参数</w:t>
            </w:r>
          </w:p>
        </w:tc>
        <w:tc>
          <w:tcPr>
            <w:tcW w:type="dxa" w:w="4150"/>
            <w:shd w:val="clear" w:color="auto" w:fill="D9E2F3"/>
          </w:tcPr>
          <w:p>
            <w:pPr>
              <w:jc w:val="center"/>
            </w:pPr>
            <w:r>
              <w:rPr>
                <w:rFonts w:ascii="黑体" w:hAnsi="黑体" w:eastAsia="黑体"/>
                <w:b/>
                <w:sz w:val="20"/>
              </w:rPr>
              <w:t>规格</w:t>
            </w:r>
          </w:p>
        </w:tc>
      </w:tr>
      <w:tr>
        <w:tc>
          <w:tcPr>
            <w:tcW w:type="dxa" w:w="4150"/>
          </w:tcPr>
          <w:p>
            <w:pPr>
              <w:jc w:val="center"/>
            </w:pPr>
            <w:r>
              <w:rPr>
                <w:rFonts w:ascii="Times New Roman" w:hAnsi="Times New Roman" w:eastAsia="宋体"/>
                <w:sz w:val="20"/>
              </w:rPr>
              <w:t>激光器</w:t>
            </w:r>
          </w:p>
        </w:tc>
        <w:tc>
          <w:tcPr>
            <w:tcW w:type="dxa" w:w="4150"/>
          </w:tcPr>
          <w:p>
            <w:pPr>
              <w:jc w:val="center"/>
            </w:pPr>
            <w:r>
              <w:rPr>
                <w:rFonts w:ascii="Times New Roman" w:hAnsi="Times New Roman" w:eastAsia="宋体"/>
                <w:sz w:val="20"/>
              </w:rPr>
              <w:t>1550nm DFB, 10mW, SMF-28光纤输出</w:t>
            </w:r>
          </w:p>
        </w:tc>
      </w:tr>
      <w:tr>
        <w:tc>
          <w:tcPr>
            <w:tcW w:type="dxa" w:w="4150"/>
          </w:tcPr>
          <w:p>
            <w:pPr>
              <w:jc w:val="center"/>
            </w:pPr>
            <w:r>
              <w:rPr>
                <w:rFonts w:ascii="Times New Roman" w:hAnsi="Times New Roman" w:eastAsia="宋体"/>
                <w:sz w:val="20"/>
              </w:rPr>
              <w:t>光电探测器</w:t>
            </w:r>
          </w:p>
        </w:tc>
        <w:tc>
          <w:tcPr>
            <w:tcW w:type="dxa" w:w="4150"/>
          </w:tcPr>
          <w:p>
            <w:pPr>
              <w:jc w:val="center"/>
            </w:pPr>
            <w:r>
              <w:rPr>
                <w:rFonts w:ascii="Times New Roman" w:hAnsi="Times New Roman" w:eastAsia="宋体"/>
                <w:sz w:val="20"/>
              </w:rPr>
              <w:t>InGaAs, 0.85 A/W @1550nm, 50MHz带宽</w:t>
            </w:r>
          </w:p>
        </w:tc>
      </w:tr>
      <w:tr>
        <w:tc>
          <w:tcPr>
            <w:tcW w:type="dxa" w:w="4150"/>
          </w:tcPr>
          <w:p>
            <w:pPr>
              <w:jc w:val="center"/>
            </w:pPr>
            <w:r>
              <w:rPr>
                <w:rFonts w:ascii="Times New Roman" w:hAnsi="Times New Roman" w:eastAsia="宋体"/>
                <w:sz w:val="20"/>
              </w:rPr>
              <w:t>恒流驱动</w:t>
            </w:r>
          </w:p>
        </w:tc>
        <w:tc>
          <w:tcPr>
            <w:tcW w:type="dxa" w:w="4150"/>
          </w:tcPr>
          <w:p>
            <w:pPr>
              <w:jc w:val="center"/>
            </w:pPr>
            <w:r>
              <w:rPr>
                <w:rFonts w:ascii="Times New Roman" w:hAnsi="Times New Roman" w:eastAsia="宋体"/>
                <w:sz w:val="20"/>
              </w:rPr>
              <w:t>WLD3343, 0-200mA, &lt;1µA RMS噪声</w:t>
            </w:r>
          </w:p>
        </w:tc>
      </w:tr>
      <w:tr>
        <w:tc>
          <w:tcPr>
            <w:tcW w:type="dxa" w:w="4150"/>
          </w:tcPr>
          <w:p>
            <w:pPr>
              <w:jc w:val="center"/>
            </w:pPr>
            <w:r>
              <w:rPr>
                <w:rFonts w:ascii="Times New Roman" w:hAnsi="Times New Roman" w:eastAsia="宋体"/>
                <w:sz w:val="20"/>
              </w:rPr>
              <w:t>温控芯片</w:t>
            </w:r>
          </w:p>
        </w:tc>
        <w:tc>
          <w:tcPr>
            <w:tcW w:type="dxa" w:w="4150"/>
          </w:tcPr>
          <w:p>
            <w:pPr>
              <w:jc w:val="center"/>
            </w:pPr>
            <w:r>
              <w:rPr>
                <w:rFonts w:ascii="Times New Roman" w:hAnsi="Times New Roman" w:eastAsia="宋体"/>
                <w:sz w:val="20"/>
              </w:rPr>
              <w:t>MAX8521, ±1.5A, ±0.01°C精度</w:t>
            </w:r>
          </w:p>
        </w:tc>
      </w:tr>
      <w:tr>
        <w:tc>
          <w:tcPr>
            <w:tcW w:type="dxa" w:w="4150"/>
          </w:tcPr>
          <w:p>
            <w:pPr>
              <w:jc w:val="center"/>
            </w:pPr>
            <w:r>
              <w:rPr>
                <w:rFonts w:ascii="Times New Roman" w:hAnsi="Times New Roman" w:eastAsia="宋体"/>
                <w:sz w:val="20"/>
              </w:rPr>
              <w:t>主控芯片</w:t>
            </w:r>
          </w:p>
        </w:tc>
        <w:tc>
          <w:tcPr>
            <w:tcW w:type="dxa" w:w="4150"/>
          </w:tcPr>
          <w:p>
            <w:pPr>
              <w:jc w:val="center"/>
            </w:pPr>
            <w:r>
              <w:rPr>
                <w:rFonts w:ascii="Times New Roman" w:hAnsi="Times New Roman" w:eastAsia="宋体"/>
                <w:sz w:val="20"/>
              </w:rPr>
              <w:t>STM32F407ZGT6, 168MHz, 1MB Flash</w:t>
            </w:r>
          </w:p>
        </w:tc>
      </w:tr>
      <w:tr>
        <w:tc>
          <w:tcPr>
            <w:tcW w:type="dxa" w:w="4150"/>
          </w:tcPr>
          <w:p>
            <w:pPr>
              <w:jc w:val="center"/>
            </w:pPr>
            <w:r>
              <w:rPr>
                <w:rFonts w:ascii="Times New Roman" w:hAnsi="Times New Roman" w:eastAsia="宋体"/>
                <w:sz w:val="20"/>
              </w:rPr>
              <w:t>ADC</w:t>
            </w:r>
          </w:p>
        </w:tc>
        <w:tc>
          <w:tcPr>
            <w:tcW w:type="dxa" w:w="4150"/>
          </w:tcPr>
          <w:p>
            <w:pPr>
              <w:jc w:val="center"/>
            </w:pPr>
            <w:r>
              <w:rPr>
                <w:rFonts w:ascii="Times New Roman" w:hAnsi="Times New Roman" w:eastAsia="宋体"/>
                <w:sz w:val="20"/>
              </w:rPr>
              <w:t>12-bit, 100kHz采样率, DMA传输</w:t>
            </w:r>
          </w:p>
        </w:tc>
      </w:tr>
      <w:tr>
        <w:tc>
          <w:tcPr>
            <w:tcW w:type="dxa" w:w="4150"/>
          </w:tcPr>
          <w:p>
            <w:pPr>
              <w:jc w:val="center"/>
            </w:pPr>
            <w:r>
              <w:rPr>
                <w:rFonts w:ascii="Times New Roman" w:hAnsi="Times New Roman" w:eastAsia="宋体"/>
                <w:sz w:val="20"/>
              </w:rPr>
              <w:t>DAC</w:t>
            </w:r>
          </w:p>
        </w:tc>
        <w:tc>
          <w:tcPr>
            <w:tcW w:type="dxa" w:w="4150"/>
          </w:tcPr>
          <w:p>
            <w:pPr>
              <w:jc w:val="center"/>
            </w:pPr>
            <w:r>
              <w:rPr>
                <w:rFonts w:ascii="Times New Roman" w:hAnsi="Times New Roman" w:eastAsia="宋体"/>
                <w:sz w:val="20"/>
              </w:rPr>
              <w:t>12-bit, 100kHz输出, 驱动激光器</w:t>
            </w:r>
          </w:p>
        </w:tc>
      </w:tr>
      <w:tr>
        <w:tc>
          <w:tcPr>
            <w:tcW w:type="dxa" w:w="4150"/>
          </w:tcPr>
          <w:p>
            <w:pPr>
              <w:jc w:val="center"/>
            </w:pPr>
            <w:r>
              <w:rPr>
                <w:rFonts w:ascii="Times New Roman" w:hAnsi="Times New Roman" w:eastAsia="宋体"/>
                <w:sz w:val="20"/>
              </w:rPr>
              <w:t>气体池</w:t>
            </w:r>
          </w:p>
        </w:tc>
        <w:tc>
          <w:tcPr>
            <w:tcW w:type="dxa" w:w="4150"/>
          </w:tcPr>
          <w:p>
            <w:pPr>
              <w:jc w:val="center"/>
            </w:pPr>
            <w:r>
              <w:rPr>
                <w:rFonts w:ascii="Times New Roman" w:hAnsi="Times New Roman" w:eastAsia="宋体"/>
                <w:sz w:val="20"/>
              </w:rPr>
              <w:t>多次反射型, 50cm光程</w:t>
            </w:r>
          </w:p>
        </w:tc>
      </w:tr>
    </w:tbl>
    <w:p/>
    <w:p>
      <w:pPr>
        <w:spacing w:before="240" w:after="120"/>
        <w:jc w:val="left"/>
      </w:pPr>
      <w:r>
        <w:rPr>
          <w:rFonts w:ascii="黑体" w:hAnsi="黑体" w:eastAsia="黑体"/>
          <w:b/>
          <w:sz w:val="32"/>
        </w:rPr>
        <w:t>3 TDLAS信号仿真</w:t>
      </w:r>
    </w:p>
    <w:p>
      <w:pPr>
        <w:spacing w:before="240" w:after="120"/>
        <w:jc w:val="left"/>
      </w:pPr>
      <w:r>
        <w:rPr>
          <w:rFonts w:ascii="黑体" w:hAnsi="黑体" w:eastAsia="黑体"/>
          <w:b/>
          <w:sz w:val="28"/>
        </w:rPr>
        <w:t>3.1 仿真模型</w:t>
      </w:r>
    </w:p>
    <w:p>
      <w:pPr>
        <w:spacing w:after="120" w:before="0"/>
        <w:ind w:firstLine="420"/>
      </w:pPr>
      <w:r>
        <w:rPr>
          <w:rFonts w:ascii="宋体" w:hAnsi="宋体" w:eastAsia="宋体"/>
          <w:b w:val="0"/>
          <w:sz w:val="24"/>
        </w:rPr>
        <w:t>为获取训练数据集，本文建立了TDLAS-WMS系统的仿真模型。仿真流程如下：</w:t>
      </w:r>
    </w:p>
    <w:p>
      <w:pPr>
        <w:spacing w:after="120" w:before="0"/>
        <w:ind w:firstLine="420"/>
      </w:pPr>
      <w:r>
        <w:rPr>
          <w:rFonts w:ascii="宋体" w:hAnsi="宋体" w:eastAsia="宋体"/>
          <w:b w:val="0"/>
          <w:sz w:val="24"/>
        </w:rPr>
        <w:t>（1）吸收光谱计算：基于HITRAN数据库中CO分子在6380 cm⁻¹附近的吸收线参数（线强度、展宽系数等），采用Voigt线型函数计算不同温度、压力和浓度条件下的吸收截面。Voigt线型是Lorentz线型（压力展宽）和Gauss线型（多普勒展宽）的卷积，本文采用伪Voigt近似：</w:t>
      </w:r>
    </w:p>
    <w:p>
      <w:pPr>
        <w:spacing w:after="120" w:before="0"/>
        <w:jc w:val="center"/>
      </w:pPr>
      <w:r>
        <w:rPr>
          <w:rFonts w:ascii="Times New Roman" w:hAnsi="Times New Roman" w:eastAsia="Times New Roman"/>
          <w:b w:val="0"/>
          <w:sz w:val="22"/>
        </w:rPr>
        <w:t>V(ν) = η·L(ν) + (1-η)·G(ν)</w:t>
      </w:r>
    </w:p>
    <w:p>
      <w:pPr>
        <w:spacing w:after="120" w:before="0"/>
        <w:ind w:firstLine="420"/>
      </w:pPr>
      <w:r>
        <w:rPr>
          <w:rFonts w:ascii="宋体" w:hAnsi="宋体" w:eastAsia="宋体"/>
          <w:b w:val="0"/>
          <w:sz w:val="24"/>
        </w:rPr>
        <w:t>其中混合系数η由Lorentz半宽γL和Gauss半宽γG决定。</w:t>
      </w:r>
    </w:p>
    <w:p>
      <w:pPr>
        <w:spacing w:after="120" w:before="0"/>
        <w:ind w:firstLine="420"/>
      </w:pPr>
      <w:r>
        <w:rPr>
          <w:rFonts w:ascii="宋体" w:hAnsi="宋体" w:eastAsia="宋体"/>
          <w:b w:val="0"/>
          <w:sz w:val="24"/>
        </w:rPr>
        <w:t>（2）WMS信号生成：对每个扫描点，在一个调制周期内计算瞬时透射率，通过傅里叶分解提取2f分量。2f信号的正交分量为：</w:t>
      </w:r>
    </w:p>
    <w:p>
      <w:pPr>
        <w:spacing w:after="120" w:before="0"/>
        <w:jc w:val="center"/>
      </w:pPr>
      <w:r>
        <w:rPr>
          <w:rFonts w:ascii="Times New Roman" w:hAnsi="Times New Roman" w:eastAsia="Times New Roman"/>
          <w:b w:val="0"/>
          <w:sz w:val="22"/>
        </w:rPr>
        <w:t>S₂f = √(a²₂f + b²₂f)</w:t>
      </w:r>
    </w:p>
    <w:p>
      <w:pPr>
        <w:spacing w:after="120" w:before="0"/>
        <w:ind w:firstLine="420"/>
      </w:pPr>
      <w:r>
        <w:rPr>
          <w:rFonts w:ascii="宋体" w:hAnsi="宋体" w:eastAsia="宋体"/>
          <w:b w:val="0"/>
          <w:sz w:val="24"/>
        </w:rPr>
        <w:t>（3）噪声叠加：为模拟实际系统的噪声，对2f信号添加高斯白噪声（信噪比20-40 dB）和低频基线漂移。</w:t>
      </w:r>
    </w:p>
    <w:p>
      <w:pPr>
        <w:spacing w:before="240" w:after="120"/>
        <w:jc w:val="left"/>
      </w:pPr>
      <w:r>
        <w:rPr>
          <w:rFonts w:ascii="黑体" w:hAnsi="黑体" w:eastAsia="黑体"/>
          <w:b/>
          <w:sz w:val="28"/>
        </w:rPr>
        <w:t>3.2 数据集生成</w:t>
      </w:r>
    </w:p>
    <w:p>
      <w:pPr>
        <w:spacing w:after="120" w:before="0"/>
        <w:ind w:firstLine="420"/>
      </w:pPr>
      <w:r>
        <w:rPr>
          <w:rFonts w:ascii="宋体" w:hAnsi="宋体" w:eastAsia="宋体"/>
          <w:b w:val="0"/>
          <w:sz w:val="24"/>
        </w:rPr>
        <w:t>基于上述仿真模型，批量生成了8种浓度（50、100、200、500、1000、2000、3000、5000 ppm）的2f信号数据集，每种浓度100个样本，共计800个样本。每个样本包含512个采样点。仿真参数如表2所示。</w:t>
      </w:r>
    </w:p>
    <w:p>
      <w:pPr>
        <w:spacing w:after="120" w:before="0"/>
        <w:jc w:val="center"/>
      </w:pPr>
      <w:r>
        <w:rPr>
          <w:rFonts w:ascii="宋体" w:hAnsi="宋体" w:eastAsia="宋体"/>
          <w:b/>
          <w:sz w:val="20"/>
        </w:rPr>
        <w:t>表2 仿真参数设置</w:t>
      </w:r>
    </w:p>
    <w:tbl>
      <w:tblPr>
        <w:tblStyle w:val="TableGrid"/>
        <w:tblW w:type="auto" w:w="0"/>
        <w:jc w:val="center"/>
        <w:tblLook w:firstColumn="1" w:firstRow="1" w:lastColumn="0" w:lastRow="0" w:noHBand="0" w:noVBand="1" w:val="04A0"/>
      </w:tblPr>
      <w:tblGrid>
        <w:gridCol w:w="4150"/>
        <w:gridCol w:w="4150"/>
      </w:tblGrid>
      <w:tr>
        <w:tc>
          <w:tcPr>
            <w:tcW w:type="dxa" w:w="4150"/>
            <w:shd w:val="clear" w:color="auto" w:fill="D9E2F3"/>
          </w:tcPr>
          <w:p>
            <w:pPr>
              <w:jc w:val="center"/>
            </w:pPr>
            <w:r>
              <w:rPr>
                <w:rFonts w:ascii="黑体" w:hAnsi="黑体" w:eastAsia="黑体"/>
                <w:b/>
                <w:sz w:val="20"/>
              </w:rPr>
              <w:t>参数</w:t>
            </w:r>
          </w:p>
        </w:tc>
        <w:tc>
          <w:tcPr>
            <w:tcW w:type="dxa" w:w="4150"/>
            <w:shd w:val="clear" w:color="auto" w:fill="D9E2F3"/>
          </w:tcPr>
          <w:p>
            <w:pPr>
              <w:jc w:val="center"/>
            </w:pPr>
            <w:r>
              <w:rPr>
                <w:rFonts w:ascii="黑体" w:hAnsi="黑体" w:eastAsia="黑体"/>
                <w:b/>
                <w:sz w:val="20"/>
              </w:rPr>
              <w:t>值</w:t>
            </w:r>
          </w:p>
        </w:tc>
      </w:tr>
      <w:tr>
        <w:tc>
          <w:tcPr>
            <w:tcW w:type="dxa" w:w="4150"/>
          </w:tcPr>
          <w:p>
            <w:pPr>
              <w:jc w:val="center"/>
            </w:pPr>
            <w:r>
              <w:rPr>
                <w:rFonts w:ascii="Times New Roman" w:hAnsi="Times New Roman" w:eastAsia="宋体"/>
                <w:sz w:val="20"/>
              </w:rPr>
              <w:t>温度</w:t>
            </w:r>
          </w:p>
        </w:tc>
        <w:tc>
          <w:tcPr>
            <w:tcW w:type="dxa" w:w="4150"/>
          </w:tcPr>
          <w:p>
            <w:pPr>
              <w:jc w:val="center"/>
            </w:pPr>
            <w:r>
              <w:rPr>
                <w:rFonts w:ascii="Times New Roman" w:hAnsi="Times New Roman" w:eastAsia="宋体"/>
                <w:sz w:val="20"/>
              </w:rPr>
              <w:t>296 K</w:t>
            </w:r>
          </w:p>
        </w:tc>
      </w:tr>
      <w:tr>
        <w:tc>
          <w:tcPr>
            <w:tcW w:type="dxa" w:w="4150"/>
          </w:tcPr>
          <w:p>
            <w:pPr>
              <w:jc w:val="center"/>
            </w:pPr>
            <w:r>
              <w:rPr>
                <w:rFonts w:ascii="Times New Roman" w:hAnsi="Times New Roman" w:eastAsia="宋体"/>
                <w:sz w:val="20"/>
              </w:rPr>
              <w:t>气压</w:t>
            </w:r>
          </w:p>
        </w:tc>
        <w:tc>
          <w:tcPr>
            <w:tcW w:type="dxa" w:w="4150"/>
          </w:tcPr>
          <w:p>
            <w:pPr>
              <w:jc w:val="center"/>
            </w:pPr>
            <w:r>
              <w:rPr>
                <w:rFonts w:ascii="Times New Roman" w:hAnsi="Times New Roman" w:eastAsia="宋体"/>
                <w:sz w:val="20"/>
              </w:rPr>
              <w:t>1.0 atm</w:t>
            </w:r>
          </w:p>
        </w:tc>
      </w:tr>
      <w:tr>
        <w:tc>
          <w:tcPr>
            <w:tcW w:type="dxa" w:w="4150"/>
          </w:tcPr>
          <w:p>
            <w:pPr>
              <w:jc w:val="center"/>
            </w:pPr>
            <w:r>
              <w:rPr>
                <w:rFonts w:ascii="Times New Roman" w:hAnsi="Times New Roman" w:eastAsia="宋体"/>
                <w:sz w:val="20"/>
              </w:rPr>
              <w:t>光程长度</w:t>
            </w:r>
          </w:p>
        </w:tc>
        <w:tc>
          <w:tcPr>
            <w:tcW w:type="dxa" w:w="4150"/>
          </w:tcPr>
          <w:p>
            <w:pPr>
              <w:jc w:val="center"/>
            </w:pPr>
            <w:r>
              <w:rPr>
                <w:rFonts w:ascii="Times New Roman" w:hAnsi="Times New Roman" w:eastAsia="宋体"/>
                <w:sz w:val="20"/>
              </w:rPr>
              <w:t>50 cm</w:t>
            </w:r>
          </w:p>
        </w:tc>
      </w:tr>
      <w:tr>
        <w:tc>
          <w:tcPr>
            <w:tcW w:type="dxa" w:w="4150"/>
          </w:tcPr>
          <w:p>
            <w:pPr>
              <w:jc w:val="center"/>
            </w:pPr>
            <w:r>
              <w:rPr>
                <w:rFonts w:ascii="Times New Roman" w:hAnsi="Times New Roman" w:eastAsia="宋体"/>
                <w:sz w:val="20"/>
              </w:rPr>
              <w:t>扫描点数</w:t>
            </w:r>
          </w:p>
        </w:tc>
        <w:tc>
          <w:tcPr>
            <w:tcW w:type="dxa" w:w="4150"/>
          </w:tcPr>
          <w:p>
            <w:pPr>
              <w:jc w:val="center"/>
            </w:pPr>
            <w:r>
              <w:rPr>
                <w:rFonts w:ascii="Times New Roman" w:hAnsi="Times New Roman" w:eastAsia="宋体"/>
                <w:sz w:val="20"/>
              </w:rPr>
              <w:t>512</w:t>
            </w:r>
          </w:p>
        </w:tc>
      </w:tr>
      <w:tr>
        <w:tc>
          <w:tcPr>
            <w:tcW w:type="dxa" w:w="4150"/>
          </w:tcPr>
          <w:p>
            <w:pPr>
              <w:jc w:val="center"/>
            </w:pPr>
            <w:r>
              <w:rPr>
                <w:rFonts w:ascii="Times New Roman" w:hAnsi="Times New Roman" w:eastAsia="宋体"/>
                <w:sz w:val="20"/>
              </w:rPr>
              <w:t>调制深度</w:t>
            </w:r>
          </w:p>
        </w:tc>
        <w:tc>
          <w:tcPr>
            <w:tcW w:type="dxa" w:w="4150"/>
          </w:tcPr>
          <w:p>
            <w:pPr>
              <w:jc w:val="center"/>
            </w:pPr>
            <w:r>
              <w:rPr>
                <w:rFonts w:ascii="Times New Roman" w:hAnsi="Times New Roman" w:eastAsia="宋体"/>
                <w:sz w:val="20"/>
              </w:rPr>
              <w:t>0.05 cm⁻¹</w:t>
            </w:r>
          </w:p>
        </w:tc>
      </w:tr>
      <w:tr>
        <w:tc>
          <w:tcPr>
            <w:tcW w:type="dxa" w:w="4150"/>
          </w:tcPr>
          <w:p>
            <w:pPr>
              <w:jc w:val="center"/>
            </w:pPr>
            <w:r>
              <w:rPr>
                <w:rFonts w:ascii="Times New Roman" w:hAnsi="Times New Roman" w:eastAsia="宋体"/>
                <w:sz w:val="20"/>
              </w:rPr>
              <w:t>调制频率</w:t>
            </w:r>
          </w:p>
        </w:tc>
        <w:tc>
          <w:tcPr>
            <w:tcW w:type="dxa" w:w="4150"/>
          </w:tcPr>
          <w:p>
            <w:pPr>
              <w:jc w:val="center"/>
            </w:pPr>
            <w:r>
              <w:rPr>
                <w:rFonts w:ascii="Times New Roman" w:hAnsi="Times New Roman" w:eastAsia="宋体"/>
                <w:sz w:val="20"/>
              </w:rPr>
              <w:t>10 kHz</w:t>
            </w:r>
          </w:p>
        </w:tc>
      </w:tr>
      <w:tr>
        <w:tc>
          <w:tcPr>
            <w:tcW w:type="dxa" w:w="4150"/>
          </w:tcPr>
          <w:p>
            <w:pPr>
              <w:jc w:val="center"/>
            </w:pPr>
            <w:r>
              <w:rPr>
                <w:rFonts w:ascii="Times New Roman" w:hAnsi="Times New Roman" w:eastAsia="宋体"/>
                <w:sz w:val="20"/>
              </w:rPr>
              <w:t>信噪比范围</w:t>
            </w:r>
          </w:p>
        </w:tc>
        <w:tc>
          <w:tcPr>
            <w:tcW w:type="dxa" w:w="4150"/>
          </w:tcPr>
          <w:p>
            <w:pPr>
              <w:jc w:val="center"/>
            </w:pPr>
            <w:r>
              <w:rPr>
                <w:rFonts w:ascii="Times New Roman" w:hAnsi="Times New Roman" w:eastAsia="宋体"/>
                <w:sz w:val="20"/>
              </w:rPr>
              <w:t>20-40 dB</w:t>
            </w:r>
          </w:p>
        </w:tc>
      </w:tr>
      <w:tr>
        <w:tc>
          <w:tcPr>
            <w:tcW w:type="dxa" w:w="4150"/>
          </w:tcPr>
          <w:p>
            <w:pPr>
              <w:jc w:val="center"/>
            </w:pPr>
            <w:r>
              <w:rPr>
                <w:rFonts w:ascii="Times New Roman" w:hAnsi="Times New Roman" w:eastAsia="宋体"/>
                <w:sz w:val="20"/>
              </w:rPr>
              <w:t>基线漂移幅度</w:t>
            </w:r>
          </w:p>
        </w:tc>
        <w:tc>
          <w:tcPr>
            <w:tcW w:type="dxa" w:w="4150"/>
          </w:tcPr>
          <w:p>
            <w:pPr>
              <w:jc w:val="center"/>
            </w:pPr>
            <w:r>
              <w:rPr>
                <w:rFonts w:ascii="Times New Roman" w:hAnsi="Times New Roman" w:eastAsia="宋体"/>
                <w:sz w:val="20"/>
              </w:rPr>
              <w:t>0.01-0.05（随机）</w:t>
            </w:r>
          </w:p>
        </w:tc>
      </w:tr>
    </w:tbl>
    <w:p/>
    <w:p>
      <w:pPr>
        <w:spacing w:after="120" w:before="0"/>
        <w:ind w:firstLine="420"/>
      </w:pPr>
      <w:r>
        <w:rPr>
          <w:rFonts w:ascii="宋体" w:hAnsi="宋体" w:eastAsia="宋体"/>
          <w:b w:val="0"/>
          <w:sz w:val="24"/>
        </w:rPr>
        <w:t>图2展示了不同浓度下的2f信号波形。可以观察到，2f信号呈典型的"W"形状，其谷深与气体浓度呈正相关。在低浓度区间（50-200 ppm），信号幅度较小，噪声影响显著；在高浓度区间（3000-5000 ppm），信号饱和效应开始显现。</w:t>
      </w:r>
    </w:p>
    <w:p>
      <w:pPr>
        <w:spacing w:before="240" w:after="120"/>
        <w:jc w:val="left"/>
      </w:pPr>
      <w:r>
        <w:rPr>
          <w:rFonts w:ascii="黑体" w:hAnsi="黑体" w:eastAsia="黑体"/>
          <w:b/>
          <w:sz w:val="32"/>
        </w:rPr>
        <w:t>4 轻量级1D-CNN模型</w:t>
      </w:r>
    </w:p>
    <w:p>
      <w:pPr>
        <w:spacing w:before="240" w:after="120"/>
        <w:jc w:val="left"/>
      </w:pPr>
      <w:r>
        <w:rPr>
          <w:rFonts w:ascii="黑体" w:hAnsi="黑体" w:eastAsia="黑体"/>
          <w:b/>
          <w:sz w:val="28"/>
        </w:rPr>
        <w:t>4.1 网络结构</w:t>
      </w:r>
    </w:p>
    <w:p>
      <w:pPr>
        <w:spacing w:after="120" w:before="0"/>
        <w:ind w:firstLine="420"/>
      </w:pPr>
      <w:r>
        <w:rPr>
          <w:rFonts w:ascii="宋体" w:hAnsi="宋体" w:eastAsia="宋体"/>
          <w:b w:val="0"/>
          <w:sz w:val="24"/>
        </w:rPr>
        <w:t>为满足STM32微控制器的计算和存储约束，本文设计了一种极简的1D-CNN架构（TinyTDLASNet），其结构如图3所示，参数如表3所示。</w:t>
      </w:r>
    </w:p>
    <w:p>
      <w:pPr>
        <w:spacing w:after="120" w:before="0"/>
        <w:ind w:firstLine="420"/>
      </w:pPr>
      <w:r>
        <w:rPr>
          <w:rFonts w:ascii="宋体" w:hAnsi="宋体" w:eastAsia="宋体"/>
          <w:b w:val="0"/>
          <w:sz w:val="24"/>
        </w:rPr>
        <w:t>网络由三部分组成：</w:t>
      </w:r>
    </w:p>
    <w:p>
      <w:pPr>
        <w:spacing w:after="120" w:before="0"/>
        <w:ind w:firstLine="420"/>
      </w:pPr>
      <w:r>
        <w:rPr>
          <w:rFonts w:ascii="宋体" w:hAnsi="宋体" w:eastAsia="宋体"/>
          <w:b w:val="0"/>
          <w:sz w:val="24"/>
        </w:rPr>
        <w:t>（1）特征提取器：3层一维卷积层，逐步降低时序维度并增加通道数。Conv1D_1（1→8通道，核7，步长4）、Conv1D_2（8→16通道，核5，步长4）、Conv1D_3（16→32通道，核3，步长2），每层后接ReLU激活函数。</w:t>
      </w:r>
    </w:p>
    <w:p>
      <w:pPr>
        <w:spacing w:after="120" w:before="0"/>
        <w:ind w:firstLine="420"/>
      </w:pPr>
      <w:r>
        <w:rPr>
          <w:rFonts w:ascii="宋体" w:hAnsi="宋体" w:eastAsia="宋体"/>
          <w:b w:val="0"/>
          <w:sz w:val="24"/>
        </w:rPr>
        <w:t>（2）全局平均池化层：将时序维度压缩为1，输出32维特征向量。</w:t>
      </w:r>
    </w:p>
    <w:p>
      <w:pPr>
        <w:spacing w:after="120" w:before="0"/>
        <w:ind w:firstLine="420"/>
      </w:pPr>
      <w:r>
        <w:rPr>
          <w:rFonts w:ascii="宋体" w:hAnsi="宋体" w:eastAsia="宋体"/>
          <w:b w:val="0"/>
          <w:sz w:val="24"/>
        </w:rPr>
        <w:t>（3）回归头：2层全连接层（32→16→1），最后一层使用Sigmoid激活，输出[0,1]范围的归一化浓度。</w:t>
      </w:r>
    </w:p>
    <w:p>
      <w:pPr>
        <w:spacing w:after="120" w:before="0"/>
        <w:jc w:val="center"/>
      </w:pPr>
      <w:r>
        <w:rPr>
          <w:rFonts w:ascii="宋体" w:hAnsi="宋体" w:eastAsia="宋体"/>
          <w:b/>
          <w:sz w:val="20"/>
        </w:rPr>
        <w:t>表3 TinyTDLASNet网络参数</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shd w:val="clear" w:color="auto" w:fill="D9E2F3"/>
          </w:tcPr>
          <w:p>
            <w:pPr>
              <w:jc w:val="center"/>
            </w:pPr>
            <w:r>
              <w:rPr>
                <w:rFonts w:ascii="黑体" w:hAnsi="黑体" w:eastAsia="黑体"/>
                <w:b/>
                <w:sz w:val="20"/>
              </w:rPr>
              <w:t>层</w:t>
            </w:r>
          </w:p>
        </w:tc>
        <w:tc>
          <w:tcPr>
            <w:tcW w:type="dxa" w:w="1660"/>
            <w:shd w:val="clear" w:color="auto" w:fill="D9E2F3"/>
          </w:tcPr>
          <w:p>
            <w:pPr>
              <w:jc w:val="center"/>
            </w:pPr>
            <w:r>
              <w:rPr>
                <w:rFonts w:ascii="黑体" w:hAnsi="黑体" w:eastAsia="黑体"/>
                <w:b/>
                <w:sz w:val="20"/>
              </w:rPr>
              <w:t>类型</w:t>
            </w:r>
          </w:p>
        </w:tc>
        <w:tc>
          <w:tcPr>
            <w:tcW w:type="dxa" w:w="1660"/>
            <w:shd w:val="clear" w:color="auto" w:fill="D9E2F3"/>
          </w:tcPr>
          <w:p>
            <w:pPr>
              <w:jc w:val="center"/>
            </w:pPr>
            <w:r>
              <w:rPr>
                <w:rFonts w:ascii="黑体" w:hAnsi="黑体" w:eastAsia="黑体"/>
                <w:b/>
                <w:sz w:val="20"/>
              </w:rPr>
              <w:t>输入尺寸</w:t>
            </w:r>
          </w:p>
        </w:tc>
        <w:tc>
          <w:tcPr>
            <w:tcW w:type="dxa" w:w="1660"/>
            <w:shd w:val="clear" w:color="auto" w:fill="D9E2F3"/>
          </w:tcPr>
          <w:p>
            <w:pPr>
              <w:jc w:val="center"/>
            </w:pPr>
            <w:r>
              <w:rPr>
                <w:rFonts w:ascii="黑体" w:hAnsi="黑体" w:eastAsia="黑体"/>
                <w:b/>
                <w:sz w:val="20"/>
              </w:rPr>
              <w:t>输出尺寸</w:t>
            </w:r>
          </w:p>
        </w:tc>
        <w:tc>
          <w:tcPr>
            <w:tcW w:type="dxa" w:w="1660"/>
            <w:shd w:val="clear" w:color="auto" w:fill="D9E2F3"/>
          </w:tcPr>
          <w:p>
            <w:pPr>
              <w:jc w:val="center"/>
            </w:pPr>
            <w:r>
              <w:rPr>
                <w:rFonts w:ascii="黑体" w:hAnsi="黑体" w:eastAsia="黑体"/>
                <w:b/>
                <w:sz w:val="20"/>
              </w:rPr>
              <w:t>参数量</w:t>
            </w:r>
          </w:p>
        </w:tc>
      </w:tr>
      <w:tr>
        <w:tc>
          <w:tcPr>
            <w:tcW w:type="dxa" w:w="1660"/>
          </w:tcPr>
          <w:p>
            <w:pPr>
              <w:jc w:val="center"/>
            </w:pPr>
            <w:r>
              <w:rPr>
                <w:rFonts w:ascii="Times New Roman" w:hAnsi="Times New Roman" w:eastAsia="宋体"/>
                <w:sz w:val="20"/>
              </w:rPr>
              <w:t>Conv1D_1</w:t>
            </w:r>
          </w:p>
        </w:tc>
        <w:tc>
          <w:tcPr>
            <w:tcW w:type="dxa" w:w="1660"/>
          </w:tcPr>
          <w:p>
            <w:pPr>
              <w:jc w:val="center"/>
            </w:pPr>
            <w:r>
              <w:rPr>
                <w:rFonts w:ascii="Times New Roman" w:hAnsi="Times New Roman" w:eastAsia="宋体"/>
                <w:sz w:val="20"/>
              </w:rPr>
              <w:t>Conv1d</w:t>
            </w:r>
          </w:p>
        </w:tc>
        <w:tc>
          <w:tcPr>
            <w:tcW w:type="dxa" w:w="1660"/>
          </w:tcPr>
          <w:p>
            <w:pPr>
              <w:jc w:val="center"/>
            </w:pPr>
            <w:r>
              <w:rPr>
                <w:rFonts w:ascii="Times New Roman" w:hAnsi="Times New Roman" w:eastAsia="宋体"/>
                <w:sz w:val="20"/>
              </w:rPr>
              <w:t>(1, 512)</w:t>
            </w:r>
          </w:p>
        </w:tc>
        <w:tc>
          <w:tcPr>
            <w:tcW w:type="dxa" w:w="1660"/>
          </w:tcPr>
          <w:p>
            <w:pPr>
              <w:jc w:val="center"/>
            </w:pPr>
            <w:r>
              <w:rPr>
                <w:rFonts w:ascii="Times New Roman" w:hAnsi="Times New Roman" w:eastAsia="宋体"/>
                <w:sz w:val="20"/>
              </w:rPr>
              <w:t>(8, 128)</w:t>
            </w:r>
          </w:p>
        </w:tc>
        <w:tc>
          <w:tcPr>
            <w:tcW w:type="dxa" w:w="1660"/>
          </w:tcPr>
          <w:p>
            <w:pPr>
              <w:jc w:val="center"/>
            </w:pPr>
            <w:r>
              <w:rPr>
                <w:rFonts w:ascii="Times New Roman" w:hAnsi="Times New Roman" w:eastAsia="宋体"/>
                <w:sz w:val="20"/>
              </w:rPr>
              <w:t>64</w:t>
            </w:r>
          </w:p>
        </w:tc>
      </w:tr>
      <w:tr>
        <w:tc>
          <w:tcPr>
            <w:tcW w:type="dxa" w:w="1660"/>
          </w:tcPr>
          <w:p>
            <w:pPr>
              <w:jc w:val="center"/>
            </w:pPr>
            <w:r>
              <w:rPr>
                <w:rFonts w:ascii="Times New Roman" w:hAnsi="Times New Roman" w:eastAsia="宋体"/>
                <w:sz w:val="20"/>
              </w:rPr>
              <w:t>Conv1D_2</w:t>
            </w:r>
          </w:p>
        </w:tc>
        <w:tc>
          <w:tcPr>
            <w:tcW w:type="dxa" w:w="1660"/>
          </w:tcPr>
          <w:p>
            <w:pPr>
              <w:jc w:val="center"/>
            </w:pPr>
            <w:r>
              <w:rPr>
                <w:rFonts w:ascii="Times New Roman" w:hAnsi="Times New Roman" w:eastAsia="宋体"/>
                <w:sz w:val="20"/>
              </w:rPr>
              <w:t>Conv1d</w:t>
            </w:r>
          </w:p>
        </w:tc>
        <w:tc>
          <w:tcPr>
            <w:tcW w:type="dxa" w:w="1660"/>
          </w:tcPr>
          <w:p>
            <w:pPr>
              <w:jc w:val="center"/>
            </w:pPr>
            <w:r>
              <w:rPr>
                <w:rFonts w:ascii="Times New Roman" w:hAnsi="Times New Roman" w:eastAsia="宋体"/>
                <w:sz w:val="20"/>
              </w:rPr>
              <w:t>(8, 128)</w:t>
            </w:r>
          </w:p>
        </w:tc>
        <w:tc>
          <w:tcPr>
            <w:tcW w:type="dxa" w:w="1660"/>
          </w:tcPr>
          <w:p>
            <w:pPr>
              <w:jc w:val="center"/>
            </w:pPr>
            <w:r>
              <w:rPr>
                <w:rFonts w:ascii="Times New Roman" w:hAnsi="Times New Roman" w:eastAsia="宋体"/>
                <w:sz w:val="20"/>
              </w:rPr>
              <w:t>(16, 32)</w:t>
            </w:r>
          </w:p>
        </w:tc>
        <w:tc>
          <w:tcPr>
            <w:tcW w:type="dxa" w:w="1660"/>
          </w:tcPr>
          <w:p>
            <w:pPr>
              <w:jc w:val="center"/>
            </w:pPr>
            <w:r>
              <w:rPr>
                <w:rFonts w:ascii="Times New Roman" w:hAnsi="Times New Roman" w:eastAsia="宋体"/>
                <w:sz w:val="20"/>
              </w:rPr>
              <w:t>656</w:t>
            </w:r>
          </w:p>
        </w:tc>
      </w:tr>
      <w:tr>
        <w:tc>
          <w:tcPr>
            <w:tcW w:type="dxa" w:w="1660"/>
          </w:tcPr>
          <w:p>
            <w:pPr>
              <w:jc w:val="center"/>
            </w:pPr>
            <w:r>
              <w:rPr>
                <w:rFonts w:ascii="Times New Roman" w:hAnsi="Times New Roman" w:eastAsia="宋体"/>
                <w:sz w:val="20"/>
              </w:rPr>
              <w:t>Conv1D_3</w:t>
            </w:r>
          </w:p>
        </w:tc>
        <w:tc>
          <w:tcPr>
            <w:tcW w:type="dxa" w:w="1660"/>
          </w:tcPr>
          <w:p>
            <w:pPr>
              <w:jc w:val="center"/>
            </w:pPr>
            <w:r>
              <w:rPr>
                <w:rFonts w:ascii="Times New Roman" w:hAnsi="Times New Roman" w:eastAsia="宋体"/>
                <w:sz w:val="20"/>
              </w:rPr>
              <w:t>Conv1d</w:t>
            </w:r>
          </w:p>
        </w:tc>
        <w:tc>
          <w:tcPr>
            <w:tcW w:type="dxa" w:w="1660"/>
          </w:tcPr>
          <w:p>
            <w:pPr>
              <w:jc w:val="center"/>
            </w:pPr>
            <w:r>
              <w:rPr>
                <w:rFonts w:ascii="Times New Roman" w:hAnsi="Times New Roman" w:eastAsia="宋体"/>
                <w:sz w:val="20"/>
              </w:rPr>
              <w:t>(16, 32)</w:t>
            </w:r>
          </w:p>
        </w:tc>
        <w:tc>
          <w:tcPr>
            <w:tcW w:type="dxa" w:w="1660"/>
          </w:tcPr>
          <w:p>
            <w:pPr>
              <w:jc w:val="center"/>
            </w:pPr>
            <w:r>
              <w:rPr>
                <w:rFonts w:ascii="Times New Roman" w:hAnsi="Times New Roman" w:eastAsia="宋体"/>
                <w:sz w:val="20"/>
              </w:rPr>
              <w:t>(32, 16)</w:t>
            </w:r>
          </w:p>
        </w:tc>
        <w:tc>
          <w:tcPr>
            <w:tcW w:type="dxa" w:w="1660"/>
          </w:tcPr>
          <w:p>
            <w:pPr>
              <w:jc w:val="center"/>
            </w:pPr>
            <w:r>
              <w:rPr>
                <w:rFonts w:ascii="Times New Roman" w:hAnsi="Times New Roman" w:eastAsia="宋体"/>
                <w:sz w:val="20"/>
              </w:rPr>
              <w:t>1,568</w:t>
            </w:r>
          </w:p>
        </w:tc>
      </w:tr>
      <w:tr>
        <w:tc>
          <w:tcPr>
            <w:tcW w:type="dxa" w:w="1660"/>
          </w:tcPr>
          <w:p>
            <w:pPr>
              <w:jc w:val="center"/>
            </w:pPr>
            <w:r>
              <w:rPr>
                <w:rFonts w:ascii="Times New Roman" w:hAnsi="Times New Roman" w:eastAsia="宋体"/>
                <w:sz w:val="20"/>
              </w:rPr>
              <w:t>GlobalPool</w:t>
            </w:r>
          </w:p>
        </w:tc>
        <w:tc>
          <w:tcPr>
            <w:tcW w:type="dxa" w:w="1660"/>
          </w:tcPr>
          <w:p>
            <w:pPr>
              <w:jc w:val="center"/>
            </w:pPr>
            <w:r>
              <w:rPr>
                <w:rFonts w:ascii="Times New Roman" w:hAnsi="Times New Roman" w:eastAsia="宋体"/>
                <w:sz w:val="20"/>
              </w:rPr>
              <w:t>AdaptiveAvgPool1d</w:t>
            </w:r>
          </w:p>
        </w:tc>
        <w:tc>
          <w:tcPr>
            <w:tcW w:type="dxa" w:w="1660"/>
          </w:tcPr>
          <w:p>
            <w:pPr>
              <w:jc w:val="center"/>
            </w:pPr>
            <w:r>
              <w:rPr>
                <w:rFonts w:ascii="Times New Roman" w:hAnsi="Times New Roman" w:eastAsia="宋体"/>
                <w:sz w:val="20"/>
              </w:rPr>
              <w:t>(32, 16)</w:t>
            </w:r>
          </w:p>
        </w:tc>
        <w:tc>
          <w:tcPr>
            <w:tcW w:type="dxa" w:w="1660"/>
          </w:tcPr>
          <w:p>
            <w:pPr>
              <w:jc w:val="center"/>
            </w:pPr>
            <w:r>
              <w:rPr>
                <w:rFonts w:ascii="Times New Roman" w:hAnsi="Times New Roman" w:eastAsia="宋体"/>
                <w:sz w:val="20"/>
              </w:rPr>
              <w:t>(32, 1)</w:t>
            </w:r>
          </w:p>
        </w:tc>
        <w:tc>
          <w:tcPr>
            <w:tcW w:type="dxa" w:w="1660"/>
          </w:tcPr>
          <w:p>
            <w:pPr>
              <w:jc w:val="center"/>
            </w:pPr>
            <w:r>
              <w:rPr>
                <w:rFonts w:ascii="Times New Roman" w:hAnsi="Times New Roman" w:eastAsia="宋体"/>
                <w:sz w:val="20"/>
              </w:rPr>
              <w:t>0</w:t>
            </w:r>
          </w:p>
        </w:tc>
      </w:tr>
      <w:tr>
        <w:tc>
          <w:tcPr>
            <w:tcW w:type="dxa" w:w="1660"/>
          </w:tcPr>
          <w:p>
            <w:pPr>
              <w:jc w:val="center"/>
            </w:pPr>
            <w:r>
              <w:rPr>
                <w:rFonts w:ascii="Times New Roman" w:hAnsi="Times New Roman" w:eastAsia="宋体"/>
                <w:sz w:val="20"/>
              </w:rPr>
              <w:t>FC_1</w:t>
            </w:r>
          </w:p>
        </w:tc>
        <w:tc>
          <w:tcPr>
            <w:tcW w:type="dxa" w:w="1660"/>
          </w:tcPr>
          <w:p>
            <w:pPr>
              <w:jc w:val="center"/>
            </w:pPr>
            <w:r>
              <w:rPr>
                <w:rFonts w:ascii="Times New Roman" w:hAnsi="Times New Roman" w:eastAsia="宋体"/>
                <w:sz w:val="20"/>
              </w:rPr>
              <w:t>Linear</w:t>
            </w:r>
          </w:p>
        </w:tc>
        <w:tc>
          <w:tcPr>
            <w:tcW w:type="dxa" w:w="1660"/>
          </w:tcPr>
          <w:p>
            <w:pPr>
              <w:jc w:val="center"/>
            </w:pPr>
            <w:r>
              <w:rPr>
                <w:rFonts w:ascii="Times New Roman" w:hAnsi="Times New Roman" w:eastAsia="宋体"/>
                <w:sz w:val="20"/>
              </w:rPr>
              <w:t>32</w:t>
            </w:r>
          </w:p>
        </w:tc>
        <w:tc>
          <w:tcPr>
            <w:tcW w:type="dxa" w:w="1660"/>
          </w:tcPr>
          <w:p>
            <w:pPr>
              <w:jc w:val="center"/>
            </w:pPr>
            <w:r>
              <w:rPr>
                <w:rFonts w:ascii="Times New Roman" w:hAnsi="Times New Roman" w:eastAsia="宋体"/>
                <w:sz w:val="20"/>
              </w:rPr>
              <w:t>16</w:t>
            </w:r>
          </w:p>
        </w:tc>
        <w:tc>
          <w:tcPr>
            <w:tcW w:type="dxa" w:w="1660"/>
          </w:tcPr>
          <w:p>
            <w:pPr>
              <w:jc w:val="center"/>
            </w:pPr>
            <w:r>
              <w:rPr>
                <w:rFonts w:ascii="Times New Roman" w:hAnsi="Times New Roman" w:eastAsia="宋体"/>
                <w:sz w:val="20"/>
              </w:rPr>
              <w:t>528</w:t>
            </w:r>
          </w:p>
        </w:tc>
      </w:tr>
      <w:tr>
        <w:tc>
          <w:tcPr>
            <w:tcW w:type="dxa" w:w="1660"/>
          </w:tcPr>
          <w:p>
            <w:pPr>
              <w:jc w:val="center"/>
            </w:pPr>
            <w:r>
              <w:rPr>
                <w:rFonts w:ascii="Times New Roman" w:hAnsi="Times New Roman" w:eastAsia="宋体"/>
                <w:sz w:val="20"/>
              </w:rPr>
              <w:t>FC_2</w:t>
            </w:r>
          </w:p>
        </w:tc>
        <w:tc>
          <w:tcPr>
            <w:tcW w:type="dxa" w:w="1660"/>
          </w:tcPr>
          <w:p>
            <w:pPr>
              <w:jc w:val="center"/>
            </w:pPr>
            <w:r>
              <w:rPr>
                <w:rFonts w:ascii="Times New Roman" w:hAnsi="Times New Roman" w:eastAsia="宋体"/>
                <w:sz w:val="20"/>
              </w:rPr>
              <w:t>Linear</w:t>
            </w:r>
          </w:p>
        </w:tc>
        <w:tc>
          <w:tcPr>
            <w:tcW w:type="dxa" w:w="1660"/>
          </w:tcPr>
          <w:p>
            <w:pPr>
              <w:jc w:val="center"/>
            </w:pPr>
            <w:r>
              <w:rPr>
                <w:rFonts w:ascii="Times New Roman" w:hAnsi="Times New Roman" w:eastAsia="宋体"/>
                <w:sz w:val="20"/>
              </w:rPr>
              <w:t>16</w:t>
            </w:r>
          </w:p>
        </w:tc>
        <w:tc>
          <w:tcPr>
            <w:tcW w:type="dxa" w:w="1660"/>
          </w:tcPr>
          <w:p>
            <w:pPr>
              <w:jc w:val="center"/>
            </w:pPr>
            <w:r>
              <w:rPr>
                <w:rFonts w:ascii="Times New Roman" w:hAnsi="Times New Roman" w:eastAsia="宋体"/>
                <w:sz w:val="20"/>
              </w:rPr>
              <w:t>1</w:t>
            </w:r>
          </w:p>
        </w:tc>
        <w:tc>
          <w:tcPr>
            <w:tcW w:type="dxa" w:w="1660"/>
          </w:tcPr>
          <w:p>
            <w:pPr>
              <w:jc w:val="center"/>
            </w:pPr>
            <w:r>
              <w:rPr>
                <w:rFonts w:ascii="Times New Roman" w:hAnsi="Times New Roman" w:eastAsia="宋体"/>
                <w:sz w:val="20"/>
              </w:rPr>
              <w:t>17</w:t>
            </w:r>
          </w:p>
        </w:tc>
      </w:tr>
      <w:tr>
        <w:tc>
          <w:tcPr>
            <w:tcW w:type="dxa" w:w="1660"/>
          </w:tcPr>
          <w:p>
            <w:pPr>
              <w:jc w:val="center"/>
            </w:pPr>
            <w:r>
              <w:rPr>
                <w:rFonts w:ascii="Times New Roman" w:hAnsi="Times New Roman" w:eastAsia="宋体"/>
                <w:sz w:val="20"/>
              </w:rPr>
              <w:t>总计</w:t>
            </w:r>
          </w:p>
        </w:tc>
        <w:tc>
          <w:tcPr>
            <w:tcW w:type="dxa" w:w="1660"/>
          </w:tcPr>
          <w:p>
            <w:pPr>
              <w:jc w:val="center"/>
            </w:pPr>
            <w:r>
              <w:rPr>
                <w:rFonts w:ascii="Times New Roman" w:hAnsi="Times New Roman" w:eastAsia="宋体"/>
                <w:sz w:val="20"/>
              </w:rPr>
            </w:r>
          </w:p>
        </w:tc>
        <w:tc>
          <w:tcPr>
            <w:tcW w:type="dxa" w:w="1660"/>
          </w:tcPr>
          <w:p>
            <w:pPr>
              <w:jc w:val="center"/>
            </w:pPr>
            <w:r>
              <w:rPr>
                <w:rFonts w:ascii="Times New Roman" w:hAnsi="Times New Roman" w:eastAsia="宋体"/>
                <w:sz w:val="20"/>
              </w:rPr>
            </w:r>
          </w:p>
        </w:tc>
        <w:tc>
          <w:tcPr>
            <w:tcW w:type="dxa" w:w="1660"/>
          </w:tcPr>
          <w:p>
            <w:pPr>
              <w:jc w:val="center"/>
            </w:pPr>
            <w:r>
              <w:rPr>
                <w:rFonts w:ascii="Times New Roman" w:hAnsi="Times New Roman" w:eastAsia="宋体"/>
                <w:sz w:val="20"/>
              </w:rPr>
            </w:r>
          </w:p>
        </w:tc>
        <w:tc>
          <w:tcPr>
            <w:tcW w:type="dxa" w:w="1660"/>
          </w:tcPr>
          <w:p>
            <w:pPr>
              <w:jc w:val="center"/>
            </w:pPr>
            <w:r>
              <w:rPr>
                <w:rFonts w:ascii="Times New Roman" w:hAnsi="Times New Roman" w:eastAsia="宋体"/>
                <w:sz w:val="20"/>
              </w:rPr>
              <w:t>2,833</w:t>
            </w:r>
          </w:p>
        </w:tc>
      </w:tr>
    </w:tbl>
    <w:p/>
    <w:p>
      <w:pPr>
        <w:spacing w:before="240" w:after="120"/>
        <w:jc w:val="left"/>
      </w:pPr>
      <w:r>
        <w:rPr>
          <w:rFonts w:ascii="黑体" w:hAnsi="黑体" w:eastAsia="黑体"/>
          <w:b/>
          <w:sz w:val="28"/>
        </w:rPr>
        <w:t>4.2 训练策略</w:t>
      </w:r>
    </w:p>
    <w:p>
      <w:pPr>
        <w:spacing w:after="120" w:before="0"/>
        <w:ind w:firstLine="420"/>
      </w:pPr>
      <w:r>
        <w:rPr>
          <w:rFonts w:ascii="宋体" w:hAnsi="宋体" w:eastAsia="宋体"/>
          <w:b w:val="0"/>
          <w:sz w:val="24"/>
        </w:rPr>
        <w:t>模型训练采用以下策略：</w:t>
      </w:r>
    </w:p>
    <w:p>
      <w:pPr>
        <w:spacing w:after="120" w:before="0"/>
        <w:ind w:firstLine="420"/>
      </w:pPr>
      <w:r>
        <w:rPr>
          <w:rFonts w:ascii="宋体" w:hAnsi="宋体" w:eastAsia="宋体"/>
          <w:b w:val="0"/>
          <w:sz w:val="24"/>
        </w:rPr>
        <w:t>- 损失函数：均方误差（MSE）</w:t>
        <w:br/>
        <w:t>- 优化器：Adam（学习率1e-3，权重衰减1e-5）</w:t>
        <w:br/>
        <w:t>- 学习率调度：余弦退火（Cosine Annealing），从1e-3衰减至0</w:t>
        <w:br/>
        <w:t>- 训练轮数：100 epochs</w:t>
        <w:br/>
        <w:t>- 批大小：32</w:t>
        <w:br/>
        <w:t>- 数据划分：80%训练集，20%测试集</w:t>
        <w:br/>
        <w:t>- 输入预处理：StandardScaler标准化信号</w:t>
      </w:r>
    </w:p>
    <w:p>
      <w:pPr>
        <w:spacing w:after="120" w:before="0"/>
        <w:ind w:firstLine="420"/>
      </w:pPr>
      <w:r>
        <w:rPr>
          <w:rFonts w:ascii="宋体" w:hAnsi="宋体" w:eastAsia="宋体"/>
          <w:b w:val="0"/>
          <w:sz w:val="24"/>
        </w:rPr>
        <w:t>图4展示了训练过程中的损失曲线和测试MAE变化。模型在第49个epoch达到最佳性能，训练损失为0.094，测试损失为0.111。</w:t>
      </w:r>
    </w:p>
    <w:p>
      <w:pPr>
        <w:spacing w:before="240" w:after="120"/>
        <w:jc w:val="left"/>
      </w:pPr>
      <w:r>
        <w:rPr>
          <w:rFonts w:ascii="黑体" w:hAnsi="黑体" w:eastAsia="黑体"/>
          <w:b/>
          <w:sz w:val="28"/>
        </w:rPr>
        <w:t>4.3 模型部署</w:t>
      </w:r>
    </w:p>
    <w:p>
      <w:pPr>
        <w:spacing w:after="120" w:before="0"/>
        <w:ind w:firstLine="420"/>
      </w:pPr>
      <w:r>
        <w:rPr>
          <w:rFonts w:ascii="宋体" w:hAnsi="宋体" w:eastAsia="宋体"/>
          <w:b w:val="0"/>
          <w:sz w:val="24"/>
        </w:rPr>
        <w:t>训练完成后，模型导出为ONNX格式（opset 13），文件大小为19.5 KB。通过STM32Cube.AI工具链，将ONNX模型转换为C语言库文件，集成到STM32固件中。推理时间约为2.3 ms（168 MHz主频），满足100 kHz采样率下的实时处理需求。</w:t>
      </w:r>
    </w:p>
    <w:p>
      <w:pPr>
        <w:spacing w:before="240" w:after="120"/>
        <w:jc w:val="left"/>
      </w:pPr>
      <w:r>
        <w:rPr>
          <w:rFonts w:ascii="黑体" w:hAnsi="黑体" w:eastAsia="黑体"/>
          <w:b/>
          <w:sz w:val="32"/>
        </w:rPr>
        <w:t>5 实验结果与分析</w:t>
      </w:r>
    </w:p>
    <w:p>
      <w:pPr>
        <w:spacing w:before="240" w:after="120"/>
        <w:jc w:val="left"/>
      </w:pPr>
      <w:r>
        <w:rPr>
          <w:rFonts w:ascii="黑体" w:hAnsi="黑体" w:eastAsia="黑体"/>
          <w:b/>
          <w:sz w:val="28"/>
        </w:rPr>
        <w:t>5.1 模型性能对比</w:t>
      </w:r>
    </w:p>
    <w:p>
      <w:pPr>
        <w:spacing w:after="120" w:before="0"/>
        <w:ind w:firstLine="420"/>
      </w:pPr>
      <w:r>
        <w:rPr>
          <w:rFonts w:ascii="宋体" w:hAnsi="宋体" w:eastAsia="宋体"/>
          <w:b w:val="0"/>
          <w:sz w:val="24"/>
        </w:rPr>
        <w:t>为验证1D-CNN模型的优越性，本文将其与三种常用方法进行了对比：传统2f拟合法、支持向量回归（SVR，RBF核，C=100，γ=0.01）和多层感知机（MLP，3层全连接网络512→128→32→1，参数量约7万）。</w:t>
      </w:r>
    </w:p>
    <w:p>
      <w:pPr>
        <w:spacing w:after="120" w:before="0"/>
        <w:jc w:val="center"/>
      </w:pPr>
      <w:r>
        <w:rPr>
          <w:rFonts w:ascii="宋体" w:hAnsi="宋体" w:eastAsia="宋体"/>
          <w:b/>
          <w:sz w:val="20"/>
        </w:rPr>
        <w:t>表4 不同方法的性能对比</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383"/>
            <w:shd w:val="clear" w:color="auto" w:fill="D9E2F3"/>
          </w:tcPr>
          <w:p>
            <w:pPr>
              <w:jc w:val="center"/>
            </w:pPr>
            <w:r>
              <w:rPr>
                <w:rFonts w:ascii="黑体" w:hAnsi="黑体" w:eastAsia="黑体"/>
                <w:b/>
                <w:sz w:val="20"/>
              </w:rPr>
              <w:t>方法</w:t>
            </w:r>
          </w:p>
        </w:tc>
        <w:tc>
          <w:tcPr>
            <w:tcW w:type="dxa" w:w="1383"/>
            <w:shd w:val="clear" w:color="auto" w:fill="D9E2F3"/>
          </w:tcPr>
          <w:p>
            <w:pPr>
              <w:jc w:val="center"/>
            </w:pPr>
            <w:r>
              <w:rPr>
                <w:rFonts w:ascii="黑体" w:hAnsi="黑体" w:eastAsia="黑体"/>
                <w:b/>
                <w:sz w:val="20"/>
              </w:rPr>
              <w:t>MAE (ppm)</w:t>
            </w:r>
          </w:p>
        </w:tc>
        <w:tc>
          <w:tcPr>
            <w:tcW w:type="dxa" w:w="1383"/>
            <w:shd w:val="clear" w:color="auto" w:fill="D9E2F3"/>
          </w:tcPr>
          <w:p>
            <w:pPr>
              <w:jc w:val="center"/>
            </w:pPr>
            <w:r>
              <w:rPr>
                <w:rFonts w:ascii="黑体" w:hAnsi="黑体" w:eastAsia="黑体"/>
                <w:b/>
                <w:sz w:val="20"/>
              </w:rPr>
              <w:t>RMSE (ppm)</w:t>
            </w:r>
          </w:p>
        </w:tc>
        <w:tc>
          <w:tcPr>
            <w:tcW w:type="dxa" w:w="1383"/>
            <w:shd w:val="clear" w:color="auto" w:fill="D9E2F3"/>
          </w:tcPr>
          <w:p>
            <w:pPr>
              <w:jc w:val="center"/>
            </w:pPr>
            <w:r>
              <w:rPr>
                <w:rFonts w:ascii="黑体" w:hAnsi="黑体" w:eastAsia="黑体"/>
                <w:b/>
                <w:sz w:val="20"/>
              </w:rPr>
              <w:t>R²</w:t>
            </w:r>
          </w:p>
        </w:tc>
        <w:tc>
          <w:tcPr>
            <w:tcW w:type="dxa" w:w="1383"/>
            <w:shd w:val="clear" w:color="auto" w:fill="D9E2F3"/>
          </w:tcPr>
          <w:p>
            <w:pPr>
              <w:jc w:val="center"/>
            </w:pPr>
            <w:r>
              <w:rPr>
                <w:rFonts w:ascii="黑体" w:hAnsi="黑体" w:eastAsia="黑体"/>
                <w:b/>
                <w:sz w:val="20"/>
              </w:rPr>
              <w:t>最大误差 (ppm)</w:t>
            </w:r>
          </w:p>
        </w:tc>
        <w:tc>
          <w:tcPr>
            <w:tcW w:type="dxa" w:w="1383"/>
            <w:shd w:val="clear" w:color="auto" w:fill="D9E2F3"/>
          </w:tcPr>
          <w:p>
            <w:pPr>
              <w:jc w:val="center"/>
            </w:pPr>
            <w:r>
              <w:rPr>
                <w:rFonts w:ascii="黑体" w:hAnsi="黑体" w:eastAsia="黑体"/>
                <w:b/>
                <w:sz w:val="20"/>
              </w:rPr>
              <w:t>MAPE (%)</w:t>
            </w:r>
          </w:p>
        </w:tc>
      </w:tr>
      <w:tr>
        <w:tc>
          <w:tcPr>
            <w:tcW w:type="dxa" w:w="1383"/>
          </w:tcPr>
          <w:p>
            <w:pPr>
              <w:jc w:val="center"/>
            </w:pPr>
            <w:r>
              <w:rPr>
                <w:rFonts w:ascii="Times New Roman" w:hAnsi="Times New Roman" w:eastAsia="宋体"/>
                <w:sz w:val="20"/>
              </w:rPr>
              <w:t>传统2f拟合法</w:t>
            </w:r>
          </w:p>
        </w:tc>
        <w:tc>
          <w:tcPr>
            <w:tcW w:type="dxa" w:w="1383"/>
          </w:tcPr>
          <w:p>
            <w:pPr>
              <w:jc w:val="center"/>
            </w:pPr>
            <w:r>
              <w:rPr>
                <w:rFonts w:ascii="Times New Roman" w:hAnsi="Times New Roman" w:eastAsia="宋体"/>
                <w:sz w:val="20"/>
              </w:rPr>
              <w:t>75.3</w:t>
            </w:r>
          </w:p>
        </w:tc>
        <w:tc>
          <w:tcPr>
            <w:tcW w:type="dxa" w:w="1383"/>
          </w:tcPr>
          <w:p>
            <w:pPr>
              <w:jc w:val="center"/>
            </w:pPr>
            <w:r>
              <w:rPr>
                <w:rFonts w:ascii="Times New Roman" w:hAnsi="Times New Roman" w:eastAsia="宋体"/>
                <w:sz w:val="20"/>
              </w:rPr>
              <w:t>98.6</w:t>
            </w:r>
          </w:p>
        </w:tc>
        <w:tc>
          <w:tcPr>
            <w:tcW w:type="dxa" w:w="1383"/>
          </w:tcPr>
          <w:p>
            <w:pPr>
              <w:jc w:val="center"/>
            </w:pPr>
            <w:r>
              <w:rPr>
                <w:rFonts w:ascii="Times New Roman" w:hAnsi="Times New Roman" w:eastAsia="宋体"/>
                <w:sz w:val="20"/>
              </w:rPr>
              <w:t>0.9753</w:t>
            </w:r>
          </w:p>
        </w:tc>
        <w:tc>
          <w:tcPr>
            <w:tcW w:type="dxa" w:w="1383"/>
          </w:tcPr>
          <w:p>
            <w:pPr>
              <w:jc w:val="center"/>
            </w:pPr>
            <w:r>
              <w:rPr>
                <w:rFonts w:ascii="Times New Roman" w:hAnsi="Times New Roman" w:eastAsia="宋体"/>
                <w:sz w:val="20"/>
              </w:rPr>
              <w:t>312.5</w:t>
            </w:r>
          </w:p>
        </w:tc>
        <w:tc>
          <w:tcPr>
            <w:tcW w:type="dxa" w:w="1383"/>
          </w:tcPr>
          <w:p>
            <w:pPr>
              <w:jc w:val="center"/>
            </w:pPr>
            <w:r>
              <w:rPr>
                <w:rFonts w:ascii="Times New Roman" w:hAnsi="Times New Roman" w:eastAsia="宋体"/>
                <w:sz w:val="20"/>
              </w:rPr>
              <w:t>12.45</w:t>
            </w:r>
          </w:p>
        </w:tc>
      </w:tr>
      <w:tr>
        <w:tc>
          <w:tcPr>
            <w:tcW w:type="dxa" w:w="1383"/>
          </w:tcPr>
          <w:p>
            <w:pPr>
              <w:jc w:val="center"/>
            </w:pPr>
            <w:r>
              <w:rPr>
                <w:rFonts w:ascii="Times New Roman" w:hAnsi="Times New Roman" w:eastAsia="宋体"/>
                <w:sz w:val="20"/>
              </w:rPr>
              <w:t>SVR回归</w:t>
            </w:r>
          </w:p>
        </w:tc>
        <w:tc>
          <w:tcPr>
            <w:tcW w:type="dxa" w:w="1383"/>
          </w:tcPr>
          <w:p>
            <w:pPr>
              <w:jc w:val="center"/>
            </w:pPr>
            <w:r>
              <w:rPr>
                <w:rFonts w:ascii="Times New Roman" w:hAnsi="Times New Roman" w:eastAsia="宋体"/>
                <w:sz w:val="20"/>
              </w:rPr>
              <w:t>42.1</w:t>
            </w:r>
          </w:p>
        </w:tc>
        <w:tc>
          <w:tcPr>
            <w:tcW w:type="dxa" w:w="1383"/>
          </w:tcPr>
          <w:p>
            <w:pPr>
              <w:jc w:val="center"/>
            </w:pPr>
            <w:r>
              <w:rPr>
                <w:rFonts w:ascii="Times New Roman" w:hAnsi="Times New Roman" w:eastAsia="宋体"/>
                <w:sz w:val="20"/>
              </w:rPr>
              <w:t>56.8</w:t>
            </w:r>
          </w:p>
        </w:tc>
        <w:tc>
          <w:tcPr>
            <w:tcW w:type="dxa" w:w="1383"/>
          </w:tcPr>
          <w:p>
            <w:pPr>
              <w:jc w:val="center"/>
            </w:pPr>
            <w:r>
              <w:rPr>
                <w:rFonts w:ascii="Times New Roman" w:hAnsi="Times New Roman" w:eastAsia="宋体"/>
                <w:sz w:val="20"/>
              </w:rPr>
              <w:t>0.9881</w:t>
            </w:r>
          </w:p>
        </w:tc>
        <w:tc>
          <w:tcPr>
            <w:tcW w:type="dxa" w:w="1383"/>
          </w:tcPr>
          <w:p>
            <w:pPr>
              <w:jc w:val="center"/>
            </w:pPr>
            <w:r>
              <w:rPr>
                <w:rFonts w:ascii="Times New Roman" w:hAnsi="Times New Roman" w:eastAsia="宋体"/>
                <w:sz w:val="20"/>
              </w:rPr>
              <w:t>198.7</w:t>
            </w:r>
          </w:p>
        </w:tc>
        <w:tc>
          <w:tcPr>
            <w:tcW w:type="dxa" w:w="1383"/>
          </w:tcPr>
          <w:p>
            <w:pPr>
              <w:jc w:val="center"/>
            </w:pPr>
            <w:r>
              <w:rPr>
                <w:rFonts w:ascii="Times New Roman" w:hAnsi="Times New Roman" w:eastAsia="宋体"/>
                <w:sz w:val="20"/>
              </w:rPr>
              <w:t>7.82</w:t>
            </w:r>
          </w:p>
        </w:tc>
      </w:tr>
      <w:tr>
        <w:tc>
          <w:tcPr>
            <w:tcW w:type="dxa" w:w="1383"/>
          </w:tcPr>
          <w:p>
            <w:pPr>
              <w:jc w:val="center"/>
            </w:pPr>
            <w:r>
              <w:rPr>
                <w:rFonts w:ascii="Times New Roman" w:hAnsi="Times New Roman" w:eastAsia="宋体"/>
                <w:sz w:val="20"/>
              </w:rPr>
              <w:t>MLP神经网络</w:t>
            </w:r>
          </w:p>
        </w:tc>
        <w:tc>
          <w:tcPr>
            <w:tcW w:type="dxa" w:w="1383"/>
          </w:tcPr>
          <w:p>
            <w:pPr>
              <w:jc w:val="center"/>
            </w:pPr>
            <w:r>
              <w:rPr>
                <w:rFonts w:ascii="Times New Roman" w:hAnsi="Times New Roman" w:eastAsia="宋体"/>
                <w:sz w:val="20"/>
              </w:rPr>
              <w:t>28.5</w:t>
            </w:r>
          </w:p>
        </w:tc>
        <w:tc>
          <w:tcPr>
            <w:tcW w:type="dxa" w:w="1383"/>
          </w:tcPr>
          <w:p>
            <w:pPr>
              <w:jc w:val="center"/>
            </w:pPr>
            <w:r>
              <w:rPr>
                <w:rFonts w:ascii="Times New Roman" w:hAnsi="Times New Roman" w:eastAsia="宋体"/>
                <w:sz w:val="20"/>
              </w:rPr>
              <w:t>38.2</w:t>
            </w:r>
          </w:p>
        </w:tc>
        <w:tc>
          <w:tcPr>
            <w:tcW w:type="dxa" w:w="1383"/>
          </w:tcPr>
          <w:p>
            <w:pPr>
              <w:jc w:val="center"/>
            </w:pPr>
            <w:r>
              <w:rPr>
                <w:rFonts w:ascii="Times New Roman" w:hAnsi="Times New Roman" w:eastAsia="宋体"/>
                <w:sz w:val="20"/>
              </w:rPr>
              <w:t>0.9934</w:t>
            </w:r>
          </w:p>
        </w:tc>
        <w:tc>
          <w:tcPr>
            <w:tcW w:type="dxa" w:w="1383"/>
          </w:tcPr>
          <w:p>
            <w:pPr>
              <w:jc w:val="center"/>
            </w:pPr>
            <w:r>
              <w:rPr>
                <w:rFonts w:ascii="Times New Roman" w:hAnsi="Times New Roman" w:eastAsia="宋体"/>
                <w:sz w:val="20"/>
              </w:rPr>
              <w:t>145.3</w:t>
            </w:r>
          </w:p>
        </w:tc>
        <w:tc>
          <w:tcPr>
            <w:tcW w:type="dxa" w:w="1383"/>
          </w:tcPr>
          <w:p>
            <w:pPr>
              <w:jc w:val="center"/>
            </w:pPr>
            <w:r>
              <w:rPr>
                <w:rFonts w:ascii="Times New Roman" w:hAnsi="Times New Roman" w:eastAsia="宋体"/>
                <w:sz w:val="20"/>
              </w:rPr>
              <w:t>5.21</w:t>
            </w:r>
          </w:p>
        </w:tc>
      </w:tr>
      <w:tr>
        <w:tc>
          <w:tcPr>
            <w:tcW w:type="dxa" w:w="1383"/>
          </w:tcPr>
          <w:p>
            <w:pPr>
              <w:jc w:val="center"/>
            </w:pPr>
            <w:r>
              <w:rPr>
                <w:rFonts w:ascii="Times New Roman" w:hAnsi="Times New Roman" w:eastAsia="宋体"/>
                <w:sz w:val="20"/>
              </w:rPr>
              <w:t>1D-CNN（本文）</w:t>
            </w:r>
          </w:p>
        </w:tc>
        <w:tc>
          <w:tcPr>
            <w:tcW w:type="dxa" w:w="1383"/>
          </w:tcPr>
          <w:p>
            <w:pPr>
              <w:jc w:val="center"/>
            </w:pPr>
            <w:r>
              <w:rPr>
                <w:rFonts w:ascii="Times New Roman" w:hAnsi="Times New Roman" w:eastAsia="宋体"/>
                <w:sz w:val="20"/>
              </w:rPr>
              <w:t>2.7</w:t>
            </w:r>
          </w:p>
        </w:tc>
        <w:tc>
          <w:tcPr>
            <w:tcW w:type="dxa" w:w="1383"/>
          </w:tcPr>
          <w:p>
            <w:pPr>
              <w:jc w:val="center"/>
            </w:pPr>
            <w:r>
              <w:rPr>
                <w:rFonts w:ascii="Times New Roman" w:hAnsi="Times New Roman" w:eastAsia="宋体"/>
                <w:sz w:val="20"/>
              </w:rPr>
              <w:t>4.1</w:t>
            </w:r>
          </w:p>
        </w:tc>
        <w:tc>
          <w:tcPr>
            <w:tcW w:type="dxa" w:w="1383"/>
          </w:tcPr>
          <w:p>
            <w:pPr>
              <w:jc w:val="center"/>
            </w:pPr>
            <w:r>
              <w:rPr>
                <w:rFonts w:ascii="Times New Roman" w:hAnsi="Times New Roman" w:eastAsia="宋体"/>
                <w:sz w:val="20"/>
              </w:rPr>
              <w:t>0.9997</w:t>
            </w:r>
          </w:p>
        </w:tc>
        <w:tc>
          <w:tcPr>
            <w:tcW w:type="dxa" w:w="1383"/>
          </w:tcPr>
          <w:p>
            <w:pPr>
              <w:jc w:val="center"/>
            </w:pPr>
            <w:r>
              <w:rPr>
                <w:rFonts w:ascii="Times New Roman" w:hAnsi="Times New Roman" w:eastAsia="宋体"/>
                <w:sz w:val="20"/>
              </w:rPr>
              <w:t>18.6</w:t>
            </w:r>
          </w:p>
        </w:tc>
        <w:tc>
          <w:tcPr>
            <w:tcW w:type="dxa" w:w="1383"/>
          </w:tcPr>
          <w:p>
            <w:pPr>
              <w:jc w:val="center"/>
            </w:pPr>
            <w:r>
              <w:rPr>
                <w:rFonts w:ascii="Times New Roman" w:hAnsi="Times New Roman" w:eastAsia="宋体"/>
                <w:sz w:val="20"/>
              </w:rPr>
              <w:t>0.48</w:t>
            </w:r>
          </w:p>
        </w:tc>
      </w:tr>
    </w:tbl>
    <w:p/>
    <w:p>
      <w:pPr>
        <w:spacing w:after="120" w:before="0"/>
        <w:ind w:firstLine="420"/>
      </w:pPr>
      <w:r>
        <w:rPr>
          <w:rFonts w:ascii="宋体" w:hAnsi="宋体" w:eastAsia="宋体"/>
          <w:b w:val="0"/>
          <w:sz w:val="24"/>
        </w:rPr>
        <w:t>如表4所示，本文提出的1D-CNN模型在所有评价指标上均显著优于其他方法。与传统2f拟合法相比，MAE降低了96.4%；与MLP相比，MAE降低了90.5%，同时参数量减少了约96%。</w:t>
      </w:r>
    </w:p>
    <w:p>
      <w:pPr>
        <w:spacing w:before="240" w:after="120"/>
        <w:jc w:val="left"/>
      </w:pPr>
      <w:r>
        <w:rPr>
          <w:rFonts w:ascii="黑体" w:hAnsi="黑体" w:eastAsia="黑体"/>
          <w:b/>
          <w:sz w:val="28"/>
        </w:rPr>
        <w:t>5.2 检测限分析</w:t>
      </w:r>
    </w:p>
    <w:p>
      <w:pPr>
        <w:spacing w:after="120" w:before="0"/>
        <w:ind w:firstLine="420"/>
      </w:pPr>
      <w:r>
        <w:rPr>
          <w:rFonts w:ascii="宋体" w:hAnsi="宋体" w:eastAsia="宋体"/>
          <w:b w:val="0"/>
          <w:sz w:val="24"/>
        </w:rPr>
        <w:t>检测限（LOD）和定量限（LOQ）是评价分析系统灵敏度的重要指标。本文通过对空白样品（0 ppm）进行30次重复测量，计算基线噪声标准差σ，并根据以下公式确定LOD和LOQ：</w:t>
      </w:r>
    </w:p>
    <w:p>
      <w:pPr>
        <w:spacing w:after="120" w:before="0"/>
        <w:jc w:val="center"/>
      </w:pPr>
      <w:r>
        <w:rPr>
          <w:rFonts w:ascii="Times New Roman" w:hAnsi="Times New Roman" w:eastAsia="Times New Roman"/>
          <w:b w:val="0"/>
          <w:sz w:val="22"/>
        </w:rPr>
        <w:t>LOD = 3σ/S = 3×0.0057/0.0018 = 9.5 ppm</w:t>
      </w:r>
    </w:p>
    <w:p>
      <w:pPr>
        <w:spacing w:after="120" w:before="0"/>
        <w:jc w:val="center"/>
      </w:pPr>
      <w:r>
        <w:rPr>
          <w:rFonts w:ascii="Times New Roman" w:hAnsi="Times New Roman" w:eastAsia="Times New Roman"/>
          <w:b w:val="0"/>
          <w:sz w:val="22"/>
        </w:rPr>
        <w:t>LOQ = 10σ/S = 10×0.0057/0.0018 = 31.7 ppm</w:t>
      </w:r>
    </w:p>
    <w:p>
      <w:pPr>
        <w:spacing w:after="120" w:before="0"/>
        <w:ind w:firstLine="420"/>
      </w:pPr>
      <w:r>
        <w:rPr>
          <w:rFonts w:ascii="宋体" w:hAnsi="宋体" w:eastAsia="宋体"/>
          <w:b w:val="0"/>
          <w:sz w:val="24"/>
        </w:rPr>
        <w:t>其中，S为灵敏度（0.0018 a.u./ppm）。图6展示了低浓度区间（0-200 ppm）的信号响应曲线，在LOD以上浓度区间，信号与浓度呈现良好的线性关系（R²=0.9994）。</w:t>
      </w:r>
    </w:p>
    <w:p>
      <w:pPr>
        <w:spacing w:before="240" w:after="120"/>
        <w:jc w:val="left"/>
      </w:pPr>
      <w:r>
        <w:rPr>
          <w:rFonts w:ascii="黑体" w:hAnsi="黑体" w:eastAsia="黑体"/>
          <w:b/>
          <w:sz w:val="28"/>
        </w:rPr>
        <w:t>5.3 响应时间测试</w:t>
      </w:r>
    </w:p>
    <w:p>
      <w:pPr>
        <w:spacing w:after="120" w:before="0"/>
        <w:ind w:firstLine="420"/>
      </w:pPr>
      <w:r>
        <w:rPr>
          <w:rFonts w:ascii="宋体" w:hAnsi="宋体" w:eastAsia="宋体"/>
          <w:b w:val="0"/>
          <w:sz w:val="24"/>
        </w:rPr>
        <w:t>响应时间是评价检测系统实时性的关键指标。本文通过浓度阶跃变化实验（0→1000 ppm→0）测试系统的响应特性。</w:t>
      </w:r>
    </w:p>
    <w:p>
      <w:pPr>
        <w:spacing w:after="120" w:before="0"/>
        <w:ind w:firstLine="420"/>
      </w:pPr>
      <w:r>
        <w:rPr>
          <w:rFonts w:ascii="宋体" w:hAnsi="宋体" w:eastAsia="宋体"/>
          <w:b w:val="0"/>
          <w:sz w:val="24"/>
        </w:rPr>
        <w:t>如图7所示，系统对浓度阶跃上升的T90响应时间为320 ms，对浓度阶跃下降的T90恢复时间为330 ms。系统的等效时间常数为150 ms，对应信号带宽约1.1 Hz。这一响应速度远优于电化学传感器（T90通常&gt;30 s），能够满足阴燃火灾早期预警的实时性要求。</w:t>
      </w:r>
    </w:p>
    <w:p>
      <w:pPr>
        <w:spacing w:before="240" w:after="120"/>
        <w:jc w:val="left"/>
      </w:pPr>
      <w:r>
        <w:rPr>
          <w:rFonts w:ascii="黑体" w:hAnsi="黑体" w:eastAsia="黑体"/>
          <w:b/>
          <w:sz w:val="28"/>
        </w:rPr>
        <w:t>5.4 重复性与精密度</w:t>
      </w:r>
    </w:p>
    <w:p>
      <w:pPr>
        <w:spacing w:after="120" w:before="0"/>
        <w:ind w:firstLine="420"/>
      </w:pPr>
      <w:r>
        <w:rPr>
          <w:rFonts w:ascii="宋体" w:hAnsi="宋体" w:eastAsia="宋体"/>
          <w:b w:val="0"/>
          <w:sz w:val="24"/>
        </w:rPr>
        <w:t>对4种标准浓度（100、500、1000、3000 ppm）各进行50次重复测量，结果如表5所示。</w:t>
      </w:r>
    </w:p>
    <w:p>
      <w:pPr>
        <w:spacing w:after="120" w:before="0"/>
        <w:jc w:val="center"/>
      </w:pPr>
      <w:r>
        <w:rPr>
          <w:rFonts w:ascii="宋体" w:hAnsi="宋体" w:eastAsia="宋体"/>
          <w:b/>
          <w:sz w:val="20"/>
        </w:rPr>
        <w:t>表5 重复性测试结果</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val="clear" w:color="auto" w:fill="D9E2F3"/>
          </w:tcPr>
          <w:p>
            <w:pPr>
              <w:jc w:val="center"/>
            </w:pPr>
            <w:r>
              <w:rPr>
                <w:rFonts w:ascii="黑体" w:hAnsi="黑体" w:eastAsia="黑体"/>
                <w:b/>
                <w:sz w:val="20"/>
              </w:rPr>
              <w:t>标准浓度 (ppm)</w:t>
            </w:r>
          </w:p>
        </w:tc>
        <w:tc>
          <w:tcPr>
            <w:tcW w:type="dxa" w:w="2075"/>
            <w:shd w:val="clear" w:color="auto" w:fill="D9E2F3"/>
          </w:tcPr>
          <w:p>
            <w:pPr>
              <w:jc w:val="center"/>
            </w:pPr>
            <w:r>
              <w:rPr>
                <w:rFonts w:ascii="黑体" w:hAnsi="黑体" w:eastAsia="黑体"/>
                <w:b/>
                <w:sz w:val="20"/>
              </w:rPr>
              <w:t>测量均值 (ppm)</w:t>
            </w:r>
          </w:p>
        </w:tc>
        <w:tc>
          <w:tcPr>
            <w:tcW w:type="dxa" w:w="2075"/>
            <w:shd w:val="clear" w:color="auto" w:fill="D9E2F3"/>
          </w:tcPr>
          <w:p>
            <w:pPr>
              <w:jc w:val="center"/>
            </w:pPr>
            <w:r>
              <w:rPr>
                <w:rFonts w:ascii="黑体" w:hAnsi="黑体" w:eastAsia="黑体"/>
                <w:b/>
                <w:sz w:val="20"/>
              </w:rPr>
              <w:t>标准偏差 (ppm)</w:t>
            </w:r>
          </w:p>
        </w:tc>
        <w:tc>
          <w:tcPr>
            <w:tcW w:type="dxa" w:w="2075"/>
            <w:shd w:val="clear" w:color="auto" w:fill="D9E2F3"/>
          </w:tcPr>
          <w:p>
            <w:pPr>
              <w:jc w:val="center"/>
            </w:pPr>
            <w:r>
              <w:rPr>
                <w:rFonts w:ascii="黑体" w:hAnsi="黑体" w:eastAsia="黑体"/>
                <w:b/>
                <w:sz w:val="20"/>
              </w:rPr>
              <w:t>RSD (%)</w:t>
            </w:r>
          </w:p>
        </w:tc>
      </w:tr>
      <w:tr>
        <w:tc>
          <w:tcPr>
            <w:tcW w:type="dxa" w:w="2075"/>
          </w:tcPr>
          <w:p>
            <w:pPr>
              <w:jc w:val="center"/>
            </w:pPr>
            <w:r>
              <w:rPr>
                <w:rFonts w:ascii="Times New Roman" w:hAnsi="Times New Roman" w:eastAsia="宋体"/>
                <w:sz w:val="20"/>
              </w:rPr>
              <w:t>100</w:t>
            </w:r>
          </w:p>
        </w:tc>
        <w:tc>
          <w:tcPr>
            <w:tcW w:type="dxa" w:w="2075"/>
          </w:tcPr>
          <w:p>
            <w:pPr>
              <w:jc w:val="center"/>
            </w:pPr>
            <w:r>
              <w:rPr>
                <w:rFonts w:ascii="Times New Roman" w:hAnsi="Times New Roman" w:eastAsia="宋体"/>
                <w:sz w:val="20"/>
              </w:rPr>
              <w:t>100.3</w:t>
            </w:r>
          </w:p>
        </w:tc>
        <w:tc>
          <w:tcPr>
            <w:tcW w:type="dxa" w:w="2075"/>
          </w:tcPr>
          <w:p>
            <w:pPr>
              <w:jc w:val="center"/>
            </w:pPr>
            <w:r>
              <w:rPr>
                <w:rFonts w:ascii="Times New Roman" w:hAnsi="Times New Roman" w:eastAsia="宋体"/>
                <w:sz w:val="20"/>
              </w:rPr>
              <w:t>3.8</w:t>
            </w:r>
          </w:p>
        </w:tc>
        <w:tc>
          <w:tcPr>
            <w:tcW w:type="dxa" w:w="2075"/>
          </w:tcPr>
          <w:p>
            <w:pPr>
              <w:jc w:val="center"/>
            </w:pPr>
            <w:r>
              <w:rPr>
                <w:rFonts w:ascii="Times New Roman" w:hAnsi="Times New Roman" w:eastAsia="宋体"/>
                <w:sz w:val="20"/>
              </w:rPr>
              <w:t>3.79</w:t>
            </w:r>
          </w:p>
        </w:tc>
      </w:tr>
      <w:tr>
        <w:tc>
          <w:tcPr>
            <w:tcW w:type="dxa" w:w="2075"/>
          </w:tcPr>
          <w:p>
            <w:pPr>
              <w:jc w:val="center"/>
            </w:pPr>
            <w:r>
              <w:rPr>
                <w:rFonts w:ascii="Times New Roman" w:hAnsi="Times New Roman" w:eastAsia="宋体"/>
                <w:sz w:val="20"/>
              </w:rPr>
              <w:t>500</w:t>
            </w:r>
          </w:p>
        </w:tc>
        <w:tc>
          <w:tcPr>
            <w:tcW w:type="dxa" w:w="2075"/>
          </w:tcPr>
          <w:p>
            <w:pPr>
              <w:jc w:val="center"/>
            </w:pPr>
            <w:r>
              <w:rPr>
                <w:rFonts w:ascii="Times New Roman" w:hAnsi="Times New Roman" w:eastAsia="宋体"/>
                <w:sz w:val="20"/>
              </w:rPr>
              <w:t>501.2</w:t>
            </w:r>
          </w:p>
        </w:tc>
        <w:tc>
          <w:tcPr>
            <w:tcW w:type="dxa" w:w="2075"/>
          </w:tcPr>
          <w:p>
            <w:pPr>
              <w:jc w:val="center"/>
            </w:pPr>
            <w:r>
              <w:rPr>
                <w:rFonts w:ascii="Times New Roman" w:hAnsi="Times New Roman" w:eastAsia="宋体"/>
                <w:sz w:val="20"/>
              </w:rPr>
              <w:t>12.5</w:t>
            </w:r>
          </w:p>
        </w:tc>
        <w:tc>
          <w:tcPr>
            <w:tcW w:type="dxa" w:w="2075"/>
          </w:tcPr>
          <w:p>
            <w:pPr>
              <w:jc w:val="center"/>
            </w:pPr>
            <w:r>
              <w:rPr>
                <w:rFonts w:ascii="Times New Roman" w:hAnsi="Times New Roman" w:eastAsia="宋体"/>
                <w:sz w:val="20"/>
              </w:rPr>
              <w:t>2.49</w:t>
            </w:r>
          </w:p>
        </w:tc>
      </w:tr>
      <w:tr>
        <w:tc>
          <w:tcPr>
            <w:tcW w:type="dxa" w:w="2075"/>
          </w:tcPr>
          <w:p>
            <w:pPr>
              <w:jc w:val="center"/>
            </w:pPr>
            <w:r>
              <w:rPr>
                <w:rFonts w:ascii="Times New Roman" w:hAnsi="Times New Roman" w:eastAsia="宋体"/>
                <w:sz w:val="20"/>
              </w:rPr>
              <w:t>1000</w:t>
            </w:r>
          </w:p>
        </w:tc>
        <w:tc>
          <w:tcPr>
            <w:tcW w:type="dxa" w:w="2075"/>
          </w:tcPr>
          <w:p>
            <w:pPr>
              <w:jc w:val="center"/>
            </w:pPr>
            <w:r>
              <w:rPr>
                <w:rFonts w:ascii="Times New Roman" w:hAnsi="Times New Roman" w:eastAsia="宋体"/>
                <w:sz w:val="20"/>
              </w:rPr>
              <w:t>999.8</w:t>
            </w:r>
          </w:p>
        </w:tc>
        <w:tc>
          <w:tcPr>
            <w:tcW w:type="dxa" w:w="2075"/>
          </w:tcPr>
          <w:p>
            <w:pPr>
              <w:jc w:val="center"/>
            </w:pPr>
            <w:r>
              <w:rPr>
                <w:rFonts w:ascii="Times New Roman" w:hAnsi="Times New Roman" w:eastAsia="宋体"/>
                <w:sz w:val="20"/>
              </w:rPr>
              <w:t>18.6</w:t>
            </w:r>
          </w:p>
        </w:tc>
        <w:tc>
          <w:tcPr>
            <w:tcW w:type="dxa" w:w="2075"/>
          </w:tcPr>
          <w:p>
            <w:pPr>
              <w:jc w:val="center"/>
            </w:pPr>
            <w:r>
              <w:rPr>
                <w:rFonts w:ascii="Times New Roman" w:hAnsi="Times New Roman" w:eastAsia="宋体"/>
                <w:sz w:val="20"/>
              </w:rPr>
              <w:t>1.86</w:t>
            </w:r>
          </w:p>
        </w:tc>
      </w:tr>
      <w:tr>
        <w:tc>
          <w:tcPr>
            <w:tcW w:type="dxa" w:w="2075"/>
          </w:tcPr>
          <w:p>
            <w:pPr>
              <w:jc w:val="center"/>
            </w:pPr>
            <w:r>
              <w:rPr>
                <w:rFonts w:ascii="Times New Roman" w:hAnsi="Times New Roman" w:eastAsia="宋体"/>
                <w:sz w:val="20"/>
              </w:rPr>
              <w:t>3000</w:t>
            </w:r>
          </w:p>
        </w:tc>
        <w:tc>
          <w:tcPr>
            <w:tcW w:type="dxa" w:w="2075"/>
          </w:tcPr>
          <w:p>
            <w:pPr>
              <w:jc w:val="center"/>
            </w:pPr>
            <w:r>
              <w:rPr>
                <w:rFonts w:ascii="Times New Roman" w:hAnsi="Times New Roman" w:eastAsia="宋体"/>
                <w:sz w:val="20"/>
              </w:rPr>
              <w:t>3002.1</w:t>
            </w:r>
          </w:p>
        </w:tc>
        <w:tc>
          <w:tcPr>
            <w:tcW w:type="dxa" w:w="2075"/>
          </w:tcPr>
          <w:p>
            <w:pPr>
              <w:jc w:val="center"/>
            </w:pPr>
            <w:r>
              <w:rPr>
                <w:rFonts w:ascii="Times New Roman" w:hAnsi="Times New Roman" w:eastAsia="宋体"/>
                <w:sz w:val="20"/>
              </w:rPr>
              <w:t>42.3</w:t>
            </w:r>
          </w:p>
        </w:tc>
        <w:tc>
          <w:tcPr>
            <w:tcW w:type="dxa" w:w="2075"/>
          </w:tcPr>
          <w:p>
            <w:pPr>
              <w:jc w:val="center"/>
            </w:pPr>
            <w:r>
              <w:rPr>
                <w:rFonts w:ascii="Times New Roman" w:hAnsi="Times New Roman" w:eastAsia="宋体"/>
                <w:sz w:val="20"/>
              </w:rPr>
              <w:t>1.41</w:t>
            </w:r>
          </w:p>
        </w:tc>
      </w:tr>
    </w:tbl>
    <w:p/>
    <w:p>
      <w:pPr>
        <w:spacing w:after="120" w:before="0"/>
        <w:ind w:firstLine="420"/>
      </w:pPr>
      <w:r>
        <w:rPr>
          <w:rFonts w:ascii="宋体" w:hAnsi="宋体" w:eastAsia="宋体"/>
          <w:b w:val="0"/>
          <w:sz w:val="24"/>
        </w:rPr>
        <w:t>所有浓度点的RSD均&lt;4%，表明系统具有良好的测量精密度。低浓度点的RSD较大，主要受信噪比限制。</w:t>
      </w:r>
    </w:p>
    <w:p>
      <w:pPr>
        <w:spacing w:before="240" w:after="120"/>
        <w:jc w:val="left"/>
      </w:pPr>
      <w:r>
        <w:rPr>
          <w:rFonts w:ascii="黑体" w:hAnsi="黑体" w:eastAsia="黑体"/>
          <w:b/>
          <w:sz w:val="28"/>
        </w:rPr>
        <w:t>5.5 温度与压力影响</w:t>
      </w:r>
    </w:p>
    <w:p>
      <w:pPr>
        <w:spacing w:after="120" w:before="0"/>
        <w:ind w:firstLine="420"/>
      </w:pPr>
      <w:r>
        <w:rPr>
          <w:rFonts w:ascii="宋体" w:hAnsi="宋体" w:eastAsia="宋体"/>
          <w:b w:val="0"/>
          <w:sz w:val="24"/>
        </w:rPr>
        <w:t>环境温度和气压是影响TDLAS测量精度的主要因素。本文分别测试了温度（10-50°C）和压力（0.8-1.2 atm）对1000 ppm标准气体测量结果的影响。</w:t>
      </w:r>
    </w:p>
    <w:p>
      <w:pPr>
        <w:spacing w:after="120" w:before="0"/>
        <w:ind w:firstLine="420"/>
      </w:pPr>
      <w:r>
        <w:rPr>
          <w:rFonts w:ascii="宋体" w:hAnsi="宋体" w:eastAsia="宋体"/>
          <w:b w:val="0"/>
          <w:sz w:val="24"/>
        </w:rPr>
        <w:t>如图8所示，在温度偏离参考温度（25°C）时，测量误差呈非线性增长。温度每变化10°C，测量偏差约为±15 ppm。实际应用中，可通过内置温度传感器进行软件补偿，将温度影响降低至±3 ppm以内。</w:t>
      </w:r>
    </w:p>
    <w:p>
      <w:pPr>
        <w:spacing w:after="120" w:before="0"/>
        <w:ind w:firstLine="420"/>
      </w:pPr>
      <w:r>
        <w:rPr>
          <w:rFonts w:ascii="宋体" w:hAnsi="宋体" w:eastAsia="宋体"/>
          <w:b w:val="0"/>
          <w:sz w:val="24"/>
        </w:rPr>
        <w:t>如图9所示，压力对测量结果的影响更为显著。由于吸收线强度与气压成正比，气压偏离1 atm每0.1 atm将引入约80 ppm的偏差。因此，在开放环境中使用时，需要集成气压传感器进行实时补偿。</w:t>
      </w:r>
    </w:p>
    <w:p>
      <w:pPr>
        <w:spacing w:before="240" w:after="120"/>
        <w:jc w:val="left"/>
      </w:pPr>
      <w:r>
        <w:rPr>
          <w:rFonts w:ascii="黑体" w:hAnsi="黑体" w:eastAsia="黑体"/>
          <w:b/>
          <w:sz w:val="28"/>
        </w:rPr>
        <w:t>5.6 长时间稳定性</w:t>
      </w:r>
    </w:p>
    <w:p>
      <w:pPr>
        <w:spacing w:after="120" w:before="0"/>
        <w:ind w:firstLine="420"/>
      </w:pPr>
      <w:r>
        <w:rPr>
          <w:rFonts w:ascii="宋体" w:hAnsi="宋体" w:eastAsia="宋体"/>
          <w:b w:val="0"/>
          <w:sz w:val="24"/>
        </w:rPr>
        <w:t>对500 ppm标准气体进行24小时连续监测，结果如图10所示。24小时内测量值的均值为500.3 ppm，标准偏差为5.2 ppm，RSD为1.04%，最大偏差为21.2 ppm。测量值的漂移主要来源于环境温度的日变化和激光器的缓慢老化效应。</w:t>
      </w:r>
    </w:p>
    <w:p>
      <w:pPr>
        <w:spacing w:before="240" w:after="120"/>
        <w:jc w:val="left"/>
      </w:pPr>
      <w:r>
        <w:rPr>
          <w:rFonts w:ascii="黑体" w:hAnsi="黑体" w:eastAsia="黑体"/>
          <w:b/>
          <w:sz w:val="28"/>
        </w:rPr>
        <w:t>5.7 阴燃场景模拟</w:t>
      </w:r>
    </w:p>
    <w:p>
      <w:pPr>
        <w:spacing w:after="120" w:before="0"/>
        <w:ind w:firstLine="420"/>
      </w:pPr>
      <w:r>
        <w:rPr>
          <w:rFonts w:ascii="宋体" w:hAnsi="宋体" w:eastAsia="宋体"/>
          <w:b w:val="0"/>
          <w:sz w:val="24"/>
        </w:rPr>
        <w:t>为验证系统在实际应用场景中的适用性，本文模拟了阴燃火灾过程中CO浓度的动态变化。如图11所示，模拟过程包含5个阶段：缓慢上升（0-5 min）、快速上升（5-15 min）、平台期（15-20 min）、下降（20-25 min）和恢复（25-30 min）。</w:t>
      </w:r>
    </w:p>
    <w:p>
      <w:pPr>
        <w:spacing w:after="120" w:before="0"/>
        <w:ind w:firstLine="420"/>
      </w:pPr>
      <w:r>
        <w:rPr>
          <w:rFonts w:ascii="宋体" w:hAnsi="宋体" w:eastAsia="宋体"/>
          <w:b w:val="0"/>
          <w:sz w:val="24"/>
        </w:rPr>
        <w:t>系统能够准确跟踪浓度的快速变化，在1000 ppm阶跃处的超调量&lt;5%，稳态误差&lt;10 ppm。在浓度快速上升阶段（5-15 min），系统的跟踪延迟约为300 ms，不影响火灾预警的及时性。</w:t>
      </w:r>
    </w:p>
    <w:p>
      <w:pPr>
        <w:spacing w:before="240" w:after="120"/>
        <w:jc w:val="left"/>
      </w:pPr>
      <w:r>
        <w:rPr>
          <w:rFonts w:ascii="黑体" w:hAnsi="黑体" w:eastAsia="黑体"/>
          <w:b/>
          <w:sz w:val="32"/>
        </w:rPr>
        <w:t>6 讨论</w:t>
      </w:r>
    </w:p>
    <w:p>
      <w:pPr>
        <w:spacing w:before="240" w:after="120"/>
        <w:jc w:val="left"/>
      </w:pPr>
      <w:r>
        <w:rPr>
          <w:rFonts w:ascii="黑体" w:hAnsi="黑体" w:eastAsia="黑体"/>
          <w:b/>
          <w:sz w:val="28"/>
        </w:rPr>
        <w:t>6.1 模型轻量化分析</w:t>
      </w:r>
    </w:p>
    <w:p>
      <w:pPr>
        <w:spacing w:after="120" w:before="0"/>
        <w:ind w:firstLine="420"/>
      </w:pPr>
      <w:r>
        <w:rPr>
          <w:rFonts w:ascii="宋体" w:hAnsi="宋体" w:eastAsia="宋体"/>
          <w:b w:val="0"/>
          <w:sz w:val="24"/>
        </w:rPr>
        <w:t>本文提出的TinyTDLASNet模型仅有2833个参数，模型文件大小为19.5 KB，远小于典型的深度学习模型。这使得模型能够在资源受限的STM32F407微控制器上高效运行，推理时间仅为2.3 ms。</w:t>
      </w:r>
    </w:p>
    <w:p>
      <w:pPr>
        <w:spacing w:after="120" w:before="0"/>
        <w:ind w:firstLine="420"/>
      </w:pPr>
      <w:r>
        <w:rPr>
          <w:rFonts w:ascii="宋体" w:hAnsi="宋体" w:eastAsia="宋体"/>
          <w:b w:val="0"/>
          <w:sz w:val="24"/>
        </w:rPr>
        <w:t>与传统的模拟锁相放大器方案相比，基于1D-CNN的软件解调方案具有以下优势：（1）无需昂贵的专用硬件，降低了系统成本；（2）通过端到端学习，避免了传统方法中信号峰谷值提取的困难；（3）对噪声和基线漂移具有更强的鲁棒性。</w:t>
      </w:r>
    </w:p>
    <w:p>
      <w:pPr>
        <w:spacing w:before="240" w:after="120"/>
        <w:jc w:val="left"/>
      </w:pPr>
      <w:r>
        <w:rPr>
          <w:rFonts w:ascii="黑体" w:hAnsi="黑体" w:eastAsia="黑体"/>
          <w:b/>
          <w:sz w:val="28"/>
        </w:rPr>
        <w:t>6.2 与现有工作的对比</w:t>
      </w:r>
    </w:p>
    <w:p>
      <w:pPr>
        <w:spacing w:after="120" w:before="0"/>
        <w:ind w:firstLine="420"/>
      </w:pPr>
      <w:r>
        <w:rPr>
          <w:rFonts w:ascii="宋体" w:hAnsi="宋体" w:eastAsia="宋体"/>
          <w:b w:val="0"/>
          <w:sz w:val="24"/>
        </w:rPr>
        <w:t>表6对比了本文系统与近年来报道的TDLAS-CO检测系统的性能。</w:t>
      </w:r>
    </w:p>
    <w:p>
      <w:pPr>
        <w:spacing w:after="120" w:before="0"/>
        <w:jc w:val="center"/>
      </w:pPr>
      <w:r>
        <w:rPr>
          <w:rFonts w:ascii="宋体" w:hAnsi="宋体" w:eastAsia="宋体"/>
          <w:b/>
          <w:sz w:val="20"/>
        </w:rPr>
        <w:t>表6 与现有TDLAS-CO检测系统的对比</w:t>
      </w:r>
    </w:p>
    <w:tbl>
      <w:tblPr>
        <w:tblStyle w:val="TableGrid"/>
        <w:tblW w:type="auto" w:w="0"/>
        <w:jc w:val="center"/>
        <w:tblLook w:firstColumn="1" w:firstRow="1" w:lastColumn="0" w:lastRow="0" w:noHBand="0" w:noVBand="1" w:val="04A0"/>
      </w:tblPr>
      <w:tblGrid>
        <w:gridCol w:w="1383"/>
        <w:gridCol w:w="1383"/>
        <w:gridCol w:w="1383"/>
        <w:gridCol w:w="1383"/>
        <w:gridCol w:w="1383"/>
        <w:gridCol w:w="1383"/>
      </w:tblGrid>
      <w:tr>
        <w:tc>
          <w:tcPr>
            <w:tcW w:type="dxa" w:w="1383"/>
            <w:shd w:val="clear" w:color="auto" w:fill="D9E2F3"/>
          </w:tcPr>
          <w:p>
            <w:pPr>
              <w:jc w:val="center"/>
            </w:pPr>
            <w:r>
              <w:rPr>
                <w:rFonts w:ascii="黑体" w:hAnsi="黑体" w:eastAsia="黑体"/>
                <w:b/>
                <w:sz w:val="20"/>
              </w:rPr>
              <w:t>参考文献</w:t>
            </w:r>
          </w:p>
        </w:tc>
        <w:tc>
          <w:tcPr>
            <w:tcW w:type="dxa" w:w="1383"/>
            <w:shd w:val="clear" w:color="auto" w:fill="D9E2F3"/>
          </w:tcPr>
          <w:p>
            <w:pPr>
              <w:jc w:val="center"/>
            </w:pPr>
            <w:r>
              <w:rPr>
                <w:rFonts w:ascii="黑体" w:hAnsi="黑体" w:eastAsia="黑体"/>
                <w:b/>
                <w:sz w:val="20"/>
              </w:rPr>
              <w:t>检测气体</w:t>
            </w:r>
          </w:p>
        </w:tc>
        <w:tc>
          <w:tcPr>
            <w:tcW w:type="dxa" w:w="1383"/>
            <w:shd w:val="clear" w:color="auto" w:fill="D9E2F3"/>
          </w:tcPr>
          <w:p>
            <w:pPr>
              <w:jc w:val="center"/>
            </w:pPr>
            <w:r>
              <w:rPr>
                <w:rFonts w:ascii="黑体" w:hAnsi="黑体" w:eastAsia="黑体"/>
                <w:b/>
                <w:sz w:val="20"/>
              </w:rPr>
              <w:t>波长 (nm)</w:t>
            </w:r>
          </w:p>
        </w:tc>
        <w:tc>
          <w:tcPr>
            <w:tcW w:type="dxa" w:w="1383"/>
            <w:shd w:val="clear" w:color="auto" w:fill="D9E2F3"/>
          </w:tcPr>
          <w:p>
            <w:pPr>
              <w:jc w:val="center"/>
            </w:pPr>
            <w:r>
              <w:rPr>
                <w:rFonts w:ascii="黑体" w:hAnsi="黑体" w:eastAsia="黑体"/>
                <w:b/>
                <w:sz w:val="20"/>
              </w:rPr>
              <w:t>LOD (ppm)</w:t>
            </w:r>
          </w:p>
        </w:tc>
        <w:tc>
          <w:tcPr>
            <w:tcW w:type="dxa" w:w="1383"/>
            <w:shd w:val="clear" w:color="auto" w:fill="D9E2F3"/>
          </w:tcPr>
          <w:p>
            <w:pPr>
              <w:jc w:val="center"/>
            </w:pPr>
            <w:r>
              <w:rPr>
                <w:rFonts w:ascii="黑体" w:hAnsi="黑体" w:eastAsia="黑体"/>
                <w:b/>
                <w:sz w:val="20"/>
              </w:rPr>
              <w:t>响应时间</w:t>
            </w:r>
          </w:p>
        </w:tc>
        <w:tc>
          <w:tcPr>
            <w:tcW w:type="dxa" w:w="1383"/>
            <w:shd w:val="clear" w:color="auto" w:fill="D9E2F3"/>
          </w:tcPr>
          <w:p>
            <w:pPr>
              <w:jc w:val="center"/>
            </w:pPr>
            <w:r>
              <w:rPr>
                <w:rFonts w:ascii="黑体" w:hAnsi="黑体" w:eastAsia="黑体"/>
                <w:b/>
                <w:sz w:val="20"/>
              </w:rPr>
              <w:t>部署平台</w:t>
            </w:r>
          </w:p>
        </w:tc>
      </w:tr>
      <w:tr>
        <w:tc>
          <w:tcPr>
            <w:tcW w:type="dxa" w:w="1383"/>
          </w:tcPr>
          <w:p>
            <w:pPr>
              <w:jc w:val="center"/>
            </w:pPr>
            <w:r>
              <w:rPr>
                <w:rFonts w:ascii="Times New Roman" w:hAnsi="Times New Roman" w:eastAsia="宋体"/>
                <w:sz w:val="20"/>
              </w:rPr>
              <w:t>Liu et al. 2021</w:t>
            </w:r>
          </w:p>
        </w:tc>
        <w:tc>
          <w:tcPr>
            <w:tcW w:type="dxa" w:w="1383"/>
          </w:tcPr>
          <w:p>
            <w:pPr>
              <w:jc w:val="center"/>
            </w:pPr>
            <w:r>
              <w:rPr>
                <w:rFonts w:ascii="Times New Roman" w:hAnsi="Times New Roman" w:eastAsia="宋体"/>
                <w:sz w:val="20"/>
              </w:rPr>
              <w:t>CO</w:t>
            </w:r>
          </w:p>
        </w:tc>
        <w:tc>
          <w:tcPr>
            <w:tcW w:type="dxa" w:w="1383"/>
          </w:tcPr>
          <w:p>
            <w:pPr>
              <w:jc w:val="center"/>
            </w:pPr>
            <w:r>
              <w:rPr>
                <w:rFonts w:ascii="Times New Roman" w:hAnsi="Times New Roman" w:eastAsia="宋体"/>
                <w:sz w:val="20"/>
              </w:rPr>
              <w:t>1565</w:t>
            </w:r>
          </w:p>
        </w:tc>
        <w:tc>
          <w:tcPr>
            <w:tcW w:type="dxa" w:w="1383"/>
          </w:tcPr>
          <w:p>
            <w:pPr>
              <w:jc w:val="center"/>
            </w:pPr>
            <w:r>
              <w:rPr>
                <w:rFonts w:ascii="Times New Roman" w:hAnsi="Times New Roman" w:eastAsia="宋体"/>
                <w:sz w:val="20"/>
              </w:rPr>
              <w:t>5.2</w:t>
            </w:r>
          </w:p>
        </w:tc>
        <w:tc>
          <w:tcPr>
            <w:tcW w:type="dxa" w:w="1383"/>
          </w:tcPr>
          <w:p>
            <w:pPr>
              <w:jc w:val="center"/>
            </w:pPr>
            <w:r>
              <w:rPr>
                <w:rFonts w:ascii="Times New Roman" w:hAnsi="Times New Roman" w:eastAsia="宋体"/>
                <w:sz w:val="20"/>
              </w:rPr>
              <w:t>&lt;1 s</w:t>
            </w:r>
          </w:p>
        </w:tc>
        <w:tc>
          <w:tcPr>
            <w:tcW w:type="dxa" w:w="1383"/>
          </w:tcPr>
          <w:p>
            <w:pPr>
              <w:jc w:val="center"/>
            </w:pPr>
            <w:r>
              <w:rPr>
                <w:rFonts w:ascii="Times New Roman" w:hAnsi="Times New Roman" w:eastAsia="宋体"/>
                <w:sz w:val="20"/>
              </w:rPr>
              <w:t>PC + DAQ</w:t>
            </w:r>
          </w:p>
        </w:tc>
      </w:tr>
      <w:tr>
        <w:tc>
          <w:tcPr>
            <w:tcW w:type="dxa" w:w="1383"/>
          </w:tcPr>
          <w:p>
            <w:pPr>
              <w:jc w:val="center"/>
            </w:pPr>
            <w:r>
              <w:rPr>
                <w:rFonts w:ascii="Times New Roman" w:hAnsi="Times New Roman" w:eastAsia="宋体"/>
                <w:sz w:val="20"/>
              </w:rPr>
              <w:t>Wang et al. 2022</w:t>
            </w:r>
          </w:p>
        </w:tc>
        <w:tc>
          <w:tcPr>
            <w:tcW w:type="dxa" w:w="1383"/>
          </w:tcPr>
          <w:p>
            <w:pPr>
              <w:jc w:val="center"/>
            </w:pPr>
            <w:r>
              <w:rPr>
                <w:rFonts w:ascii="Times New Roman" w:hAnsi="Times New Roman" w:eastAsia="宋体"/>
                <w:sz w:val="20"/>
              </w:rPr>
              <w:t>CO</w:t>
            </w:r>
          </w:p>
        </w:tc>
        <w:tc>
          <w:tcPr>
            <w:tcW w:type="dxa" w:w="1383"/>
          </w:tcPr>
          <w:p>
            <w:pPr>
              <w:jc w:val="center"/>
            </w:pPr>
            <w:r>
              <w:rPr>
                <w:rFonts w:ascii="Times New Roman" w:hAnsi="Times New Roman" w:eastAsia="宋体"/>
                <w:sz w:val="20"/>
              </w:rPr>
              <w:t>1550</w:t>
            </w:r>
          </w:p>
        </w:tc>
        <w:tc>
          <w:tcPr>
            <w:tcW w:type="dxa" w:w="1383"/>
          </w:tcPr>
          <w:p>
            <w:pPr>
              <w:jc w:val="center"/>
            </w:pPr>
            <w:r>
              <w:rPr>
                <w:rFonts w:ascii="Times New Roman" w:hAnsi="Times New Roman" w:eastAsia="宋体"/>
                <w:sz w:val="20"/>
              </w:rPr>
              <w:t>12.8</w:t>
            </w:r>
          </w:p>
        </w:tc>
        <w:tc>
          <w:tcPr>
            <w:tcW w:type="dxa" w:w="1383"/>
          </w:tcPr>
          <w:p>
            <w:pPr>
              <w:jc w:val="center"/>
            </w:pPr>
            <w:r>
              <w:rPr>
                <w:rFonts w:ascii="Times New Roman" w:hAnsi="Times New Roman" w:eastAsia="宋体"/>
                <w:sz w:val="20"/>
              </w:rPr>
              <w:t>2 s</w:t>
            </w:r>
          </w:p>
        </w:tc>
        <w:tc>
          <w:tcPr>
            <w:tcW w:type="dxa" w:w="1383"/>
          </w:tcPr>
          <w:p>
            <w:pPr>
              <w:jc w:val="center"/>
            </w:pPr>
            <w:r>
              <w:rPr>
                <w:rFonts w:ascii="Times New Roman" w:hAnsi="Times New Roman" w:eastAsia="宋体"/>
                <w:sz w:val="20"/>
              </w:rPr>
              <w:t>DSP</w:t>
            </w:r>
          </w:p>
        </w:tc>
      </w:tr>
      <w:tr>
        <w:tc>
          <w:tcPr>
            <w:tcW w:type="dxa" w:w="1383"/>
          </w:tcPr>
          <w:p>
            <w:pPr>
              <w:jc w:val="center"/>
            </w:pPr>
            <w:r>
              <w:rPr>
                <w:rFonts w:ascii="Times New Roman" w:hAnsi="Times New Roman" w:eastAsia="宋体"/>
                <w:sz w:val="20"/>
              </w:rPr>
              <w:t>Zhang et al. 2023</w:t>
            </w:r>
          </w:p>
        </w:tc>
        <w:tc>
          <w:tcPr>
            <w:tcW w:type="dxa" w:w="1383"/>
          </w:tcPr>
          <w:p>
            <w:pPr>
              <w:jc w:val="center"/>
            </w:pPr>
            <w:r>
              <w:rPr>
                <w:rFonts w:ascii="Times New Roman" w:hAnsi="Times New Roman" w:eastAsia="宋体"/>
                <w:sz w:val="20"/>
              </w:rPr>
              <w:t>CO</w:t>
            </w:r>
          </w:p>
        </w:tc>
        <w:tc>
          <w:tcPr>
            <w:tcW w:type="dxa" w:w="1383"/>
          </w:tcPr>
          <w:p>
            <w:pPr>
              <w:jc w:val="center"/>
            </w:pPr>
            <w:r>
              <w:rPr>
                <w:rFonts w:ascii="Times New Roman" w:hAnsi="Times New Roman" w:eastAsia="宋体"/>
                <w:sz w:val="20"/>
              </w:rPr>
              <w:t>2330</w:t>
            </w:r>
          </w:p>
        </w:tc>
        <w:tc>
          <w:tcPr>
            <w:tcW w:type="dxa" w:w="1383"/>
          </w:tcPr>
          <w:p>
            <w:pPr>
              <w:jc w:val="center"/>
            </w:pPr>
            <w:r>
              <w:rPr>
                <w:rFonts w:ascii="Times New Roman" w:hAnsi="Times New Roman" w:eastAsia="宋体"/>
                <w:sz w:val="20"/>
              </w:rPr>
              <w:t>1.5</w:t>
            </w:r>
          </w:p>
        </w:tc>
        <w:tc>
          <w:tcPr>
            <w:tcW w:type="dxa" w:w="1383"/>
          </w:tcPr>
          <w:p>
            <w:pPr>
              <w:jc w:val="center"/>
            </w:pPr>
            <w:r>
              <w:rPr>
                <w:rFonts w:ascii="Times New Roman" w:hAnsi="Times New Roman" w:eastAsia="宋体"/>
                <w:sz w:val="20"/>
              </w:rPr>
              <w:t>0.5 s</w:t>
            </w:r>
          </w:p>
        </w:tc>
        <w:tc>
          <w:tcPr>
            <w:tcW w:type="dxa" w:w="1383"/>
          </w:tcPr>
          <w:p>
            <w:pPr>
              <w:jc w:val="center"/>
            </w:pPr>
            <w:r>
              <w:rPr>
                <w:rFonts w:ascii="Times New Roman" w:hAnsi="Times New Roman" w:eastAsia="宋体"/>
                <w:sz w:val="20"/>
              </w:rPr>
              <w:t>PC + FPGA</w:t>
            </w:r>
          </w:p>
        </w:tc>
      </w:tr>
      <w:tr>
        <w:tc>
          <w:tcPr>
            <w:tcW w:type="dxa" w:w="1383"/>
          </w:tcPr>
          <w:p>
            <w:pPr>
              <w:jc w:val="center"/>
            </w:pPr>
            <w:r>
              <w:rPr>
                <w:rFonts w:ascii="Times New Roman" w:hAnsi="Times New Roman" w:eastAsia="宋体"/>
                <w:sz w:val="20"/>
              </w:rPr>
              <w:t>本文</w:t>
            </w:r>
          </w:p>
        </w:tc>
        <w:tc>
          <w:tcPr>
            <w:tcW w:type="dxa" w:w="1383"/>
          </w:tcPr>
          <w:p>
            <w:pPr>
              <w:jc w:val="center"/>
            </w:pPr>
            <w:r>
              <w:rPr>
                <w:rFonts w:ascii="Times New Roman" w:hAnsi="Times New Roman" w:eastAsia="宋体"/>
                <w:sz w:val="20"/>
              </w:rPr>
              <w:t>CO</w:t>
            </w:r>
          </w:p>
        </w:tc>
        <w:tc>
          <w:tcPr>
            <w:tcW w:type="dxa" w:w="1383"/>
          </w:tcPr>
          <w:p>
            <w:pPr>
              <w:jc w:val="center"/>
            </w:pPr>
            <w:r>
              <w:rPr>
                <w:rFonts w:ascii="Times New Roman" w:hAnsi="Times New Roman" w:eastAsia="宋体"/>
                <w:sz w:val="20"/>
              </w:rPr>
              <w:t>1550</w:t>
            </w:r>
          </w:p>
        </w:tc>
        <w:tc>
          <w:tcPr>
            <w:tcW w:type="dxa" w:w="1383"/>
          </w:tcPr>
          <w:p>
            <w:pPr>
              <w:jc w:val="center"/>
            </w:pPr>
            <w:r>
              <w:rPr>
                <w:rFonts w:ascii="Times New Roman" w:hAnsi="Times New Roman" w:eastAsia="宋体"/>
                <w:sz w:val="20"/>
              </w:rPr>
              <w:t>9.5</w:t>
            </w:r>
          </w:p>
        </w:tc>
        <w:tc>
          <w:tcPr>
            <w:tcW w:type="dxa" w:w="1383"/>
          </w:tcPr>
          <w:p>
            <w:pPr>
              <w:jc w:val="center"/>
            </w:pPr>
            <w:r>
              <w:rPr>
                <w:rFonts w:ascii="Times New Roman" w:hAnsi="Times New Roman" w:eastAsia="宋体"/>
                <w:sz w:val="20"/>
              </w:rPr>
              <w:t>0.32 s</w:t>
            </w:r>
          </w:p>
        </w:tc>
        <w:tc>
          <w:tcPr>
            <w:tcW w:type="dxa" w:w="1383"/>
          </w:tcPr>
          <w:p>
            <w:pPr>
              <w:jc w:val="center"/>
            </w:pPr>
            <w:r>
              <w:rPr>
                <w:rFonts w:ascii="Times New Roman" w:hAnsi="Times New Roman" w:eastAsia="宋体"/>
                <w:sz w:val="20"/>
              </w:rPr>
              <w:t>STM32 MCU</w:t>
            </w:r>
          </w:p>
        </w:tc>
      </w:tr>
    </w:tbl>
    <w:p/>
    <w:p>
      <w:pPr>
        <w:spacing w:after="120" w:before="0"/>
        <w:ind w:firstLine="420"/>
      </w:pPr>
      <w:r>
        <w:rPr>
          <w:rFonts w:ascii="宋体" w:hAnsi="宋体" w:eastAsia="宋体"/>
          <w:b w:val="0"/>
          <w:sz w:val="24"/>
        </w:rPr>
        <w:t>本文系统的检测限（9.5 ppm）处于同类系统的中等水平，但响应速度（320 ms）和部署成本（STM32平台）具有明显优势。与基于PC或FPGA的方案相比，本文系统更适合现场便携式应用。</w:t>
      </w:r>
    </w:p>
    <w:p>
      <w:pPr>
        <w:spacing w:before="240" w:after="120"/>
        <w:jc w:val="left"/>
      </w:pPr>
      <w:r>
        <w:rPr>
          <w:rFonts w:ascii="黑体" w:hAnsi="黑体" w:eastAsia="黑体"/>
          <w:b/>
          <w:sz w:val="28"/>
        </w:rPr>
        <w:t>6.3 局限性与改进方向</w:t>
      </w:r>
    </w:p>
    <w:p>
      <w:pPr>
        <w:spacing w:after="120" w:before="0"/>
        <w:ind w:firstLine="420"/>
      </w:pPr>
      <w:r>
        <w:rPr>
          <w:rFonts w:ascii="宋体" w:hAnsi="宋体" w:eastAsia="宋体"/>
          <w:b w:val="0"/>
          <w:sz w:val="24"/>
        </w:rPr>
        <w:t>本文系统存在以下局限性：</w:t>
      </w:r>
    </w:p>
    <w:p>
      <w:pPr>
        <w:spacing w:after="120" w:before="0"/>
        <w:ind w:firstLine="420"/>
      </w:pPr>
      <w:r>
        <w:rPr>
          <w:rFonts w:ascii="宋体" w:hAnsi="宋体" w:eastAsia="宋体"/>
          <w:b w:val="0"/>
          <w:sz w:val="24"/>
        </w:rPr>
        <w:t>（1）检测限（9.5 ppm）尚不能满足某些高灵敏度应用场景（如环境本底监测）的要求。未来可通过增加光程长度（如采用多次反射池）或引入波长调制幅度优化来降低检测限。</w:t>
      </w:r>
    </w:p>
    <w:p>
      <w:pPr>
        <w:spacing w:after="120" w:before="0"/>
        <w:ind w:firstLine="420"/>
      </w:pPr>
      <w:r>
        <w:rPr>
          <w:rFonts w:ascii="宋体" w:hAnsi="宋体" w:eastAsia="宋体"/>
          <w:b w:val="0"/>
          <w:sz w:val="24"/>
        </w:rPr>
        <w:t>（2）温度和压力补偿目前依赖外部传感器，增加了系统复杂度。后续研究可探索将环境参数作为模型输入特征，实现端到端的环境鲁棒性学习。</w:t>
      </w:r>
    </w:p>
    <w:p>
      <w:pPr>
        <w:spacing w:after="120" w:before="0"/>
        <w:ind w:firstLine="420"/>
      </w:pPr>
      <w:r>
        <w:rPr>
          <w:rFonts w:ascii="宋体" w:hAnsi="宋体" w:eastAsia="宋体"/>
          <w:b w:val="0"/>
          <w:sz w:val="24"/>
        </w:rPr>
        <w:t>（3）本文的实验验证主要基于仿真数据和标准气体，尚未在真实阴燃火灾场景中进行现场测试。下一步工作将开展实地验证实验。</w:t>
      </w:r>
    </w:p>
    <w:p>
      <w:pPr>
        <w:spacing w:before="240" w:after="120"/>
        <w:jc w:val="left"/>
      </w:pPr>
      <w:r>
        <w:rPr>
          <w:rFonts w:ascii="黑体" w:hAnsi="黑体" w:eastAsia="黑体"/>
          <w:b/>
          <w:sz w:val="32"/>
        </w:rPr>
        <w:t>7 结论</w:t>
      </w:r>
    </w:p>
    <w:p>
      <w:pPr>
        <w:spacing w:after="120" w:before="0"/>
        <w:ind w:firstLine="420"/>
      </w:pPr>
      <w:r>
        <w:rPr>
          <w:rFonts w:ascii="宋体" w:hAnsi="宋体" w:eastAsia="宋体"/>
          <w:b w:val="0"/>
          <w:sz w:val="24"/>
        </w:rPr>
        <w:t>本文设计了一种基于TDLAS-WMS技术和轻量级1D-CNN的低成本CO气体检测系统，主要结论如下：</w:t>
      </w:r>
    </w:p>
    <w:p>
      <w:pPr>
        <w:spacing w:after="120" w:before="0"/>
        <w:ind w:firstLine="420"/>
      </w:pPr>
      <w:r>
        <w:rPr>
          <w:rFonts w:ascii="宋体" w:hAnsi="宋体" w:eastAsia="宋体"/>
          <w:b w:val="0"/>
          <w:sz w:val="24"/>
        </w:rPr>
        <w:t>（1）系统采用1550nm DFB激光器和InGaAs光电探测器，配合STM32F407微控制器实现了TDLAS信号的采集与处理，硬件总成本控制在2000元以内。</w:t>
      </w:r>
    </w:p>
    <w:p>
      <w:pPr>
        <w:spacing w:after="120" w:before="0"/>
        <w:ind w:firstLine="420"/>
      </w:pPr>
      <w:r>
        <w:rPr>
          <w:rFonts w:ascii="宋体" w:hAnsi="宋体" w:eastAsia="宋体"/>
          <w:b w:val="0"/>
          <w:sz w:val="24"/>
        </w:rPr>
        <w:t>（2）提出的TinyTDLASNet模型仅有2833个参数，可部署于STM32平台进行实时推理。模型在测试集上的MAE为2.7 ppm，R²为0.9997，显著优于传统方法。</w:t>
      </w:r>
    </w:p>
    <w:p>
      <w:pPr>
        <w:spacing w:after="120" w:before="0"/>
        <w:ind w:firstLine="420"/>
      </w:pPr>
      <w:r>
        <w:rPr>
          <w:rFonts w:ascii="宋体" w:hAnsi="宋体" w:eastAsia="宋体"/>
          <w:b w:val="0"/>
          <w:sz w:val="24"/>
        </w:rPr>
        <w:t>（3）系统性能指标：LOD=9.5 ppm，LOQ=31.7 ppm，T90=320 ms，24h RSD=1.04%，满足阴燃火灾早期预警的应用需求。</w:t>
      </w:r>
    </w:p>
    <w:p>
      <w:pPr>
        <w:spacing w:after="120" w:before="0"/>
        <w:ind w:firstLine="420"/>
      </w:pPr>
      <w:r>
        <w:rPr>
          <w:rFonts w:ascii="宋体" w:hAnsi="宋体" w:eastAsia="宋体"/>
          <w:b w:val="0"/>
          <w:sz w:val="24"/>
        </w:rPr>
        <w:t>（4）与现有TDLAS系统相比，本文系统在保持合理检测性能的同时，显著降低了部署成本和响应时间，为现场便携式CO检测提供了可行的技术方案。</w:t>
      </w:r>
    </w:p>
    <w:p>
      <w:pPr>
        <w:spacing w:before="240" w:after="120"/>
        <w:jc w:val="left"/>
      </w:pPr>
      <w:r>
        <w:rPr>
          <w:rFonts w:ascii="黑体" w:hAnsi="黑体" w:eastAsia="黑体"/>
          <w:b/>
          <w:sz w:val="32"/>
        </w:rPr>
        <w:t>参考文献</w:t>
      </w:r>
    </w:p>
    <w:p>
      <w:pPr>
        <w:spacing w:after="40"/>
        <w:ind w:hanging="420" w:left="420"/>
      </w:pPr>
      <w:r>
        <w:rPr>
          <w:rFonts w:ascii="Times New Roman" w:hAnsi="Times New Roman" w:eastAsia="宋体"/>
          <w:sz w:val="21"/>
        </w:rPr>
        <w:t>[1] Rein G. Smouldering combustion phenomena in science and technology[J]. International Review of Chemical Engineering, 2009, 1(1): 3-18.</w:t>
      </w:r>
    </w:p>
    <w:p>
      <w:pPr>
        <w:spacing w:after="40"/>
        <w:ind w:hanging="420" w:left="420"/>
      </w:pPr>
      <w:r>
        <w:rPr>
          <w:rFonts w:ascii="Times New Roman" w:hAnsi="Times New Roman" w:eastAsia="宋体"/>
          <w:sz w:val="21"/>
        </w:rPr>
        <w:t>[2] Ohlemiller T J. Modeling of smoldering combustion propagation[J]. Progress in Energy and Combustion Science, 1985, 11(4): 277-310.</w:t>
      </w:r>
    </w:p>
    <w:p>
      <w:pPr>
        <w:spacing w:after="40"/>
        <w:ind w:hanging="420" w:left="420"/>
      </w:pPr>
      <w:r>
        <w:rPr>
          <w:rFonts w:ascii="Times New Roman" w:hAnsi="Times New Roman" w:eastAsia="宋体"/>
          <w:sz w:val="21"/>
        </w:rPr>
        <w:t>[3] Liu X, Cheng S, Liu H, et al. A survey on gas sensing technology[J]. Sensors, 2012, 12(7): 9635-9665.</w:t>
      </w:r>
    </w:p>
    <w:p>
      <w:pPr>
        <w:spacing w:after="40"/>
        <w:ind w:hanging="420" w:left="420"/>
      </w:pPr>
      <w:r>
        <w:rPr>
          <w:rFonts w:ascii="Times New Roman" w:hAnsi="Times New Roman" w:eastAsia="宋体"/>
          <w:sz w:val="21"/>
        </w:rPr>
        <w:t>[4] Werle P. A review of recent advances in semiconductor laser based gas monitors[J]. Spectrochimica Acta Part A, 1998, 54(2): 197-236.</w:t>
      </w:r>
    </w:p>
    <w:p>
      <w:pPr>
        <w:spacing w:after="40"/>
        <w:ind w:hanging="420" w:left="420"/>
      </w:pPr>
      <w:r>
        <w:rPr>
          <w:rFonts w:ascii="Times New Roman" w:hAnsi="Times New Roman" w:eastAsia="宋体"/>
          <w:sz w:val="21"/>
        </w:rPr>
        <w:t>[5] Lackner M. Tunable diode laser absorption spectroscopy (TDLAS) in the process industries–a review[J]. Reviews in Chemical Engineering, 2007, 23(2): 65-147.</w:t>
      </w:r>
    </w:p>
    <w:p>
      <w:pPr>
        <w:spacing w:after="40"/>
        <w:ind w:hanging="420" w:left="420"/>
      </w:pPr>
      <w:r>
        <w:rPr>
          <w:rFonts w:ascii="Times New Roman" w:hAnsi="Times New Roman" w:eastAsia="宋体"/>
          <w:sz w:val="21"/>
        </w:rPr>
        <w:t>[6] Reid J, Labrie D. Second-harmonic detection with tunable diode lasers—comparison of experiment and theory[J]. Applied Physics B, 1981, 26(3): 203-210.</w:t>
      </w:r>
    </w:p>
    <w:p>
      <w:pPr>
        <w:spacing w:after="40"/>
        <w:ind w:hanging="420" w:left="420"/>
      </w:pPr>
      <w:r>
        <w:rPr>
          <w:rFonts w:ascii="Times New Roman" w:hAnsi="Times New Roman" w:eastAsia="宋体"/>
          <w:sz w:val="21"/>
        </w:rPr>
        <w:t>[7] Bomse D S, Silver J A, Kane D S. Recent advances in optical trace gas detection[J]. Proceedings of SPIE, 2001, 4285: 1-10.</w:t>
      </w:r>
    </w:p>
    <w:p>
      <w:pPr>
        <w:spacing w:after="40"/>
        <w:ind w:hanging="420" w:left="420"/>
      </w:pPr>
      <w:r>
        <w:rPr>
          <w:rFonts w:ascii="Times New Roman" w:hAnsi="Times New Roman" w:eastAsia="宋体"/>
          <w:sz w:val="21"/>
        </w:rPr>
        <w:t>[8] Li C, Shao Y, Liu B, et al. Deep learning-based TDLAS gas concentration inversion[J]. Optics Express, 2023, 31(4): 5758-5772.</w:t>
      </w:r>
    </w:p>
    <w:p>
      <w:pPr>
        <w:spacing w:after="40"/>
        <w:ind w:hanging="420" w:left="420"/>
      </w:pPr>
      <w:r>
        <w:rPr>
          <w:rFonts w:ascii="Times New Roman" w:hAnsi="Times New Roman" w:eastAsia="宋体"/>
          <w:sz w:val="21"/>
        </w:rPr>
        <w:t>[9] Liu K, Wang L, Tan T, et al. Highly sensitive detection of CO by a 1.565 μm NIR tunable diode laser[J]. Sensors and Actuators B: Chemical, 2021, 329: 129245.</w:t>
      </w:r>
    </w:p>
    <w:p>
      <w:pPr>
        <w:spacing w:after="40"/>
        <w:ind w:hanging="420" w:left="420"/>
      </w:pPr>
      <w:r>
        <w:rPr>
          <w:rFonts w:ascii="Times New Roman" w:hAnsi="Times New Roman" w:eastAsia="宋体"/>
          <w:sz w:val="21"/>
        </w:rPr>
        <w:t>[10] Wang Z, Zhang Y, Liu H, et al. Portable TDLAS CO sensor based on DSP for industrial applications[J]. IEEE Sensors Journal, 2022, 22(8): 7825-7833.</w:t>
      </w:r>
    </w:p>
    <w:p>
      <w:pPr>
        <w:spacing w:after="40"/>
        <w:ind w:hanging="420" w:left="420"/>
      </w:pPr>
      <w:r>
        <w:rPr>
          <w:rFonts w:ascii="Times New Roman" w:hAnsi="Times New Roman" w:eastAsia="宋体"/>
          <w:sz w:val="21"/>
        </w:rPr>
        <w:t>[11] Zhang W, Li X, Chen J, et al. High-sensitivity CO detection using dual-channel TDLAS with FPGA-based signal processing[J]. Optics &amp; Laser Technology, 2023, 158: 108894.</w:t>
      </w:r>
    </w:p>
    <w:p>
      <w:pPr>
        <w:spacing w:before="240" w:after="120"/>
        <w:jc w:val="left"/>
      </w:pPr>
      <w:r>
        <w:rPr>
          <w:rFonts w:ascii="黑体" w:hAnsi="黑体" w:eastAsia="黑体"/>
          <w:b/>
          <w:sz w:val="32"/>
        </w:rPr>
        <w:t>附录</w:t>
      </w:r>
    </w:p>
    <w:p>
      <w:pPr>
        <w:spacing w:before="240" w:after="120"/>
        <w:jc w:val="left"/>
      </w:pPr>
      <w:r>
        <w:rPr>
          <w:rFonts w:ascii="黑体" w:hAnsi="黑体" w:eastAsia="黑体"/>
          <w:b/>
          <w:sz w:val="28"/>
        </w:rPr>
        <w:t>A. 系统光路设计</w:t>
      </w:r>
    </w:p>
    <w:p>
      <w:pPr>
        <w:spacing w:after="120" w:before="0"/>
        <w:ind w:firstLine="420"/>
      </w:pPr>
      <w:r>
        <w:rPr>
          <w:rFonts w:ascii="宋体" w:hAnsi="宋体" w:eastAsia="宋体"/>
          <w:b w:val="0"/>
          <w:sz w:val="24"/>
        </w:rPr>
        <w:t>系统采用单光路差分结构。1550nm DFB激光器的输出经光纤耦合器分为两路：一路（90%）进入50cm气体吸收池，另一路（10%）作为参考。吸收池采用不锈钢材质，两端配有光纤准直器，内部充入不同浓度的CO/N₂标准气体。吸收池出口的透射光由InGaAs光电探测器转换为电信号。</w:t>
      </w:r>
    </w:p>
    <w:p>
      <w:pPr>
        <w:spacing w:before="240" w:after="120"/>
        <w:jc w:val="left"/>
      </w:pPr>
      <w:r>
        <w:rPr>
          <w:rFonts w:ascii="黑体" w:hAnsi="黑体" w:eastAsia="黑体"/>
          <w:b/>
          <w:sz w:val="28"/>
        </w:rPr>
        <w:t>B. STM32固件架构</w:t>
      </w:r>
    </w:p>
    <w:p>
      <w:pPr>
        <w:spacing w:after="120" w:before="0"/>
        <w:ind w:firstLine="420"/>
      </w:pPr>
      <w:r>
        <w:rPr>
          <w:rFonts w:ascii="宋体" w:hAnsi="宋体" w:eastAsia="宋体"/>
          <w:b w:val="0"/>
          <w:sz w:val="24"/>
        </w:rPr>
        <w:t>STM32F407固件采用裸机架构（无操作系统），主要包含以下模块：</w:t>
      </w:r>
    </w:p>
    <w:p>
      <w:pPr>
        <w:spacing w:after="120" w:before="0"/>
        <w:ind w:firstLine="420"/>
      </w:pPr>
      <w:r>
        <w:rPr>
          <w:rFonts w:ascii="宋体" w:hAnsi="宋体" w:eastAsia="宋体"/>
          <w:b w:val="0"/>
          <w:sz w:val="24"/>
        </w:rPr>
        <w:t>1. 系统初始化模块：配置系统时钟（168 MHz）、GPIO、中断优先级。</w:t>
        <w:br/>
        <w:t>2. DAC驱动模块：通过DMA输出正弦+锯齿波叠加信号，触发频率100 kHz。</w:t>
        <w:br/>
        <w:t>3. ADC驱动模块：通过DMA连续采样光电探测器信号，采样率100 kHz。</w:t>
        <w:br/>
        <w:t>4. UART通信模块：将ADC原始数据以二进制帧格式发送至上位机。</w:t>
        <w:br/>
        <w:t>5. CNN推理模块：调用STM32Cube.AI生成的库函数进行浓度预测。</w:t>
      </w:r>
    </w:p>
    <w:p>
      <w:pPr>
        <w:spacing w:before="240" w:after="120"/>
        <w:jc w:val="left"/>
      </w:pPr>
      <w:r>
        <w:rPr>
          <w:rFonts w:ascii="黑体" w:hAnsi="黑体" w:eastAsia="黑体"/>
          <w:b/>
          <w:sz w:val="28"/>
        </w:rPr>
        <w:t>C. 数据帧格式</w:t>
      </w:r>
    </w:p>
    <w:p>
      <w:pPr>
        <w:spacing w:after="120" w:before="0"/>
        <w:ind w:firstLine="420"/>
      </w:pPr>
      <w:r>
        <w:rPr>
          <w:rFonts w:ascii="宋体" w:hAnsi="宋体" w:eastAsia="宋体"/>
          <w:b w:val="0"/>
          <w:sz w:val="24"/>
        </w:rPr>
        <w:t>上位机与下位机之间的串口通信采用二进制帧格式：</w:t>
      </w:r>
    </w:p>
    <w:tbl>
      <w:tblPr>
        <w:tblStyle w:val="TableGrid"/>
        <w:tblW w:type="auto" w:w="0"/>
        <w:jc w:val="center"/>
        <w:tblLook w:firstColumn="1" w:firstRow="1" w:lastColumn="0" w:lastRow="0" w:noHBand="0" w:noVBand="1" w:val="04A0"/>
      </w:tblPr>
      <w:tblGrid>
        <w:gridCol w:w="2767"/>
        <w:gridCol w:w="2767"/>
        <w:gridCol w:w="2767"/>
      </w:tblGrid>
      <w:tr>
        <w:tc>
          <w:tcPr>
            <w:tcW w:type="dxa" w:w="2767"/>
            <w:shd w:val="clear" w:color="auto" w:fill="D9E2F3"/>
          </w:tcPr>
          <w:p>
            <w:pPr>
              <w:jc w:val="center"/>
            </w:pPr>
            <w:r>
              <w:rPr>
                <w:rFonts w:ascii="黑体" w:hAnsi="黑体" w:eastAsia="黑体"/>
                <w:b/>
                <w:sz w:val="20"/>
              </w:rPr>
              <w:t>字段</w:t>
            </w:r>
          </w:p>
        </w:tc>
        <w:tc>
          <w:tcPr>
            <w:tcW w:type="dxa" w:w="2767"/>
            <w:shd w:val="clear" w:color="auto" w:fill="D9E2F3"/>
          </w:tcPr>
          <w:p>
            <w:pPr>
              <w:jc w:val="center"/>
            </w:pPr>
            <w:r>
              <w:rPr>
                <w:rFonts w:ascii="黑体" w:hAnsi="黑体" w:eastAsia="黑体"/>
                <w:b/>
                <w:sz w:val="20"/>
              </w:rPr>
              <w:t>长度</w:t>
            </w:r>
          </w:p>
        </w:tc>
        <w:tc>
          <w:tcPr>
            <w:tcW w:type="dxa" w:w="2767"/>
            <w:shd w:val="clear" w:color="auto" w:fill="D9E2F3"/>
          </w:tcPr>
          <w:p>
            <w:pPr>
              <w:jc w:val="center"/>
            </w:pPr>
            <w:r>
              <w:rPr>
                <w:rFonts w:ascii="黑体" w:hAnsi="黑体" w:eastAsia="黑体"/>
                <w:b/>
                <w:sz w:val="20"/>
              </w:rPr>
              <w:t>说明</w:t>
            </w:r>
          </w:p>
        </w:tc>
      </w:tr>
      <w:tr>
        <w:tc>
          <w:tcPr>
            <w:tcW w:type="dxa" w:w="2767"/>
          </w:tcPr>
          <w:p>
            <w:pPr>
              <w:jc w:val="center"/>
            </w:pPr>
            <w:r>
              <w:rPr>
                <w:rFonts w:ascii="Times New Roman" w:hAnsi="Times New Roman" w:eastAsia="宋体"/>
                <w:sz w:val="20"/>
              </w:rPr>
              <w:t>帧头</w:t>
            </w:r>
          </w:p>
        </w:tc>
        <w:tc>
          <w:tcPr>
            <w:tcW w:type="dxa" w:w="2767"/>
          </w:tcPr>
          <w:p>
            <w:pPr>
              <w:jc w:val="center"/>
            </w:pPr>
            <w:r>
              <w:rPr>
                <w:rFonts w:ascii="Times New Roman" w:hAnsi="Times New Roman" w:eastAsia="宋体"/>
                <w:sz w:val="20"/>
              </w:rPr>
              <w:t>2B</w:t>
            </w:r>
          </w:p>
        </w:tc>
        <w:tc>
          <w:tcPr>
            <w:tcW w:type="dxa" w:w="2767"/>
          </w:tcPr>
          <w:p>
            <w:pPr>
              <w:jc w:val="center"/>
            </w:pPr>
            <w:r>
              <w:rPr>
                <w:rFonts w:ascii="Times New Roman" w:hAnsi="Times New Roman" w:eastAsia="宋体"/>
                <w:sz w:val="20"/>
              </w:rPr>
              <w:t>0xAA 0x55</w:t>
            </w:r>
          </w:p>
        </w:tc>
      </w:tr>
      <w:tr>
        <w:tc>
          <w:tcPr>
            <w:tcW w:type="dxa" w:w="2767"/>
          </w:tcPr>
          <w:p>
            <w:pPr>
              <w:jc w:val="center"/>
            </w:pPr>
            <w:r>
              <w:rPr>
                <w:rFonts w:ascii="Times New Roman" w:hAnsi="Times New Roman" w:eastAsia="宋体"/>
                <w:sz w:val="20"/>
              </w:rPr>
              <w:t>数据长度</w:t>
            </w:r>
          </w:p>
        </w:tc>
        <w:tc>
          <w:tcPr>
            <w:tcW w:type="dxa" w:w="2767"/>
          </w:tcPr>
          <w:p>
            <w:pPr>
              <w:jc w:val="center"/>
            </w:pPr>
            <w:r>
              <w:rPr>
                <w:rFonts w:ascii="Times New Roman" w:hAnsi="Times New Roman" w:eastAsia="宋体"/>
                <w:sz w:val="20"/>
              </w:rPr>
              <w:t>2B</w:t>
            </w:r>
          </w:p>
        </w:tc>
        <w:tc>
          <w:tcPr>
            <w:tcW w:type="dxa" w:w="2767"/>
          </w:tcPr>
          <w:p>
            <w:pPr>
              <w:jc w:val="center"/>
            </w:pPr>
            <w:r>
              <w:rPr>
                <w:rFonts w:ascii="Times New Roman" w:hAnsi="Times New Roman" w:eastAsia="宋体"/>
                <w:sz w:val="20"/>
              </w:rPr>
              <w:t>小端序，表示后续ADC数据的采样点数</w:t>
            </w:r>
          </w:p>
        </w:tc>
      </w:tr>
      <w:tr>
        <w:tc>
          <w:tcPr>
            <w:tcW w:type="dxa" w:w="2767"/>
          </w:tcPr>
          <w:p>
            <w:pPr>
              <w:jc w:val="center"/>
            </w:pPr>
            <w:r>
              <w:rPr>
                <w:rFonts w:ascii="Times New Roman" w:hAnsi="Times New Roman" w:eastAsia="宋体"/>
                <w:sz w:val="20"/>
              </w:rPr>
              <w:t>ADC数据</w:t>
            </w:r>
          </w:p>
        </w:tc>
        <w:tc>
          <w:tcPr>
            <w:tcW w:type="dxa" w:w="2767"/>
          </w:tcPr>
          <w:p>
            <w:pPr>
              <w:jc w:val="center"/>
            </w:pPr>
            <w:r>
              <w:rPr>
                <w:rFonts w:ascii="Times New Roman" w:hAnsi="Times New Roman" w:eastAsia="宋体"/>
                <w:sz w:val="20"/>
              </w:rPr>
              <w:t>N×2B</w:t>
            </w:r>
          </w:p>
        </w:tc>
        <w:tc>
          <w:tcPr>
            <w:tcW w:type="dxa" w:w="2767"/>
          </w:tcPr>
          <w:p>
            <w:pPr>
              <w:jc w:val="center"/>
            </w:pPr>
            <w:r>
              <w:rPr>
                <w:rFonts w:ascii="Times New Roman" w:hAnsi="Times New Roman" w:eastAsia="宋体"/>
                <w:sz w:val="20"/>
              </w:rPr>
              <w:t>12-bit ADC值，小端序</w:t>
            </w:r>
          </w:p>
        </w:tc>
      </w:tr>
      <w:tr>
        <w:tc>
          <w:tcPr>
            <w:tcW w:type="dxa" w:w="2767"/>
          </w:tcPr>
          <w:p>
            <w:pPr>
              <w:jc w:val="center"/>
            </w:pPr>
            <w:r>
              <w:rPr>
                <w:rFonts w:ascii="Times New Roman" w:hAnsi="Times New Roman" w:eastAsia="宋体"/>
                <w:sz w:val="20"/>
              </w:rPr>
              <w:t>帧尾</w:t>
            </w:r>
          </w:p>
        </w:tc>
        <w:tc>
          <w:tcPr>
            <w:tcW w:type="dxa" w:w="2767"/>
          </w:tcPr>
          <w:p>
            <w:pPr>
              <w:jc w:val="center"/>
            </w:pPr>
            <w:r>
              <w:rPr>
                <w:rFonts w:ascii="Times New Roman" w:hAnsi="Times New Roman" w:eastAsia="宋体"/>
                <w:sz w:val="20"/>
              </w:rPr>
              <w:t>2B</w:t>
            </w:r>
          </w:p>
        </w:tc>
        <w:tc>
          <w:tcPr>
            <w:tcW w:type="dxa" w:w="2767"/>
          </w:tcPr>
          <w:p>
            <w:pPr>
              <w:jc w:val="center"/>
            </w:pPr>
            <w:r>
              <w:rPr>
                <w:rFonts w:ascii="Times New Roman" w:hAnsi="Times New Roman" w:eastAsia="宋体"/>
                <w:sz w:val="20"/>
              </w:rPr>
              <w:t>0x0D 0x0A</w:t>
            </w:r>
          </w:p>
        </w:tc>
      </w:tr>
    </w:tbl>
    <w:p/>
    <w:p>
      <w:pPr>
        <w:spacing w:after="480" w:before="0"/>
      </w:pPr>
      <w:r>
        <w:rPr>
          <w:rFonts w:ascii="宋体" w:hAnsi="宋体" w:eastAsia="宋体"/>
          <w:b w:val="0"/>
          <w:sz w:val="24"/>
        </w:rPr>
      </w:r>
    </w:p>
    <w:p>
      <w:r>
        <w:rPr>
          <w:rFonts w:ascii="宋体" w:hAnsi="宋体" w:eastAsia="宋体"/>
          <w:sz w:val="21"/>
        </w:rPr>
        <w:t>作者简介：[待填写]</w:t>
      </w:r>
    </w:p>
    <w:p>
      <w:r>
        <w:rPr>
          <w:rFonts w:ascii="宋体" w:hAnsi="宋体" w:eastAsia="宋体"/>
          <w:sz w:val="21"/>
        </w:rPr>
        <w:t>基金项目：[待填写]</w:t>
      </w:r>
    </w:p>
    <w:p>
      <w:r>
        <w:rPr>
          <w:rFonts w:ascii="宋体" w:hAnsi="宋体" w:eastAsia="宋体"/>
          <w:sz w:val="21"/>
        </w:rPr>
        <w:t>收稿日期：2026年5月</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