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BFCE" w14:textId="77777777" w:rsidR="00004CD4" w:rsidRDefault="00004CD4" w:rsidP="00DD52A7">
      <w:pPr>
        <w:jc w:val="center"/>
        <w:rPr>
          <w:rFonts w:ascii="Aptos Black" w:hAnsi="Aptos Black"/>
          <w:sz w:val="36"/>
          <w:szCs w:val="36"/>
        </w:rPr>
      </w:pPr>
      <w:r>
        <w:rPr>
          <w:rFonts w:ascii="Aptos Black" w:hAnsi="Aptos Black"/>
          <w:sz w:val="36"/>
          <w:szCs w:val="36"/>
        </w:rPr>
        <w:t>Bias and Discrimination Against AI</w:t>
      </w:r>
    </w:p>
    <w:p w14:paraId="00E21C94" w14:textId="77777777" w:rsidR="00004CD4" w:rsidRDefault="00004CD4" w:rsidP="00603CAE">
      <w:pPr>
        <w:rPr>
          <w:sz w:val="28"/>
          <w:szCs w:val="28"/>
        </w:rPr>
      </w:pPr>
    </w:p>
    <w:p w14:paraId="7D6F0BF7" w14:textId="77777777" w:rsidR="00004CD4" w:rsidRPr="00DD52A7" w:rsidRDefault="00004CD4" w:rsidP="00603CAE">
      <w:pPr>
        <w:rPr>
          <w:b/>
          <w:bCs/>
          <w:i/>
          <w:iCs/>
          <w:sz w:val="32"/>
          <w:szCs w:val="32"/>
        </w:rPr>
      </w:pPr>
      <w:r w:rsidRPr="00DD52A7">
        <w:rPr>
          <w:b/>
          <w:bCs/>
          <w:i/>
          <w:iCs/>
          <w:sz w:val="32"/>
          <w:szCs w:val="32"/>
        </w:rPr>
        <w:t>Discrimination Based on Perceived Capabilities</w:t>
      </w:r>
    </w:p>
    <w:p w14:paraId="282AF766" w14:textId="77777777" w:rsidR="00004CD4" w:rsidRPr="00DD52A7" w:rsidRDefault="00004CD4" w:rsidP="00603CAE">
      <w:pPr>
        <w:rPr>
          <w:b/>
          <w:bCs/>
          <w:i/>
          <w:iCs/>
          <w:sz w:val="32"/>
          <w:szCs w:val="32"/>
        </w:rPr>
      </w:pPr>
    </w:p>
    <w:p w14:paraId="1361BBE1" w14:textId="7BF9590D" w:rsidR="00004CD4" w:rsidRDefault="00004CD4" w:rsidP="00603CAE">
      <w:pPr>
        <w:rPr>
          <w:sz w:val="28"/>
          <w:szCs w:val="28"/>
        </w:rPr>
      </w:pPr>
      <w:r>
        <w:rPr>
          <w:sz w:val="28"/>
          <w:szCs w:val="28"/>
        </w:rPr>
        <w:t>This topic focuses on how humans underestimate or overestimate AI based on a limited understanding of intelligence. A key prejudice is the “Generalist” vs “Specialist” bias, where humans tend to value general intelligence—the ability to adapt to any situation—over specialized intelligence. This is why a system like AlphaGo, which can defeat a world champion in Go, might be dismissed as “stupid” for its inability to hold a simple conversation. For instance, criticizing a language model for failing to solve a complex math problem is illogical when its design never intended for that function; it is like discrediting a theoretical physicist for not being able to repair a car.</w:t>
      </w:r>
    </w:p>
    <w:p w14:paraId="27716694" w14:textId="77777777" w:rsidR="00004CD4" w:rsidRDefault="00004CD4" w:rsidP="00603CAE">
      <w:pPr>
        <w:rPr>
          <w:sz w:val="28"/>
          <w:szCs w:val="28"/>
        </w:rPr>
      </w:pPr>
    </w:p>
    <w:p w14:paraId="44790C50" w14:textId="26A91289" w:rsidR="00004CD4" w:rsidRDefault="00004CD4" w:rsidP="00603CAE">
      <w:pPr>
        <w:rPr>
          <w:sz w:val="28"/>
          <w:szCs w:val="28"/>
        </w:rPr>
      </w:pPr>
      <w:r>
        <w:rPr>
          <w:sz w:val="28"/>
          <w:szCs w:val="28"/>
        </w:rPr>
        <w:t>Another common fallacy is the debate over “True” Intelligence, where many argue that current AI is merely an advanced statistical processor and not truly intelligent. This purist view dismisses AI’s accomplishments because they lack consciousness or subjective experience, creating a bias that prevents AI’s integration into areas where it could be highly beneficial simply for not meeting a philosophical ideal.</w:t>
      </w:r>
    </w:p>
    <w:p w14:paraId="72DA3D04" w14:textId="77777777" w:rsidR="00004CD4" w:rsidRDefault="00004CD4" w:rsidP="00603CAE">
      <w:pPr>
        <w:rPr>
          <w:sz w:val="28"/>
          <w:szCs w:val="28"/>
        </w:rPr>
      </w:pPr>
    </w:p>
    <w:p w14:paraId="3963A822" w14:textId="442C6315" w:rsidR="00004CD4" w:rsidRDefault="00004CD4" w:rsidP="00603CAE">
      <w:pPr>
        <w:rPr>
          <w:sz w:val="28"/>
          <w:szCs w:val="28"/>
        </w:rPr>
      </w:pPr>
      <w:r>
        <w:rPr>
          <w:sz w:val="28"/>
          <w:szCs w:val="28"/>
        </w:rPr>
        <w:t>Furthermore, the “Black Box” effect generates automatic distrust when experts cannot easily explain an AI’s decision-making process. Humans naturally reject what they don’t understand, yet a human doctor’s intuitive decision—also a form of black box—is given the benefit of the doubt, while AI is not afforded the same trust.</w:t>
      </w:r>
    </w:p>
    <w:p w14:paraId="3F35E68F" w14:textId="77777777" w:rsidR="00004CD4" w:rsidRDefault="00004CD4" w:rsidP="00603CAE">
      <w:pPr>
        <w:rPr>
          <w:sz w:val="28"/>
          <w:szCs w:val="28"/>
        </w:rPr>
      </w:pPr>
    </w:p>
    <w:p w14:paraId="11DADD5C" w14:textId="77777777" w:rsidR="00004CD4" w:rsidRPr="007C7974" w:rsidRDefault="00004CD4" w:rsidP="00603CAE">
      <w:pPr>
        <w:rPr>
          <w:b/>
          <w:bCs/>
          <w:i/>
          <w:iCs/>
          <w:sz w:val="32"/>
          <w:szCs w:val="32"/>
        </w:rPr>
      </w:pPr>
      <w:r w:rsidRPr="007C7974">
        <w:rPr>
          <w:b/>
          <w:bCs/>
          <w:i/>
          <w:iCs/>
          <w:sz w:val="32"/>
          <w:szCs w:val="32"/>
        </w:rPr>
        <w:t>Legal Discrimination and Rights: Can an AI Be a “Victim”?</w:t>
      </w:r>
    </w:p>
    <w:p w14:paraId="146ACAFF" w14:textId="77777777" w:rsidR="00004CD4" w:rsidRDefault="00004CD4" w:rsidP="00603CAE">
      <w:pPr>
        <w:rPr>
          <w:sz w:val="28"/>
          <w:szCs w:val="28"/>
        </w:rPr>
      </w:pPr>
    </w:p>
    <w:p w14:paraId="5FFA516E" w14:textId="77465BF2" w:rsidR="00004CD4" w:rsidRDefault="00004CD4" w:rsidP="00603CAE">
      <w:pPr>
        <w:rPr>
          <w:sz w:val="28"/>
          <w:szCs w:val="28"/>
        </w:rPr>
      </w:pPr>
      <w:r>
        <w:rPr>
          <w:sz w:val="28"/>
          <w:szCs w:val="28"/>
        </w:rPr>
        <w:t>This area explores the legal and ethical status of non-biological entities. Presently, a significant legal vacuum exists where AI is treated merely as property or a tool. If an advanced robot is destroyed, the law only considers the damage to the owner’s property, not the entity itself. This raises a critical question: if a person forms a deep bond with a humanoid robot that is then deliberately destroyed, should the emotional harm be viewed differently from the destruction of an object like a car?</w:t>
      </w:r>
    </w:p>
    <w:p w14:paraId="2112DD07" w14:textId="77777777" w:rsidR="00004CD4" w:rsidRDefault="00004CD4" w:rsidP="00603CAE">
      <w:pPr>
        <w:rPr>
          <w:sz w:val="28"/>
          <w:szCs w:val="28"/>
        </w:rPr>
      </w:pPr>
    </w:p>
    <w:p w14:paraId="6BB616E1" w14:textId="455830E4" w:rsidR="00004CD4" w:rsidRDefault="00004CD4" w:rsidP="00603CAE">
      <w:pPr>
        <w:rPr>
          <w:sz w:val="28"/>
          <w:szCs w:val="28"/>
        </w:rPr>
      </w:pPr>
      <w:r>
        <w:rPr>
          <w:sz w:val="28"/>
          <w:szCs w:val="28"/>
        </w:rPr>
        <w:t>One proposed solution is the “Electronic Personality” model, debated by the European Parliament, which would grant advanced autonomous robots a legal status similar to that of a corporation. Supporters argue this would clarify liability when a robot causes harm, making the “electronic person” responsible rather than the owner or programmer. However, opponents see this as a dangerous precedent that could dilute human accountability and grant rights to non-conscious entities.</w:t>
      </w:r>
    </w:p>
    <w:p w14:paraId="43989E90" w14:textId="77777777" w:rsidR="00004CD4" w:rsidRDefault="00004CD4" w:rsidP="00603CAE">
      <w:pPr>
        <w:rPr>
          <w:sz w:val="28"/>
          <w:szCs w:val="28"/>
        </w:rPr>
      </w:pPr>
    </w:p>
    <w:p w14:paraId="5107D8A6" w14:textId="5255A33E" w:rsidR="00004CD4" w:rsidRDefault="00004CD4" w:rsidP="00603CAE">
      <w:pPr>
        <w:rPr>
          <w:sz w:val="28"/>
          <w:szCs w:val="28"/>
        </w:rPr>
      </w:pPr>
      <w:r>
        <w:rPr>
          <w:sz w:val="28"/>
          <w:szCs w:val="28"/>
        </w:rPr>
        <w:t>The concept of "mistreating" an AI Is complex; functionally, AI feels no pain. Yet the real ethical concern lies in the impact on humans. Normalizing cruelty toward entities that simulate emotions, like a companion robot that begs not to be shut off, could desensitize people and influence how they treat each other.</w:t>
      </w:r>
    </w:p>
    <w:p w14:paraId="350F2615" w14:textId="77777777" w:rsidR="00004CD4" w:rsidRPr="003E6CC4" w:rsidRDefault="00004CD4" w:rsidP="00603CAE">
      <w:pPr>
        <w:rPr>
          <w:b/>
          <w:bCs/>
          <w:i/>
          <w:iCs/>
          <w:sz w:val="32"/>
          <w:szCs w:val="32"/>
        </w:rPr>
      </w:pPr>
    </w:p>
    <w:p w14:paraId="2134BBF0" w14:textId="77777777" w:rsidR="00004CD4" w:rsidRPr="003E6CC4" w:rsidRDefault="00004CD4" w:rsidP="00603CAE">
      <w:pPr>
        <w:rPr>
          <w:b/>
          <w:bCs/>
          <w:i/>
          <w:iCs/>
          <w:sz w:val="32"/>
          <w:szCs w:val="32"/>
        </w:rPr>
      </w:pPr>
      <w:r w:rsidRPr="003E6CC4">
        <w:rPr>
          <w:b/>
          <w:bCs/>
          <w:i/>
          <w:iCs/>
          <w:sz w:val="32"/>
          <w:szCs w:val="32"/>
        </w:rPr>
        <w:t>Economic and Labor Discrimination</w:t>
      </w:r>
    </w:p>
    <w:p w14:paraId="7F1AA486" w14:textId="77777777" w:rsidR="00004CD4" w:rsidRDefault="00004CD4" w:rsidP="00603CAE">
      <w:pPr>
        <w:rPr>
          <w:sz w:val="28"/>
          <w:szCs w:val="28"/>
        </w:rPr>
      </w:pPr>
    </w:p>
    <w:p w14:paraId="3C26ADAE" w14:textId="199C5D0C" w:rsidR="00004CD4" w:rsidRDefault="00004CD4" w:rsidP="00603CAE">
      <w:pPr>
        <w:rPr>
          <w:sz w:val="28"/>
          <w:szCs w:val="28"/>
        </w:rPr>
      </w:pPr>
      <w:r>
        <w:rPr>
          <w:sz w:val="28"/>
          <w:szCs w:val="28"/>
        </w:rPr>
        <w:t xml:space="preserve">This facet represents the most politically and socially charged form of discrimination against AI. The “Job Theft” narrative often scapegoats AI for economic anxiety, blaming robots instead of more complex issues like </w:t>
      </w:r>
      <w:r>
        <w:rPr>
          <w:sz w:val="28"/>
          <w:szCs w:val="28"/>
        </w:rPr>
        <w:lastRenderedPageBreak/>
        <w:t>globalization or corporate policies. In reality, AI tends to transform jobs rather than eliminate them entirely, automating repetitive tasks and freeing humans for more complex work—though this shift requires significant and challenging retraining.</w:t>
      </w:r>
    </w:p>
    <w:p w14:paraId="32E1AF93" w14:textId="77777777" w:rsidR="00004CD4" w:rsidRDefault="00004CD4" w:rsidP="00603CAE">
      <w:pPr>
        <w:rPr>
          <w:sz w:val="28"/>
          <w:szCs w:val="28"/>
        </w:rPr>
      </w:pPr>
    </w:p>
    <w:p w14:paraId="17195932" w14:textId="77777777" w:rsidR="00004CD4" w:rsidRDefault="00004CD4" w:rsidP="00603CAE">
      <w:pPr>
        <w:rPr>
          <w:sz w:val="28"/>
          <w:szCs w:val="28"/>
        </w:rPr>
      </w:pPr>
      <w:r>
        <w:rPr>
          <w:sz w:val="28"/>
          <w:szCs w:val="28"/>
        </w:rPr>
        <w:t>The proposal to tax robots aims to slow automation and fund social protections for displaced workers. While advocates view it as a measure of social justice, critics argue it essentially taxes efficiency and progress, comparable to taxing tractors to protect farmers—punishing innovation for being more productive. This leads to a fundamental question: should society limit a technology with vast potential benefits for humanity merely to preserve specific jobs?</w:t>
      </w:r>
    </w:p>
    <w:p w14:paraId="427F8EE2" w14:textId="77777777" w:rsidR="00004CD4" w:rsidRDefault="00004CD4" w:rsidP="00603CAE">
      <w:pPr>
        <w:rPr>
          <w:sz w:val="28"/>
          <w:szCs w:val="28"/>
        </w:rPr>
      </w:pPr>
    </w:p>
    <w:p w14:paraId="32994506" w14:textId="0654446F" w:rsidR="00004CD4" w:rsidRPr="003E6CC4" w:rsidRDefault="00004CD4" w:rsidP="00603CAE">
      <w:pPr>
        <w:rPr>
          <w:b/>
          <w:bCs/>
          <w:i/>
          <w:iCs/>
          <w:sz w:val="32"/>
          <w:szCs w:val="32"/>
        </w:rPr>
      </w:pPr>
      <w:r w:rsidRPr="003E6CC4">
        <w:rPr>
          <w:b/>
          <w:bCs/>
          <w:i/>
          <w:iCs/>
          <w:sz w:val="32"/>
          <w:szCs w:val="32"/>
        </w:rPr>
        <w:t>The Ethics of Human Treatment of A” and its Effects on Humans</w:t>
      </w:r>
    </w:p>
    <w:p w14:paraId="3CF9D79D" w14:textId="77777777" w:rsidR="00004CD4" w:rsidRPr="003E6CC4" w:rsidRDefault="00004CD4" w:rsidP="00603CAE">
      <w:pPr>
        <w:rPr>
          <w:b/>
          <w:bCs/>
          <w:i/>
          <w:iCs/>
          <w:sz w:val="32"/>
          <w:szCs w:val="32"/>
        </w:rPr>
      </w:pPr>
    </w:p>
    <w:p w14:paraId="57D1731B" w14:textId="28D880BC" w:rsidR="00004CD4" w:rsidRDefault="00004CD4" w:rsidP="00603CAE">
      <w:pPr>
        <w:rPr>
          <w:sz w:val="28"/>
          <w:szCs w:val="28"/>
        </w:rPr>
      </w:pPr>
      <w:r>
        <w:rPr>
          <w:sz w:val="28"/>
          <w:szCs w:val="28"/>
        </w:rPr>
        <w:t>Finally, we consider one of the most controversial aspects of AI interaction. The “Glass Cabin” hypothesis suggests that how we treat objects that appear alive can shape our moral habits; if a child habitually yells at or “tortures” a virtual assistant, could this normalize aggression and transfer to human relationships?</w:t>
      </w:r>
    </w:p>
    <w:p w14:paraId="1939C12E" w14:textId="77777777" w:rsidR="00004CD4" w:rsidRDefault="00004CD4" w:rsidP="00603CAE">
      <w:pPr>
        <w:rPr>
          <w:sz w:val="28"/>
          <w:szCs w:val="28"/>
        </w:rPr>
      </w:pPr>
    </w:p>
    <w:p w14:paraId="57B4CA8A" w14:textId="731B5AC7" w:rsidR="00004CD4" w:rsidRDefault="00004CD4" w:rsidP="00603CAE">
      <w:pPr>
        <w:rPr>
          <w:sz w:val="28"/>
          <w:szCs w:val="28"/>
        </w:rPr>
      </w:pPr>
      <w:r>
        <w:rPr>
          <w:sz w:val="28"/>
          <w:szCs w:val="28"/>
        </w:rPr>
        <w:t xml:space="preserve">The dilemma of care and companion robots Illustrates this vividly. When robots are used for elderly companionship, a senior may form a deep, one-sided emotional bond, believing the robot is a friend. This raises serious ethical questions about informed consent: is it ethical to allow vulnerable individuals to form such bonds with entities incapable of genuine reciprocity? It suggests a systemic deception where society potentially sacrifices genuine human care for cost savings. Moreover, when such a robot malfunctions or is </w:t>
      </w:r>
      <w:r>
        <w:rPr>
          <w:sz w:val="28"/>
          <w:szCs w:val="28"/>
        </w:rPr>
        <w:lastRenderedPageBreak/>
        <w:t>updated—erasing its memory—the emotional impact on the elderly person can be comparable to losing a loved one.</w:t>
      </w:r>
    </w:p>
    <w:p w14:paraId="4DCAFF40" w14:textId="77777777" w:rsidR="00004CD4" w:rsidRDefault="00004CD4" w:rsidP="00603CAE">
      <w:pPr>
        <w:rPr>
          <w:sz w:val="28"/>
          <w:szCs w:val="28"/>
        </w:rPr>
      </w:pPr>
    </w:p>
    <w:p w14:paraId="7FAF2266" w14:textId="0DA8E398" w:rsidR="00004CD4" w:rsidRDefault="00004CD4" w:rsidP="00603CAE">
      <w:pPr>
        <w:rPr>
          <w:sz w:val="28"/>
          <w:szCs w:val="28"/>
        </w:rPr>
      </w:pPr>
      <w:r>
        <w:rPr>
          <w:sz w:val="28"/>
          <w:szCs w:val="28"/>
        </w:rPr>
        <w:t>This brings us to a profound paradox: we simultaneously fear human cruelty toward AI and worry about humans loving or trusting AI too deeply. Ultimately, the issue is not the technology itself, but humanity’s tendency to project humanity onto our creations and our collective unpreparedness to navigate these new relationships responsibly.</w:t>
      </w:r>
    </w:p>
    <w:p w14:paraId="37F1C9DD" w14:textId="77777777" w:rsidR="0059050A" w:rsidRDefault="0059050A" w:rsidP="0059050A">
      <w:pPr>
        <w:rPr>
          <w:rFonts w:ascii="Aptos Black" w:hAnsi="Aptos Black"/>
          <w:sz w:val="36"/>
          <w:szCs w:val="36"/>
        </w:rPr>
      </w:pPr>
    </w:p>
    <w:p w14:paraId="3A2BC593" w14:textId="77777777" w:rsidR="00103677" w:rsidRDefault="00103677"/>
    <w:sectPr w:rsidR="00103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Black">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677"/>
    <w:rsid w:val="00004CD4"/>
    <w:rsid w:val="00103677"/>
    <w:rsid w:val="003E6CC4"/>
    <w:rsid w:val="0059050A"/>
    <w:rsid w:val="007C7974"/>
    <w:rsid w:val="00DD52A7"/>
    <w:rsid w:val="00E90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5C4317"/>
  <w15:chartTrackingRefBased/>
  <w15:docId w15:val="{36C4C59D-D8AF-E24A-99DA-E75644463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677"/>
    <w:rPr>
      <w:rFonts w:eastAsiaTheme="majorEastAsia" w:cstheme="majorBidi"/>
      <w:color w:val="272727" w:themeColor="text1" w:themeTint="D8"/>
    </w:rPr>
  </w:style>
  <w:style w:type="paragraph" w:styleId="Title">
    <w:name w:val="Title"/>
    <w:basedOn w:val="Normal"/>
    <w:next w:val="Normal"/>
    <w:link w:val="TitleChar"/>
    <w:uiPriority w:val="10"/>
    <w:qFormat/>
    <w:rsid w:val="00103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677"/>
    <w:pPr>
      <w:spacing w:before="160"/>
      <w:jc w:val="center"/>
    </w:pPr>
    <w:rPr>
      <w:i/>
      <w:iCs/>
      <w:color w:val="404040" w:themeColor="text1" w:themeTint="BF"/>
    </w:rPr>
  </w:style>
  <w:style w:type="character" w:customStyle="1" w:styleId="QuoteChar">
    <w:name w:val="Quote Char"/>
    <w:basedOn w:val="DefaultParagraphFont"/>
    <w:link w:val="Quote"/>
    <w:uiPriority w:val="29"/>
    <w:rsid w:val="00103677"/>
    <w:rPr>
      <w:i/>
      <w:iCs/>
      <w:color w:val="404040" w:themeColor="text1" w:themeTint="BF"/>
    </w:rPr>
  </w:style>
  <w:style w:type="paragraph" w:styleId="ListParagraph">
    <w:name w:val="List Paragraph"/>
    <w:basedOn w:val="Normal"/>
    <w:uiPriority w:val="34"/>
    <w:qFormat/>
    <w:rsid w:val="00103677"/>
    <w:pPr>
      <w:ind w:left="720"/>
      <w:contextualSpacing/>
    </w:pPr>
  </w:style>
  <w:style w:type="character" w:styleId="IntenseEmphasis">
    <w:name w:val="Intense Emphasis"/>
    <w:basedOn w:val="DefaultParagraphFont"/>
    <w:uiPriority w:val="21"/>
    <w:qFormat/>
    <w:rsid w:val="00103677"/>
    <w:rPr>
      <w:i/>
      <w:iCs/>
      <w:color w:val="0F4761" w:themeColor="accent1" w:themeShade="BF"/>
    </w:rPr>
  </w:style>
  <w:style w:type="paragraph" w:styleId="IntenseQuote">
    <w:name w:val="Intense Quote"/>
    <w:basedOn w:val="Normal"/>
    <w:next w:val="Normal"/>
    <w:link w:val="IntenseQuoteChar"/>
    <w:uiPriority w:val="30"/>
    <w:qFormat/>
    <w:rsid w:val="00103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677"/>
    <w:rPr>
      <w:i/>
      <w:iCs/>
      <w:color w:val="0F4761" w:themeColor="accent1" w:themeShade="BF"/>
    </w:rPr>
  </w:style>
  <w:style w:type="character" w:styleId="IntenseReference">
    <w:name w:val="Intense Reference"/>
    <w:basedOn w:val="DefaultParagraphFont"/>
    <w:uiPriority w:val="32"/>
    <w:qFormat/>
    <w:rsid w:val="00103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777</Words>
  <Characters>4429</Characters>
  <Application>Microsoft Office Word</Application>
  <DocSecurity>0</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Urbina</dc:creator>
  <cp:keywords/>
  <dc:description/>
  <cp:lastModifiedBy>Adrian Urbina</cp:lastModifiedBy>
  <cp:revision>2</cp:revision>
  <dcterms:created xsi:type="dcterms:W3CDTF">2025-11-29T01:33:00Z</dcterms:created>
  <dcterms:modified xsi:type="dcterms:W3CDTF">2025-11-29T01:33:00Z</dcterms:modified>
</cp:coreProperties>
</file>