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b/>
          <w:color w:val="E07856"/>
          <w:sz w:val="40"/>
        </w:rPr>
        <w:t>e.mappa</w:t>
      </w:r>
    </w:p>
    <w:p>
      <w:pPr>
        <w:jc w:val="center"/>
      </w:pPr>
      <w:r>
        <w:rPr>
          <w:b/>
          <w:sz w:val="36"/>
        </w:rPr>
        <w:t>Installation Process</w:t>
      </w:r>
    </w:p>
    <w:p>
      <w:pPr>
        <w:jc w:val="center"/>
      </w:pPr>
      <w:r>
        <w:rPr>
          <w:color w:val="666666"/>
          <w:sz w:val="20"/>
        </w:rPr>
        <w:t>Project deployment, Deployment Readiness Score (DRS), Live Building Readiness Score (LBRS), electrician economics, and hardware checklists</w:t>
      </w:r>
    </w:p>
    <w:tbl>
      <w:tblPr>
        <w:tblStyle w:val="TableGrid"/>
        <w:tblW w:type="auto" w:w="0"/>
        <w:tblLook w:firstColumn="1" w:firstRow="1" w:lastColumn="0" w:lastRow="0" w:noHBand="0" w:noVBand="1" w:val="04A0"/>
      </w:tblPr>
      <w:tblGrid>
        <w:gridCol w:w="10368"/>
      </w:tblGrid>
      <w:tr>
        <w:tc>
          <w:tcPr>
            <w:tcW w:type="dxa" w:w="10368"/>
            <w:shd w:fill="E8F1F8"/>
          </w:tcPr>
          <w:p>
            <w:pPr>
              <w:spacing w:after="60"/>
            </w:pPr>
            <w:r>
              <w:rPr>
                <w:b/>
                <w:color w:val="111111"/>
                <w:sz w:val="20"/>
              </w:rPr>
              <w:t>Scope</w:t>
            </w:r>
          </w:p>
          <w:p>
            <w:pPr>
              <w:spacing w:after="0"/>
            </w:pPr>
            <w:r>
              <w:rPr>
                <w:sz w:val="18"/>
              </w:rPr>
              <w:t>This is a product and implementation spec for e.mappa apartment-building deployment. It assumes the canonical v3 architecture: separate e.mappa solar bus, per-apartment ATS switching, KPLC fallback, prepaid-only energy usage, and settlement only on monetized solar.</w:t>
            </w:r>
          </w:p>
        </w:tc>
      </w:tr>
    </w:tbl>
    <w:p/>
    <w:p>
      <w:pPr>
        <w:pStyle w:val="Heading1"/>
      </w:pPr>
      <w:r>
        <w:t>1. Executive Summary</w:t>
      </w:r>
    </w:p>
    <w:p>
      <w:r>
        <w:t>The installation process has two separate gates. First, the building owner initiates a project. That triggers DRS, which proves the project is ready to deploy. Second, after installation work is complete, LBRS proves the building is safe, tested, metered, switched, and settlement-ready. Only then can the building go live.</w:t>
      </w:r>
    </w:p>
    <w:tbl>
      <w:tblPr>
        <w:tblStyle w:val="TableGrid"/>
        <w:tblW w:type="auto" w:w="0"/>
        <w:tblLook w:firstColumn="1" w:firstRow="1" w:lastColumn="0" w:lastRow="0" w:noHBand="0" w:noVBand="1" w:val="04A0"/>
      </w:tblPr>
      <w:tblGrid>
        <w:gridCol w:w="10368"/>
      </w:tblGrid>
      <w:tr>
        <w:tc>
          <w:tcPr>
            <w:tcW w:type="dxa" w:w="10368"/>
            <w:shd w:fill="FDF0EC"/>
          </w:tcPr>
          <w:p>
            <w:pPr>
              <w:spacing w:after="60"/>
            </w:pPr>
            <w:r>
              <w:rPr>
                <w:b/>
                <w:color w:val="111111"/>
                <w:sz w:val="20"/>
              </w:rPr>
              <w:t>Operating rule</w:t>
            </w:r>
          </w:p>
          <w:p>
            <w:pPr>
              <w:spacing w:after="0"/>
            </w:pPr>
            <w:r>
              <w:rPr>
                <w:sz w:val="18"/>
              </w:rPr>
              <w:t>DRS answers: “Should installation begin?” LBRS answers: “Can residents safely consume prepaid e.mappa energy now?” Both must be 100%. A single critical blocker keeps the score below 100%.</w:t>
            </w:r>
          </w:p>
        </w:tc>
      </w:tr>
    </w:tbl>
    <w:p/>
    <w:p>
      <w:pPr>
        <w:pStyle w:val="Heading1"/>
      </w:pPr>
      <w:r>
        <w:t>2. Correct Architecture Assumption</w:t>
      </w:r>
    </w:p>
    <w:p>
      <w:r>
        <w:t>The installation process must use the v3 hardware model: separate e.mappa solar bus, dedicated Solar DB, per-apartment ATS switching at/near the individual meter point, per-apartment solar metering, and KPLC fallback. Do not design project deployment around common-bus injection.</w:t>
      </w:r>
    </w:p>
    <w:tbl>
      <w:tblPr>
        <w:tblStyle w:val="TableGrid"/>
        <w:tblW w:type="auto" w:w="0"/>
        <w:jc w:val="center"/>
        <w:tblLook w:firstColumn="1" w:firstRow="1" w:lastColumn="0" w:lastRow="0" w:noHBand="0" w:noVBand="1" w:val="04A0"/>
      </w:tblPr>
      <w:tblGrid>
        <w:gridCol w:w="5184"/>
        <w:gridCol w:w="5184"/>
      </w:tblGrid>
      <w:tr>
        <w:tc>
          <w:tcPr>
            <w:tcW w:type="dxa" w:w="2304"/>
            <w:shd w:fill="111111"/>
            <w:vAlign w:val="center"/>
          </w:tcPr>
          <w:p>
            <w:pPr>
              <w:spacing w:after="0"/>
            </w:pPr>
            <w:r/>
            <w:r>
              <w:rPr>
                <w:b/>
                <w:color w:val="FFFFFF"/>
                <w:sz w:val="16"/>
              </w:rPr>
              <w:t>Layer</w:t>
            </w:r>
          </w:p>
        </w:tc>
        <w:tc>
          <w:tcPr>
            <w:tcW w:type="dxa" w:w="7776"/>
            <w:shd w:fill="111111"/>
            <w:vAlign w:val="center"/>
          </w:tcPr>
          <w:p>
            <w:pPr>
              <w:spacing w:after="0"/>
            </w:pPr>
            <w:r/>
            <w:r>
              <w:rPr>
                <w:b/>
                <w:color w:val="FFFFFF"/>
                <w:sz w:val="16"/>
              </w:rPr>
              <w:t>Canonical implementation</w:t>
            </w:r>
          </w:p>
        </w:tc>
      </w:tr>
      <w:tr>
        <w:tc>
          <w:tcPr>
            <w:tcW w:type="dxa" w:w="2304"/>
            <w:vAlign w:val="top"/>
          </w:tcPr>
          <w:p>
            <w:pPr>
              <w:spacing w:after="0"/>
            </w:pPr>
            <w:r/>
            <w:r>
              <w:rPr>
                <w:b w:val="0"/>
                <w:sz w:val="16"/>
              </w:rPr>
              <w:t>Generation</w:t>
            </w:r>
          </w:p>
        </w:tc>
        <w:tc>
          <w:tcPr>
            <w:tcW w:type="dxa" w:w="7776"/>
            <w:vAlign w:val="top"/>
          </w:tcPr>
          <w:p>
            <w:pPr>
              <w:spacing w:after="0"/>
            </w:pPr>
            <w:r/>
            <w:r>
              <w:rPr>
                <w:b w:val="0"/>
                <w:sz w:val="16"/>
              </w:rPr>
              <w:t>Provider-owned panels connect to hybrid inverter DC inputs. MPPT channels support provider-level production accounting.</w:t>
            </w:r>
          </w:p>
        </w:tc>
      </w:tr>
      <w:tr>
        <w:tc>
          <w:tcPr>
            <w:tcW w:type="dxa" w:w="2304"/>
            <w:vAlign w:val="top"/>
          </w:tcPr>
          <w:p>
            <w:pPr>
              <w:spacing w:after="0"/>
            </w:pPr>
            <w:r/>
            <w:r>
              <w:rPr>
                <w:b w:val="0"/>
                <w:sz w:val="16"/>
              </w:rPr>
              <w:t>Storage/conversion</w:t>
            </w:r>
          </w:p>
        </w:tc>
        <w:tc>
          <w:tcPr>
            <w:tcW w:type="dxa" w:w="7776"/>
            <w:vAlign w:val="top"/>
          </w:tcPr>
          <w:p>
            <w:pPr>
              <w:spacing w:after="0"/>
            </w:pPr>
            <w:r/>
            <w:r>
              <w:rPr>
                <w:b w:val="0"/>
                <w:sz w:val="16"/>
              </w:rPr>
              <w:t>Hybrid inverter manages battery charging/discharging and supplies the e.mappa solar bus.</w:t>
            </w:r>
          </w:p>
        </w:tc>
      </w:tr>
      <w:tr>
        <w:tc>
          <w:tcPr>
            <w:tcW w:type="dxa" w:w="2304"/>
            <w:vAlign w:val="top"/>
          </w:tcPr>
          <w:p>
            <w:pPr>
              <w:spacing w:after="0"/>
            </w:pPr>
            <w:r/>
            <w:r>
              <w:rPr>
                <w:b w:val="0"/>
                <w:sz w:val="16"/>
              </w:rPr>
              <w:t>Solar DB</w:t>
            </w:r>
          </w:p>
        </w:tc>
        <w:tc>
          <w:tcPr>
            <w:tcW w:type="dxa" w:w="7776"/>
            <w:vAlign w:val="top"/>
          </w:tcPr>
          <w:p>
            <w:pPr>
              <w:spacing w:after="0"/>
            </w:pPr>
            <w:r/>
            <w:r>
              <w:rPr>
                <w:b w:val="0"/>
                <w:sz w:val="16"/>
              </w:rPr>
              <w:t>Inverter AC output feeds a dedicated e.mappa Solar Distribution Board, not the KPLC/main common bus.</w:t>
            </w:r>
          </w:p>
        </w:tc>
      </w:tr>
      <w:tr>
        <w:tc>
          <w:tcPr>
            <w:tcW w:type="dxa" w:w="2304"/>
            <w:vAlign w:val="top"/>
          </w:tcPr>
          <w:p>
            <w:pPr>
              <w:spacing w:after="0"/>
            </w:pPr>
            <w:r/>
            <w:r>
              <w:rPr>
                <w:b w:val="0"/>
                <w:sz w:val="16"/>
              </w:rPr>
              <w:t>Per-apartment ATS</w:t>
            </w:r>
          </w:p>
        </w:tc>
        <w:tc>
          <w:tcPr>
            <w:tcW w:type="dxa" w:w="7776"/>
            <w:vAlign w:val="top"/>
          </w:tcPr>
          <w:p>
            <w:pPr>
              <w:spacing w:after="0"/>
            </w:pPr>
            <w:r/>
            <w:r>
              <w:rPr>
                <w:b w:val="0"/>
                <w:sz w:val="16"/>
              </w:rPr>
              <w:t>Each enrolled apartment gets an ATS between KPLC STS meter output, solar feed, and apartment cable riser.</w:t>
            </w:r>
          </w:p>
        </w:tc>
      </w:tr>
      <w:tr>
        <w:tc>
          <w:tcPr>
            <w:tcW w:type="dxa" w:w="2304"/>
            <w:vAlign w:val="top"/>
          </w:tcPr>
          <w:p>
            <w:pPr>
              <w:spacing w:after="0"/>
            </w:pPr>
            <w:r/>
            <w:r>
              <w:rPr>
                <w:b w:val="0"/>
                <w:sz w:val="16"/>
              </w:rPr>
              <w:t>KPLC fallback</w:t>
            </w:r>
          </w:p>
        </w:tc>
        <w:tc>
          <w:tcPr>
            <w:tcW w:type="dxa" w:w="7776"/>
            <w:vAlign w:val="top"/>
          </w:tcPr>
          <w:p>
            <w:pPr>
              <w:spacing w:after="0"/>
            </w:pPr>
            <w:r/>
            <w:r>
              <w:rPr>
                <w:b w:val="0"/>
                <w:sz w:val="16"/>
              </w:rPr>
              <w:t>When tokens run out or solar/battery is unavailable, ATS selects KPLC. KPLC and e.mappa sources do not mix.</w:t>
            </w:r>
          </w:p>
        </w:tc>
      </w:tr>
      <w:tr>
        <w:tc>
          <w:tcPr>
            <w:tcW w:type="dxa" w:w="2304"/>
            <w:vAlign w:val="top"/>
          </w:tcPr>
          <w:p>
            <w:pPr>
              <w:spacing w:after="0"/>
            </w:pPr>
            <w:r/>
            <w:r>
              <w:rPr>
                <w:b w:val="0"/>
                <w:sz w:val="16"/>
              </w:rPr>
              <w:t>Metering</w:t>
            </w:r>
          </w:p>
        </w:tc>
        <w:tc>
          <w:tcPr>
            <w:tcW w:type="dxa" w:w="7776"/>
            <w:vAlign w:val="top"/>
          </w:tcPr>
          <w:p>
            <w:pPr>
              <w:spacing w:after="0"/>
            </w:pPr>
            <w:r/>
            <w:r>
              <w:rPr>
                <w:b w:val="0"/>
                <w:sz w:val="16"/>
              </w:rPr>
              <w:t>System-level and apartment-level meters reconcile monetized solar for settlement.</w:t>
            </w:r>
          </w:p>
        </w:tc>
      </w:tr>
    </w:tbl>
    <w:p/>
    <w:p>
      <w:pPr>
        <w:pStyle w:val="Heading1"/>
      </w:pPr>
      <w:r>
        <w:t>3. Deployment Readiness Score (DRS)</w:t>
      </w:r>
    </w:p>
    <w:p>
      <w:r>
        <w:t>DRS is not part of owner onboarding. It begins only after a verified owner clicks to initiate a deployment project. DRS is a backend/project-ops gate that determines whether physical installation should proceed.</w:t>
      </w:r>
    </w:p>
    <w:tbl>
      <w:tblPr>
        <w:tblStyle w:val="TableGrid"/>
        <w:tblW w:type="auto" w:w="0"/>
        <w:jc w:val="center"/>
        <w:tblLook w:firstColumn="1" w:firstRow="1" w:lastColumn="0" w:lastRow="0" w:noHBand="0" w:noVBand="1" w:val="04A0"/>
      </w:tblPr>
      <w:tblGrid>
        <w:gridCol w:w="3456"/>
        <w:gridCol w:w="3456"/>
        <w:gridCol w:w="3456"/>
      </w:tblGrid>
      <w:tr>
        <w:tc>
          <w:tcPr>
            <w:tcW w:type="dxa" w:w="2448"/>
            <w:shd w:fill="E07856"/>
            <w:vAlign w:val="center"/>
          </w:tcPr>
          <w:p>
            <w:pPr>
              <w:spacing w:after="0"/>
            </w:pPr>
            <w:r/>
            <w:r>
              <w:rPr>
                <w:b/>
                <w:color w:val="FFFFFF"/>
                <w:sz w:val="16"/>
              </w:rPr>
              <w:t>DRS component</w:t>
            </w:r>
          </w:p>
        </w:tc>
        <w:tc>
          <w:tcPr>
            <w:tcW w:type="dxa" w:w="5328"/>
            <w:shd w:fill="E07856"/>
            <w:vAlign w:val="center"/>
          </w:tcPr>
          <w:p>
            <w:pPr>
              <w:spacing w:after="0"/>
            </w:pPr>
            <w:r/>
            <w:r>
              <w:rPr>
                <w:b/>
                <w:color w:val="FFFFFF"/>
                <w:sz w:val="16"/>
              </w:rPr>
              <w:t>What must be true</w:t>
            </w:r>
          </w:p>
        </w:tc>
        <w:tc>
          <w:tcPr>
            <w:tcW w:type="dxa" w:w="2304"/>
            <w:shd w:fill="E07856"/>
            <w:vAlign w:val="center"/>
          </w:tcPr>
          <w:p>
            <w:pPr>
              <w:spacing w:after="0"/>
            </w:pPr>
            <w:r/>
            <w:r>
              <w:rPr>
                <w:b/>
                <w:color w:val="FFFFFF"/>
                <w:sz w:val="16"/>
              </w:rPr>
              <w:t>Why it matters</w:t>
            </w:r>
          </w:p>
        </w:tc>
      </w:tr>
      <w:tr>
        <w:tc>
          <w:tcPr>
            <w:tcW w:type="dxa" w:w="2448"/>
            <w:vAlign w:val="top"/>
          </w:tcPr>
          <w:p>
            <w:pPr>
              <w:spacing w:after="0"/>
            </w:pPr>
            <w:r/>
            <w:r>
              <w:rPr>
                <w:b w:val="0"/>
                <w:sz w:val="16"/>
              </w:rPr>
              <w:t>Owner authorization</w:t>
            </w:r>
          </w:p>
        </w:tc>
        <w:tc>
          <w:tcPr>
            <w:tcW w:type="dxa" w:w="5328"/>
            <w:vAlign w:val="top"/>
          </w:tcPr>
          <w:p>
            <w:pPr>
              <w:spacing w:after="0"/>
            </w:pPr>
            <w:r/>
            <w:r>
              <w:rPr>
                <w:b w:val="0"/>
                <w:sz w:val="16"/>
              </w:rPr>
              <w:t>Verified owner/manager authority, written rooftop/meter-area/cable-routing permission, access windows, site contact.</w:t>
            </w:r>
          </w:p>
        </w:tc>
        <w:tc>
          <w:tcPr>
            <w:tcW w:type="dxa" w:w="2304"/>
            <w:vAlign w:val="top"/>
          </w:tcPr>
          <w:p>
            <w:pPr>
              <w:spacing w:after="0"/>
            </w:pPr>
            <w:r/>
            <w:r>
              <w:rPr>
                <w:b w:val="0"/>
                <w:sz w:val="16"/>
              </w:rPr>
              <w:t>Without legal/site permission, no deployment.</w:t>
            </w:r>
          </w:p>
        </w:tc>
      </w:tr>
      <w:tr>
        <w:tc>
          <w:tcPr>
            <w:tcW w:type="dxa" w:w="2448"/>
            <w:vAlign w:val="top"/>
          </w:tcPr>
          <w:p>
            <w:pPr>
              <w:spacing w:after="0"/>
            </w:pPr>
            <w:r/>
            <w:r>
              <w:rPr>
                <w:b w:val="0"/>
                <w:sz w:val="16"/>
              </w:rPr>
              <w:t>Stakeholder availability</w:t>
            </w:r>
          </w:p>
        </w:tc>
        <w:tc>
          <w:tcPr>
            <w:tcW w:type="dxa" w:w="5328"/>
            <w:vAlign w:val="top"/>
          </w:tcPr>
          <w:p>
            <w:pPr>
              <w:spacing w:after="0"/>
            </w:pPr>
            <w:r/>
            <w:r>
              <w:rPr>
                <w:b w:val="0"/>
                <w:sz w:val="16"/>
              </w:rPr>
              <w:t>Vetted electricians/installers available; providers/suppliers available; financiers or equipment-as-a-service commitments available.</w:t>
            </w:r>
          </w:p>
        </w:tc>
        <w:tc>
          <w:tcPr>
            <w:tcW w:type="dxa" w:w="2304"/>
            <w:vAlign w:val="top"/>
          </w:tcPr>
          <w:p>
            <w:pPr>
              <w:spacing w:after="0"/>
            </w:pPr>
            <w:r/>
            <w:r>
              <w:rPr>
                <w:b w:val="0"/>
                <w:sz w:val="16"/>
              </w:rPr>
              <w:t>Stakeholders must be compliance-checked and committed to project terms.</w:t>
            </w:r>
          </w:p>
        </w:tc>
      </w:tr>
      <w:tr>
        <w:tc>
          <w:tcPr>
            <w:tcW w:type="dxa" w:w="2448"/>
            <w:vAlign w:val="top"/>
          </w:tcPr>
          <w:p>
            <w:pPr>
              <w:spacing w:after="0"/>
            </w:pPr>
            <w:r/>
            <w:r>
              <w:rPr>
                <w:b w:val="0"/>
                <w:sz w:val="16"/>
              </w:rPr>
              <w:t>Site inspection</w:t>
            </w:r>
          </w:p>
        </w:tc>
        <w:tc>
          <w:tcPr>
            <w:tcW w:type="dxa" w:w="5328"/>
            <w:vAlign w:val="top"/>
          </w:tcPr>
          <w:p>
            <w:pPr>
              <w:spacing w:after="0"/>
            </w:pPr>
            <w:r/>
            <w:r>
              <w:rPr>
                <w:b w:val="0"/>
                <w:sz w:val="16"/>
              </w:rPr>
              <w:t>KPLC meter bank documented, cable risers traced, roof assessed, Solar DB/ATS wall space measured, connectivity checked, structural/shading risks captured.</w:t>
            </w:r>
          </w:p>
        </w:tc>
        <w:tc>
          <w:tcPr>
            <w:tcW w:type="dxa" w:w="2304"/>
            <w:vAlign w:val="top"/>
          </w:tcPr>
          <w:p>
            <w:pPr>
              <w:spacing w:after="0"/>
            </w:pPr>
            <w:r/>
            <w:r>
              <w:rPr>
                <w:b w:val="0"/>
                <w:sz w:val="16"/>
              </w:rPr>
              <w:t>Electrician/site survey converts rough owner data into deployable facts.</w:t>
            </w:r>
          </w:p>
        </w:tc>
      </w:tr>
      <w:tr>
        <w:tc>
          <w:tcPr>
            <w:tcW w:type="dxa" w:w="2448"/>
            <w:vAlign w:val="top"/>
          </w:tcPr>
          <w:p>
            <w:pPr>
              <w:spacing w:after="0"/>
            </w:pPr>
            <w:r/>
            <w:r>
              <w:rPr>
                <w:b w:val="0"/>
                <w:sz w:val="16"/>
              </w:rPr>
              <w:t>Capacity plan</w:t>
            </w:r>
          </w:p>
        </w:tc>
        <w:tc>
          <w:tcPr>
            <w:tcW w:type="dxa" w:w="5328"/>
            <w:vAlign w:val="top"/>
          </w:tcPr>
          <w:p>
            <w:pPr>
              <w:spacing w:after="0"/>
            </w:pPr>
            <w:r/>
            <w:r>
              <w:rPr>
                <w:b w:val="0"/>
                <w:sz w:val="16"/>
              </w:rPr>
              <w:t>Array kW, battery usable kWh, inverter kW, max active apartments, ATS/meter count, reserve margin, expansion plan.</w:t>
            </w:r>
          </w:p>
        </w:tc>
        <w:tc>
          <w:tcPr>
            <w:tcW w:type="dxa" w:w="2304"/>
            <w:vAlign w:val="top"/>
          </w:tcPr>
          <w:p>
            <w:pPr>
              <w:spacing w:after="0"/>
            </w:pPr>
            <w:r/>
            <w:r>
              <w:rPr>
                <w:b w:val="0"/>
                <w:sz w:val="16"/>
              </w:rPr>
              <w:t>Capacity is finite. Do not promise every apartment service in phase one.</w:t>
            </w:r>
          </w:p>
        </w:tc>
      </w:tr>
      <w:tr>
        <w:tc>
          <w:tcPr>
            <w:tcW w:type="dxa" w:w="2448"/>
            <w:vAlign w:val="top"/>
          </w:tcPr>
          <w:p>
            <w:pPr>
              <w:spacing w:after="0"/>
            </w:pPr>
            <w:r/>
            <w:r>
              <w:rPr>
                <w:b w:val="0"/>
                <w:sz w:val="16"/>
              </w:rPr>
              <w:t>Demand proof</w:t>
            </w:r>
          </w:p>
        </w:tc>
        <w:tc>
          <w:tcPr>
            <w:tcW w:type="dxa" w:w="5328"/>
            <w:vAlign w:val="top"/>
          </w:tcPr>
          <w:p>
            <w:pPr>
              <w:spacing w:after="0"/>
            </w:pPr>
            <w:r/>
            <w:r>
              <w:rPr>
                <w:b w:val="0"/>
                <w:sz w:val="16"/>
              </w:rPr>
              <w:t>Resident pledges, load profiles, apartment mapping, expected daytime/evening demand, utilization forecast.</w:t>
            </w:r>
          </w:p>
        </w:tc>
        <w:tc>
          <w:tcPr>
            <w:tcW w:type="dxa" w:w="2304"/>
            <w:vAlign w:val="top"/>
          </w:tcPr>
          <w:p>
            <w:pPr>
              <w:spacing w:after="0"/>
            </w:pPr>
            <w:r/>
            <w:r>
              <w:rPr>
                <w:b w:val="0"/>
                <w:sz w:val="16"/>
              </w:rPr>
              <w:t>Under-utilization is the biggest economic risk. Demand must justify deployment.</w:t>
            </w:r>
          </w:p>
        </w:tc>
      </w:tr>
      <w:tr>
        <w:tc>
          <w:tcPr>
            <w:tcW w:type="dxa" w:w="2448"/>
            <w:vAlign w:val="top"/>
          </w:tcPr>
          <w:p>
            <w:pPr>
              <w:spacing w:after="0"/>
            </w:pPr>
            <w:r/>
            <w:r>
              <w:rPr>
                <w:b w:val="0"/>
                <w:sz w:val="16"/>
              </w:rPr>
              <w:t>Hardware package ready</w:t>
            </w:r>
          </w:p>
        </w:tc>
        <w:tc>
          <w:tcPr>
            <w:tcW w:type="dxa" w:w="5328"/>
            <w:vAlign w:val="top"/>
          </w:tcPr>
          <w:p>
            <w:pPr>
              <w:spacing w:after="0"/>
            </w:pPr>
            <w:r/>
            <w:r>
              <w:rPr>
                <w:b w:val="0"/>
                <w:sz w:val="16"/>
              </w:rPr>
              <w:t>Inverter, battery, Solar DB, ATS units, DIN rail meters, breakers, SPD, cable, conduit, mounting, connectivity, provider panels.</w:t>
            </w:r>
          </w:p>
        </w:tc>
        <w:tc>
          <w:tcPr>
            <w:tcW w:type="dxa" w:w="2304"/>
            <w:vAlign w:val="top"/>
          </w:tcPr>
          <w:p>
            <w:pPr>
              <w:spacing w:after="0"/>
            </w:pPr>
            <w:r/>
            <w:r>
              <w:rPr>
                <w:b w:val="0"/>
                <w:sz w:val="16"/>
              </w:rPr>
              <w:t>Components must match the curated checklist. No hidden missing parts.</w:t>
            </w:r>
          </w:p>
        </w:tc>
      </w:tr>
      <w:tr>
        <w:tc>
          <w:tcPr>
            <w:tcW w:type="dxa" w:w="2448"/>
            <w:vAlign w:val="top"/>
          </w:tcPr>
          <w:p>
            <w:pPr>
              <w:spacing w:after="0"/>
            </w:pPr>
            <w:r/>
            <w:r>
              <w:rPr>
                <w:b w:val="0"/>
                <w:sz w:val="16"/>
              </w:rPr>
              <w:t>Electrician payment / labor capital resolved</w:t>
            </w:r>
          </w:p>
        </w:tc>
        <w:tc>
          <w:tcPr>
            <w:tcW w:type="dxa" w:w="5328"/>
            <w:vAlign w:val="top"/>
          </w:tcPr>
          <w:p>
            <w:pPr>
              <w:spacing w:after="0"/>
            </w:pPr>
            <w:r/>
            <w:r>
              <w:rPr>
                <w:b w:val="0"/>
                <w:sz w:val="16"/>
              </w:rPr>
              <w:t>Labor cost funded upfront or explicitly converted into labor-as-capital terms.</w:t>
            </w:r>
          </w:p>
        </w:tc>
        <w:tc>
          <w:tcPr>
            <w:tcW w:type="dxa" w:w="2304"/>
            <w:vAlign w:val="top"/>
          </w:tcPr>
          <w:p>
            <w:pPr>
              <w:spacing w:after="0"/>
            </w:pPr>
            <w:r/>
            <w:r>
              <w:rPr>
                <w:b w:val="0"/>
                <w:sz w:val="16"/>
              </w:rPr>
              <w:t>Default: electricians paid upfront. Alternative requires formal opt-in and risk disclosure.</w:t>
            </w:r>
          </w:p>
        </w:tc>
      </w:tr>
      <w:tr>
        <w:tc>
          <w:tcPr>
            <w:tcW w:type="dxa" w:w="2448"/>
            <w:vAlign w:val="top"/>
          </w:tcPr>
          <w:p>
            <w:pPr>
              <w:spacing w:after="0"/>
            </w:pPr>
            <w:r/>
            <w:r>
              <w:rPr>
                <w:b w:val="0"/>
                <w:sz w:val="16"/>
              </w:rPr>
              <w:t>Contracts and waterfall terms</w:t>
            </w:r>
          </w:p>
        </w:tc>
        <w:tc>
          <w:tcPr>
            <w:tcW w:type="dxa" w:w="5328"/>
            <w:vAlign w:val="top"/>
          </w:tcPr>
          <w:p>
            <w:pPr>
              <w:spacing w:after="0"/>
            </w:pPr>
            <w:r/>
            <w:r>
              <w:rPr>
                <w:b w:val="0"/>
                <w:sz w:val="16"/>
              </w:rPr>
              <w:t>Provider, financier/labor-capital, owner host royalty, maintenance reserve, e.mappa fee, ownership/share terms.</w:t>
            </w:r>
          </w:p>
        </w:tc>
        <w:tc>
          <w:tcPr>
            <w:tcW w:type="dxa" w:w="2304"/>
            <w:vAlign w:val="top"/>
          </w:tcPr>
          <w:p>
            <w:pPr>
              <w:spacing w:after="0"/>
            </w:pPr>
            <w:r/>
            <w:r>
              <w:rPr>
                <w:b w:val="0"/>
                <w:sz w:val="16"/>
              </w:rPr>
              <w:t>Everyone must know which payout pool they are in before installation begins.</w:t>
            </w:r>
          </w:p>
        </w:tc>
      </w:tr>
      <w:tr>
        <w:tc>
          <w:tcPr>
            <w:tcW w:type="dxa" w:w="2448"/>
            <w:vAlign w:val="top"/>
          </w:tcPr>
          <w:p>
            <w:pPr>
              <w:spacing w:after="0"/>
            </w:pPr>
            <w:r/>
            <w:r>
              <w:rPr>
                <w:b w:val="0"/>
                <w:sz w:val="16"/>
              </w:rPr>
              <w:t>Regulatory/compliance review</w:t>
            </w:r>
          </w:p>
        </w:tc>
        <w:tc>
          <w:tcPr>
            <w:tcW w:type="dxa" w:w="5328"/>
            <w:vAlign w:val="top"/>
          </w:tcPr>
          <w:p>
            <w:pPr>
              <w:spacing w:after="0"/>
            </w:pPr>
            <w:r/>
            <w:r>
              <w:rPr>
                <w:b w:val="0"/>
                <w:sz w:val="16"/>
              </w:rPr>
              <w:t>Meter placement, zero-export/island-mode, anti-backfeed protection, electrician signoff requirements, local compliance notes.</w:t>
            </w:r>
          </w:p>
        </w:tc>
        <w:tc>
          <w:tcPr>
            <w:tcW w:type="dxa" w:w="2304"/>
            <w:vAlign w:val="top"/>
          </w:tcPr>
          <w:p>
            <w:pPr>
              <w:spacing w:after="0"/>
            </w:pPr>
            <w:r/>
            <w:r>
              <w:rPr>
                <w:b w:val="0"/>
                <w:sz w:val="16"/>
              </w:rPr>
              <w:t>If compliance is unresolved, do not deploy.</w:t>
            </w:r>
          </w:p>
        </w:tc>
      </w:tr>
    </w:tbl>
    <w:p/>
    <w:p>
      <w:pPr>
        <w:pStyle w:val="Heading1"/>
      </w:pPr>
      <w:r>
        <w:t>4. DRS Scoring Model</w:t>
      </w:r>
    </w:p>
    <w:p>
      <w:r>
        <w:t>The UI may show DRS as a percentage, but the backend should treat critical items as required gates. Suggested display weights are below. A critical blocker overrides the percentage and prevents “deployment-ready” status.</w:t>
      </w:r>
    </w:p>
    <w:tbl>
      <w:tblPr>
        <w:tblStyle w:val="TableGrid"/>
        <w:tblW w:type="auto" w:w="0"/>
        <w:jc w:val="center"/>
        <w:tblLook w:firstColumn="1" w:firstRow="1" w:lastColumn="0" w:lastRow="0" w:noHBand="0" w:noVBand="1" w:val="04A0"/>
      </w:tblPr>
      <w:tblGrid>
        <w:gridCol w:w="3456"/>
        <w:gridCol w:w="3456"/>
        <w:gridCol w:w="3456"/>
      </w:tblGrid>
      <w:tr>
        <w:tc>
          <w:tcPr>
            <w:tcW w:type="dxa" w:w="4896"/>
            <w:shd w:fill="111111"/>
            <w:vAlign w:val="center"/>
          </w:tcPr>
          <w:p>
            <w:pPr>
              <w:spacing w:after="0"/>
            </w:pPr>
            <w:r/>
            <w:r>
              <w:rPr>
                <w:b/>
                <w:color w:val="FFFFFF"/>
                <w:sz w:val="16"/>
              </w:rPr>
              <w:t>Category</w:t>
            </w:r>
          </w:p>
        </w:tc>
        <w:tc>
          <w:tcPr>
            <w:tcW w:type="dxa" w:w="1872"/>
            <w:shd w:fill="111111"/>
            <w:vAlign w:val="center"/>
          </w:tcPr>
          <w:p>
            <w:pPr>
              <w:spacing w:after="0"/>
            </w:pPr>
            <w:r/>
            <w:r>
              <w:rPr>
                <w:b/>
                <w:color w:val="FFFFFF"/>
                <w:sz w:val="16"/>
              </w:rPr>
              <w:t>Display weight</w:t>
            </w:r>
          </w:p>
        </w:tc>
        <w:tc>
          <w:tcPr>
            <w:tcW w:type="dxa" w:w="3312"/>
            <w:shd w:fill="111111"/>
            <w:vAlign w:val="center"/>
          </w:tcPr>
          <w:p>
            <w:pPr>
              <w:spacing w:after="0"/>
            </w:pPr>
            <w:r/>
            <w:r>
              <w:rPr>
                <w:b/>
                <w:color w:val="FFFFFF"/>
                <w:sz w:val="16"/>
              </w:rPr>
              <w:t>Gate behavior</w:t>
            </w:r>
          </w:p>
        </w:tc>
      </w:tr>
      <w:tr>
        <w:tc>
          <w:tcPr>
            <w:tcW w:type="dxa" w:w="4896"/>
            <w:vAlign w:val="top"/>
          </w:tcPr>
          <w:p>
            <w:pPr>
              <w:spacing w:after="0"/>
            </w:pPr>
            <w:r/>
            <w:r>
              <w:rPr>
                <w:b w:val="0"/>
                <w:sz w:val="16"/>
              </w:rPr>
              <w:t>Owner authorization and access</w:t>
            </w:r>
          </w:p>
        </w:tc>
        <w:tc>
          <w:tcPr>
            <w:tcW w:type="dxa" w:w="1872"/>
            <w:vAlign w:val="top"/>
          </w:tcPr>
          <w:p>
            <w:pPr>
              <w:spacing w:after="0"/>
            </w:pPr>
            <w:r/>
            <w:r>
              <w:rPr>
                <w:b w:val="0"/>
                <w:sz w:val="16"/>
              </w:rPr>
              <w:t>10%</w:t>
            </w:r>
          </w:p>
        </w:tc>
        <w:tc>
          <w:tcPr>
            <w:tcW w:type="dxa" w:w="3312"/>
            <w:vAlign w:val="top"/>
          </w:tcPr>
          <w:p>
            <w:pPr>
              <w:spacing w:after="0"/>
            </w:pPr>
            <w:r/>
            <w:r>
              <w:rPr>
                <w:b w:val="0"/>
                <w:sz w:val="16"/>
              </w:rPr>
              <w:t>Critical</w:t>
            </w:r>
          </w:p>
        </w:tc>
      </w:tr>
      <w:tr>
        <w:tc>
          <w:tcPr>
            <w:tcW w:type="dxa" w:w="4896"/>
            <w:vAlign w:val="top"/>
          </w:tcPr>
          <w:p>
            <w:pPr>
              <w:spacing w:after="0"/>
            </w:pPr>
            <w:r/>
            <w:r>
              <w:rPr>
                <w:b w:val="0"/>
                <w:sz w:val="16"/>
              </w:rPr>
              <w:t>Stakeholder availability and vetting</w:t>
            </w:r>
          </w:p>
        </w:tc>
        <w:tc>
          <w:tcPr>
            <w:tcW w:type="dxa" w:w="1872"/>
            <w:vAlign w:val="top"/>
          </w:tcPr>
          <w:p>
            <w:pPr>
              <w:spacing w:after="0"/>
            </w:pPr>
            <w:r/>
            <w:r>
              <w:rPr>
                <w:b w:val="0"/>
                <w:sz w:val="16"/>
              </w:rPr>
              <w:t>15%</w:t>
            </w:r>
          </w:p>
        </w:tc>
        <w:tc>
          <w:tcPr>
            <w:tcW w:type="dxa" w:w="3312"/>
            <w:vAlign w:val="top"/>
          </w:tcPr>
          <w:p>
            <w:pPr>
              <w:spacing w:after="0"/>
            </w:pPr>
            <w:r/>
            <w:r>
              <w:rPr>
                <w:b w:val="0"/>
                <w:sz w:val="16"/>
              </w:rPr>
              <w:t>Critical</w:t>
            </w:r>
          </w:p>
        </w:tc>
      </w:tr>
      <w:tr>
        <w:tc>
          <w:tcPr>
            <w:tcW w:type="dxa" w:w="4896"/>
            <w:vAlign w:val="top"/>
          </w:tcPr>
          <w:p>
            <w:pPr>
              <w:spacing w:after="0"/>
            </w:pPr>
            <w:r/>
            <w:r>
              <w:rPr>
                <w:b w:val="0"/>
                <w:sz w:val="16"/>
              </w:rPr>
              <w:t>Site inspection complete</w:t>
            </w:r>
          </w:p>
        </w:tc>
        <w:tc>
          <w:tcPr>
            <w:tcW w:type="dxa" w:w="1872"/>
            <w:vAlign w:val="top"/>
          </w:tcPr>
          <w:p>
            <w:pPr>
              <w:spacing w:after="0"/>
            </w:pPr>
            <w:r/>
            <w:r>
              <w:rPr>
                <w:b w:val="0"/>
                <w:sz w:val="16"/>
              </w:rPr>
              <w:t>15%</w:t>
            </w:r>
          </w:p>
        </w:tc>
        <w:tc>
          <w:tcPr>
            <w:tcW w:type="dxa" w:w="3312"/>
            <w:vAlign w:val="top"/>
          </w:tcPr>
          <w:p>
            <w:pPr>
              <w:spacing w:after="0"/>
            </w:pPr>
            <w:r/>
            <w:r>
              <w:rPr>
                <w:b w:val="0"/>
                <w:sz w:val="16"/>
              </w:rPr>
              <w:t>Critical</w:t>
            </w:r>
          </w:p>
        </w:tc>
      </w:tr>
      <w:tr>
        <w:tc>
          <w:tcPr>
            <w:tcW w:type="dxa" w:w="4896"/>
            <w:vAlign w:val="top"/>
          </w:tcPr>
          <w:p>
            <w:pPr>
              <w:spacing w:after="0"/>
            </w:pPr>
            <w:r/>
            <w:r>
              <w:rPr>
                <w:b w:val="0"/>
                <w:sz w:val="16"/>
              </w:rPr>
              <w:t>Capacity plan approved</w:t>
            </w:r>
          </w:p>
        </w:tc>
        <w:tc>
          <w:tcPr>
            <w:tcW w:type="dxa" w:w="1872"/>
            <w:vAlign w:val="top"/>
          </w:tcPr>
          <w:p>
            <w:pPr>
              <w:spacing w:after="0"/>
            </w:pPr>
            <w:r/>
            <w:r>
              <w:rPr>
                <w:b w:val="0"/>
                <w:sz w:val="16"/>
              </w:rPr>
              <w:t>15%</w:t>
            </w:r>
          </w:p>
        </w:tc>
        <w:tc>
          <w:tcPr>
            <w:tcW w:type="dxa" w:w="3312"/>
            <w:vAlign w:val="top"/>
          </w:tcPr>
          <w:p>
            <w:pPr>
              <w:spacing w:after="0"/>
            </w:pPr>
            <w:r/>
            <w:r>
              <w:rPr>
                <w:b w:val="0"/>
                <w:sz w:val="16"/>
              </w:rPr>
              <w:t>Critical</w:t>
            </w:r>
          </w:p>
        </w:tc>
      </w:tr>
      <w:tr>
        <w:tc>
          <w:tcPr>
            <w:tcW w:type="dxa" w:w="4896"/>
            <w:vAlign w:val="top"/>
          </w:tcPr>
          <w:p>
            <w:pPr>
              <w:spacing w:after="0"/>
            </w:pPr>
            <w:r/>
            <w:r>
              <w:rPr>
                <w:b w:val="0"/>
                <w:sz w:val="16"/>
              </w:rPr>
              <w:t>Demand proof / pledges / load confidence</w:t>
            </w:r>
          </w:p>
        </w:tc>
        <w:tc>
          <w:tcPr>
            <w:tcW w:type="dxa" w:w="1872"/>
            <w:vAlign w:val="top"/>
          </w:tcPr>
          <w:p>
            <w:pPr>
              <w:spacing w:after="0"/>
            </w:pPr>
            <w:r/>
            <w:r>
              <w:rPr>
                <w:b w:val="0"/>
                <w:sz w:val="16"/>
              </w:rPr>
              <w:t>15%</w:t>
            </w:r>
          </w:p>
        </w:tc>
        <w:tc>
          <w:tcPr>
            <w:tcW w:type="dxa" w:w="3312"/>
            <w:vAlign w:val="top"/>
          </w:tcPr>
          <w:p>
            <w:pPr>
              <w:spacing w:after="0"/>
            </w:pPr>
            <w:r/>
            <w:r>
              <w:rPr>
                <w:b w:val="0"/>
                <w:sz w:val="16"/>
              </w:rPr>
              <w:t>Critical if demand below threshold</w:t>
            </w:r>
          </w:p>
        </w:tc>
      </w:tr>
      <w:tr>
        <w:tc>
          <w:tcPr>
            <w:tcW w:type="dxa" w:w="4896"/>
            <w:vAlign w:val="top"/>
          </w:tcPr>
          <w:p>
            <w:pPr>
              <w:spacing w:after="0"/>
            </w:pPr>
            <w:r/>
            <w:r>
              <w:rPr>
                <w:b w:val="0"/>
                <w:sz w:val="16"/>
              </w:rPr>
              <w:t>Hardware package and logistics ready</w:t>
            </w:r>
          </w:p>
        </w:tc>
        <w:tc>
          <w:tcPr>
            <w:tcW w:type="dxa" w:w="1872"/>
            <w:vAlign w:val="top"/>
          </w:tcPr>
          <w:p>
            <w:pPr>
              <w:spacing w:after="0"/>
            </w:pPr>
            <w:r/>
            <w:r>
              <w:rPr>
                <w:b w:val="0"/>
                <w:sz w:val="16"/>
              </w:rPr>
              <w:t>15%</w:t>
            </w:r>
          </w:p>
        </w:tc>
        <w:tc>
          <w:tcPr>
            <w:tcW w:type="dxa" w:w="3312"/>
            <w:vAlign w:val="top"/>
          </w:tcPr>
          <w:p>
            <w:pPr>
              <w:spacing w:after="0"/>
            </w:pPr>
            <w:r/>
            <w:r>
              <w:rPr>
                <w:b w:val="0"/>
                <w:sz w:val="16"/>
              </w:rPr>
              <w:t>Critical</w:t>
            </w:r>
          </w:p>
        </w:tc>
      </w:tr>
      <w:tr>
        <w:tc>
          <w:tcPr>
            <w:tcW w:type="dxa" w:w="4896"/>
            <w:vAlign w:val="top"/>
          </w:tcPr>
          <w:p>
            <w:pPr>
              <w:spacing w:after="0"/>
            </w:pPr>
            <w:r/>
            <w:r>
              <w:rPr>
                <w:b w:val="0"/>
                <w:sz w:val="16"/>
              </w:rPr>
              <w:t>Electrician payment / labor-capital resolved</w:t>
            </w:r>
          </w:p>
        </w:tc>
        <w:tc>
          <w:tcPr>
            <w:tcW w:type="dxa" w:w="1872"/>
            <w:vAlign w:val="top"/>
          </w:tcPr>
          <w:p>
            <w:pPr>
              <w:spacing w:after="0"/>
            </w:pPr>
            <w:r/>
            <w:r>
              <w:rPr>
                <w:b w:val="0"/>
                <w:sz w:val="16"/>
              </w:rPr>
              <w:t>10%</w:t>
            </w:r>
          </w:p>
        </w:tc>
        <w:tc>
          <w:tcPr>
            <w:tcW w:type="dxa" w:w="3312"/>
            <w:vAlign w:val="top"/>
          </w:tcPr>
          <w:p>
            <w:pPr>
              <w:spacing w:after="0"/>
            </w:pPr>
            <w:r/>
            <w:r>
              <w:rPr>
                <w:b w:val="0"/>
                <w:sz w:val="16"/>
              </w:rPr>
              <w:t>Critical</w:t>
            </w:r>
          </w:p>
        </w:tc>
      </w:tr>
      <w:tr>
        <w:tc>
          <w:tcPr>
            <w:tcW w:type="dxa" w:w="4896"/>
            <w:vAlign w:val="top"/>
          </w:tcPr>
          <w:p>
            <w:pPr>
              <w:spacing w:after="0"/>
            </w:pPr>
            <w:r/>
            <w:r>
              <w:rPr>
                <w:b w:val="0"/>
                <w:sz w:val="16"/>
              </w:rPr>
              <w:t>Contracts/compliance ready</w:t>
            </w:r>
          </w:p>
        </w:tc>
        <w:tc>
          <w:tcPr>
            <w:tcW w:type="dxa" w:w="1872"/>
            <w:vAlign w:val="top"/>
          </w:tcPr>
          <w:p>
            <w:pPr>
              <w:spacing w:after="0"/>
            </w:pPr>
            <w:r/>
            <w:r>
              <w:rPr>
                <w:b w:val="0"/>
                <w:sz w:val="16"/>
              </w:rPr>
              <w:t>5%</w:t>
            </w:r>
          </w:p>
        </w:tc>
        <w:tc>
          <w:tcPr>
            <w:tcW w:type="dxa" w:w="3312"/>
            <w:vAlign w:val="top"/>
          </w:tcPr>
          <w:p>
            <w:pPr>
              <w:spacing w:after="0"/>
            </w:pPr>
            <w:r/>
            <w:r>
              <w:rPr>
                <w:b w:val="0"/>
                <w:sz w:val="16"/>
              </w:rPr>
              <w:t>Critical</w:t>
            </w:r>
          </w:p>
        </w:tc>
      </w:tr>
    </w:tbl>
    <w:p/>
    <w:tbl>
      <w:tblPr>
        <w:tblStyle w:val="TableGrid"/>
        <w:tblW w:type="auto" w:w="0"/>
        <w:tblLook w:firstColumn="1" w:firstRow="1" w:lastColumn="0" w:lastRow="0" w:noHBand="0" w:noVBand="1" w:val="04A0"/>
      </w:tblPr>
      <w:tblGrid>
        <w:gridCol w:w="10368"/>
      </w:tblGrid>
      <w:tr>
        <w:tc>
          <w:tcPr>
            <w:tcW w:type="dxa" w:w="10368"/>
            <w:shd w:fill="FDF0EC"/>
          </w:tcPr>
          <w:p>
            <w:pPr>
              <w:spacing w:after="60"/>
            </w:pPr>
            <w:r>
              <w:rPr>
                <w:b/>
                <w:color w:val="111111"/>
                <w:sz w:val="20"/>
              </w:rPr>
              <w:t>DRS backend rule</w:t>
            </w:r>
          </w:p>
          <w:p>
            <w:pPr>
              <w:spacing w:after="0"/>
            </w:pPr>
            <w:r>
              <w:rPr>
                <w:sz w:val="18"/>
              </w:rPr>
              <w:t>DRS = 100 only when every required gate is complete. Example: a project can appear 90% ready, but if electrician payment is unresolved, deployment remains blocked.</w:t>
            </w:r>
          </w:p>
        </w:tc>
      </w:tr>
    </w:tbl>
    <w:p/>
    <w:p>
      <w:pPr>
        <w:pStyle w:val="Heading1"/>
      </w:pPr>
      <w:r>
        <w:t>5. Electrician Economics - Brutal Reality Check</w:t>
      </w:r>
    </w:p>
    <w:p>
      <w:r>
        <w:t>Electricians are not like passive financiers. They carry execution risk, safety responsibility, liability, transport/logistics work, and local reputation risk. The default model should pay them upfront. Installation-as-a-service should be an optional advanced product, not the baseline.</w:t>
      </w:r>
    </w:p>
    <w:tbl>
      <w:tblPr>
        <w:tblStyle w:val="TableGrid"/>
        <w:tblW w:type="auto" w:w="0"/>
        <w:jc w:val="center"/>
        <w:tblLook w:firstColumn="1" w:firstRow="1" w:lastColumn="0" w:lastRow="0" w:noHBand="0" w:noVBand="1" w:val="04A0"/>
      </w:tblPr>
      <w:tblGrid>
        <w:gridCol w:w="3456"/>
        <w:gridCol w:w="3456"/>
        <w:gridCol w:w="3456"/>
      </w:tblGrid>
      <w:tr>
        <w:tc>
          <w:tcPr>
            <w:tcW w:type="dxa" w:w="2592"/>
            <w:shd w:fill="111111"/>
            <w:vAlign w:val="center"/>
          </w:tcPr>
          <w:p>
            <w:pPr>
              <w:spacing w:after="0"/>
            </w:pPr>
            <w:r/>
            <w:r>
              <w:rPr>
                <w:b/>
                <w:color w:val="FFFFFF"/>
                <w:sz w:val="16"/>
              </w:rPr>
              <w:t>Model</w:t>
            </w:r>
          </w:p>
        </w:tc>
        <w:tc>
          <w:tcPr>
            <w:tcW w:type="dxa" w:w="5040"/>
            <w:shd w:fill="111111"/>
            <w:vAlign w:val="center"/>
          </w:tcPr>
          <w:p>
            <w:pPr>
              <w:spacing w:after="0"/>
            </w:pPr>
            <w:r/>
            <w:r>
              <w:rPr>
                <w:b/>
                <w:color w:val="FFFFFF"/>
                <w:sz w:val="16"/>
              </w:rPr>
              <w:t>How it works</w:t>
            </w:r>
          </w:p>
        </w:tc>
        <w:tc>
          <w:tcPr>
            <w:tcW w:type="dxa" w:w="2448"/>
            <w:shd w:fill="111111"/>
            <w:vAlign w:val="center"/>
          </w:tcPr>
          <w:p>
            <w:pPr>
              <w:spacing w:after="0"/>
            </w:pPr>
            <w:r/>
            <w:r>
              <w:rPr>
                <w:b/>
                <w:color w:val="FFFFFF"/>
                <w:sz w:val="16"/>
              </w:rPr>
              <w:t>Recommendation</w:t>
            </w:r>
          </w:p>
        </w:tc>
      </w:tr>
      <w:tr>
        <w:tc>
          <w:tcPr>
            <w:tcW w:type="dxa" w:w="2592"/>
            <w:vAlign w:val="top"/>
          </w:tcPr>
          <w:p>
            <w:pPr>
              <w:spacing w:after="0"/>
            </w:pPr>
            <w:r/>
            <w:r>
              <w:rPr>
                <w:b w:val="0"/>
                <w:sz w:val="16"/>
              </w:rPr>
              <w:t>Model 1: Upfront labor payment</w:t>
            </w:r>
          </w:p>
        </w:tc>
        <w:tc>
          <w:tcPr>
            <w:tcW w:type="dxa" w:w="5040"/>
            <w:vAlign w:val="top"/>
          </w:tcPr>
          <w:p>
            <w:pPr>
              <w:spacing w:after="0"/>
            </w:pPr>
            <w:r/>
            <w:r>
              <w:rPr>
                <w:b w:val="0"/>
                <w:sz w:val="16"/>
              </w:rPr>
              <w:t>Electrician quotes labor + transport + logistics. Financiers/equipment funders/project budget pays before or during installation milestones.</w:t>
            </w:r>
          </w:p>
        </w:tc>
        <w:tc>
          <w:tcPr>
            <w:tcW w:type="dxa" w:w="2448"/>
            <w:vAlign w:val="top"/>
          </w:tcPr>
          <w:p>
            <w:pPr>
              <w:spacing w:after="0"/>
            </w:pPr>
            <w:r/>
            <w:r>
              <w:rPr>
                <w:b w:val="0"/>
                <w:sz w:val="16"/>
              </w:rPr>
              <w:t>Recommended default. Clean incentives; electrician is not forced to become an investor.</w:t>
            </w:r>
          </w:p>
        </w:tc>
      </w:tr>
      <w:tr>
        <w:tc>
          <w:tcPr>
            <w:tcW w:type="dxa" w:w="2592"/>
            <w:vAlign w:val="top"/>
          </w:tcPr>
          <w:p>
            <w:pPr>
              <w:spacing w:after="0"/>
            </w:pPr>
            <w:r/>
            <w:r>
              <w:rPr>
                <w:b w:val="0"/>
                <w:sz w:val="16"/>
              </w:rPr>
              <w:t>Model 2: Labor-as-capital</w:t>
            </w:r>
          </w:p>
        </w:tc>
        <w:tc>
          <w:tcPr>
            <w:tcW w:type="dxa" w:w="5040"/>
            <w:vAlign w:val="top"/>
          </w:tcPr>
          <w:p>
            <w:pPr>
              <w:spacing w:after="0"/>
            </w:pPr>
            <w:r/>
            <w:r>
              <w:rPr>
                <w:b w:val="0"/>
                <w:sz w:val="16"/>
              </w:rPr>
              <w:t>Electrician waives some/all upfront labor payment and receives a pro-rata claim in the infrastructure pool based on agreed labor value.</w:t>
            </w:r>
          </w:p>
        </w:tc>
        <w:tc>
          <w:tcPr>
            <w:tcW w:type="dxa" w:w="2448"/>
            <w:vAlign w:val="top"/>
          </w:tcPr>
          <w:p>
            <w:pPr>
              <w:spacing w:after="0"/>
            </w:pPr>
            <w:r/>
            <w:r>
              <w:rPr>
                <w:b w:val="0"/>
                <w:sz w:val="16"/>
              </w:rPr>
              <w:t>Possible, but risky. Requires signed opt-in, valuation of labor, payout risk disclosure, and no guaranteed return.</w:t>
            </w:r>
          </w:p>
        </w:tc>
      </w:tr>
      <w:tr>
        <w:tc>
          <w:tcPr>
            <w:tcW w:type="dxa" w:w="2592"/>
            <w:vAlign w:val="top"/>
          </w:tcPr>
          <w:p>
            <w:pPr>
              <w:spacing w:after="0"/>
            </w:pPr>
            <w:r/>
            <w:r>
              <w:rPr>
                <w:b w:val="0"/>
                <w:sz w:val="16"/>
              </w:rPr>
              <w:t>Model 3: Hybrid</w:t>
            </w:r>
          </w:p>
        </w:tc>
        <w:tc>
          <w:tcPr>
            <w:tcW w:type="dxa" w:w="5040"/>
            <w:vAlign w:val="top"/>
          </w:tcPr>
          <w:p>
            <w:pPr>
              <w:spacing w:after="0"/>
            </w:pPr>
            <w:r/>
            <w:r>
              <w:rPr>
                <w:b w:val="0"/>
                <w:sz w:val="16"/>
              </w:rPr>
              <w:t>Electrician receives partial upfront cash and converts the unpaid balance into infrastructure-pool participation.</w:t>
            </w:r>
          </w:p>
        </w:tc>
        <w:tc>
          <w:tcPr>
            <w:tcW w:type="dxa" w:w="2448"/>
            <w:vAlign w:val="top"/>
          </w:tcPr>
          <w:p>
            <w:pPr>
              <w:spacing w:after="0"/>
            </w:pPr>
            <w:r/>
            <w:r>
              <w:rPr>
                <w:b w:val="0"/>
                <w:sz w:val="16"/>
              </w:rPr>
              <w:t>Useful if project has partial capital but not enough to cover all labor.</w:t>
            </w:r>
          </w:p>
        </w:tc>
      </w:tr>
    </w:tbl>
    <w:p/>
    <w:p>
      <w:pPr>
        <w:pStyle w:val="Heading2"/>
      </w:pPr>
      <w:r>
        <w:t>5.1 Correct Treatment of the “35% Labor Contribution” Example</w:t>
      </w:r>
    </w:p>
    <w:p>
      <w:r>
        <w:t>If electrician labor/logistics is priced at 35% of total infrastructure cost, that does not automatically mean the electrician receives 35% of gross revenue. It means they contributed 35% of the infrastructure capital stack. Their claim should usually be 35% of the infrastructure/financier pool.</w:t>
      </w:r>
    </w:p>
    <w:tbl>
      <w:tblPr>
        <w:tblStyle w:val="TableGrid"/>
        <w:tblW w:type="auto" w:w="0"/>
        <w:jc w:val="center"/>
        <w:tblLook w:firstColumn="1" w:firstRow="1" w:lastColumn="0" w:lastRow="0" w:noHBand="0" w:noVBand="1" w:val="04A0"/>
      </w:tblPr>
      <w:tblGrid>
        <w:gridCol w:w="3456"/>
        <w:gridCol w:w="3456"/>
        <w:gridCol w:w="3456"/>
      </w:tblGrid>
      <w:tr>
        <w:tc>
          <w:tcPr>
            <w:tcW w:type="dxa" w:w="2880"/>
            <w:shd w:fill="111111"/>
            <w:vAlign w:val="center"/>
          </w:tcPr>
          <w:p>
            <w:pPr>
              <w:spacing w:after="0"/>
            </w:pPr>
            <w:r/>
            <w:r>
              <w:rPr>
                <w:b/>
                <w:color w:val="FFFFFF"/>
                <w:sz w:val="16"/>
              </w:rPr>
              <w:t>Item</w:t>
            </w:r>
          </w:p>
        </w:tc>
        <w:tc>
          <w:tcPr>
            <w:tcW w:type="dxa" w:w="3168"/>
            <w:shd w:fill="111111"/>
            <w:vAlign w:val="center"/>
          </w:tcPr>
          <w:p>
            <w:pPr>
              <w:spacing w:after="0"/>
            </w:pPr>
            <w:r/>
            <w:r>
              <w:rPr>
                <w:b/>
                <w:color w:val="FFFFFF"/>
                <w:sz w:val="16"/>
              </w:rPr>
              <w:t>Example</w:t>
            </w:r>
          </w:p>
        </w:tc>
        <w:tc>
          <w:tcPr>
            <w:tcW w:type="dxa" w:w="4032"/>
            <w:shd w:fill="111111"/>
            <w:vAlign w:val="center"/>
          </w:tcPr>
          <w:p>
            <w:pPr>
              <w:spacing w:after="0"/>
            </w:pPr>
            <w:r/>
            <w:r>
              <w:rPr>
                <w:b/>
                <w:color w:val="FFFFFF"/>
                <w:sz w:val="16"/>
              </w:rPr>
              <w:t>Interpretation</w:t>
            </w:r>
          </w:p>
        </w:tc>
      </w:tr>
      <w:tr>
        <w:tc>
          <w:tcPr>
            <w:tcW w:type="dxa" w:w="2880"/>
            <w:vAlign w:val="top"/>
          </w:tcPr>
          <w:p>
            <w:pPr>
              <w:spacing w:after="0"/>
            </w:pPr>
            <w:r/>
            <w:r>
              <w:rPr>
                <w:b w:val="0"/>
                <w:sz w:val="16"/>
              </w:rPr>
              <w:t>Total resident price</w:t>
            </w:r>
          </w:p>
        </w:tc>
        <w:tc>
          <w:tcPr>
            <w:tcW w:type="dxa" w:w="3168"/>
            <w:vAlign w:val="top"/>
          </w:tcPr>
          <w:p>
            <w:pPr>
              <w:spacing w:after="0"/>
            </w:pPr>
            <w:r/>
            <w:r>
              <w:rPr>
                <w:b w:val="0"/>
                <w:sz w:val="16"/>
              </w:rPr>
              <w:t>KSh 20/kWh</w:t>
            </w:r>
          </w:p>
        </w:tc>
        <w:tc>
          <w:tcPr>
            <w:tcW w:type="dxa" w:w="4032"/>
            <w:vAlign w:val="top"/>
          </w:tcPr>
          <w:p>
            <w:pPr>
              <w:spacing w:after="0"/>
            </w:pPr>
            <w:r/>
            <w:r>
              <w:rPr>
                <w:b w:val="0"/>
                <w:sz w:val="16"/>
              </w:rPr>
              <w:t>Gross revenue before waterfall.</w:t>
            </w:r>
          </w:p>
        </w:tc>
      </w:tr>
      <w:tr>
        <w:tc>
          <w:tcPr>
            <w:tcW w:type="dxa" w:w="2880"/>
            <w:vAlign w:val="top"/>
          </w:tcPr>
          <w:p>
            <w:pPr>
              <w:spacing w:after="0"/>
            </w:pPr>
            <w:r/>
            <w:r>
              <w:rPr>
                <w:b w:val="0"/>
                <w:sz w:val="16"/>
              </w:rPr>
              <w:t>Example recovery waterfall</w:t>
            </w:r>
          </w:p>
        </w:tc>
        <w:tc>
          <w:tcPr>
            <w:tcW w:type="dxa" w:w="3168"/>
            <w:vAlign w:val="top"/>
          </w:tcPr>
          <w:p>
            <w:pPr>
              <w:spacing w:after="0"/>
            </w:pPr>
            <w:r/>
            <w:r>
              <w:rPr>
                <w:b w:val="0"/>
                <w:sz w:val="16"/>
              </w:rPr>
              <w:t>Reserve 1, providers 6, infrastructure/financiers 10, owner 1, e.mappa 2</w:t>
            </w:r>
          </w:p>
        </w:tc>
        <w:tc>
          <w:tcPr>
            <w:tcW w:type="dxa" w:w="4032"/>
            <w:vAlign w:val="top"/>
          </w:tcPr>
          <w:p>
            <w:pPr>
              <w:spacing w:after="0"/>
            </w:pPr>
            <w:r/>
            <w:r>
              <w:rPr>
                <w:b w:val="0"/>
                <w:sz w:val="16"/>
              </w:rPr>
              <w:t>The infrastructure pool is KSh 10/kWh, not KSh 20/kWh.</w:t>
            </w:r>
          </w:p>
        </w:tc>
      </w:tr>
      <w:tr>
        <w:tc>
          <w:tcPr>
            <w:tcW w:type="dxa" w:w="2880"/>
            <w:vAlign w:val="top"/>
          </w:tcPr>
          <w:p>
            <w:pPr>
              <w:spacing w:after="0"/>
            </w:pPr>
            <w:r/>
            <w:r>
              <w:rPr>
                <w:b w:val="0"/>
                <w:sz w:val="16"/>
              </w:rPr>
              <w:t>Electrician labor-as-capital share</w:t>
            </w:r>
          </w:p>
        </w:tc>
        <w:tc>
          <w:tcPr>
            <w:tcW w:type="dxa" w:w="3168"/>
            <w:vAlign w:val="top"/>
          </w:tcPr>
          <w:p>
            <w:pPr>
              <w:spacing w:after="0"/>
            </w:pPr>
            <w:r/>
            <w:r>
              <w:rPr>
                <w:b w:val="0"/>
                <w:sz w:val="16"/>
              </w:rPr>
              <w:t>35% of infrastructure stack</w:t>
            </w:r>
          </w:p>
        </w:tc>
        <w:tc>
          <w:tcPr>
            <w:tcW w:type="dxa" w:w="4032"/>
            <w:vAlign w:val="top"/>
          </w:tcPr>
          <w:p>
            <w:pPr>
              <w:spacing w:after="0"/>
            </w:pPr>
            <w:r/>
            <w:r>
              <w:rPr>
                <w:b w:val="0"/>
                <w:sz w:val="16"/>
              </w:rPr>
              <w:t>Electrician receives 35% of the infrastructure pool.</w:t>
            </w:r>
          </w:p>
        </w:tc>
      </w:tr>
      <w:tr>
        <w:tc>
          <w:tcPr>
            <w:tcW w:type="dxa" w:w="2880"/>
            <w:vAlign w:val="top"/>
          </w:tcPr>
          <w:p>
            <w:pPr>
              <w:spacing w:after="0"/>
            </w:pPr>
            <w:r/>
            <w:r>
              <w:rPr>
                <w:b w:val="0"/>
                <w:sz w:val="16"/>
              </w:rPr>
              <w:t>Electrician payout in this example</w:t>
            </w:r>
          </w:p>
        </w:tc>
        <w:tc>
          <w:tcPr>
            <w:tcW w:type="dxa" w:w="3168"/>
            <w:vAlign w:val="top"/>
          </w:tcPr>
          <w:p>
            <w:pPr>
              <w:spacing w:after="0"/>
            </w:pPr>
            <w:r/>
            <w:r>
              <w:rPr>
                <w:b w:val="0"/>
                <w:sz w:val="16"/>
              </w:rPr>
              <w:t>35% x KSh 10 = KSh 3.50/kWh</w:t>
            </w:r>
          </w:p>
        </w:tc>
        <w:tc>
          <w:tcPr>
            <w:tcW w:type="dxa" w:w="4032"/>
            <w:vAlign w:val="top"/>
          </w:tcPr>
          <w:p>
            <w:pPr>
              <w:spacing w:after="0"/>
            </w:pPr>
            <w:r/>
            <w:r>
              <w:rPr>
                <w:b w:val="0"/>
                <w:sz w:val="16"/>
              </w:rPr>
              <w:t>Not KSh 7/kWh unless contract grants 35% of gross.</w:t>
            </w:r>
          </w:p>
        </w:tc>
      </w:tr>
      <w:tr>
        <w:tc>
          <w:tcPr>
            <w:tcW w:type="dxa" w:w="2880"/>
            <w:vAlign w:val="top"/>
          </w:tcPr>
          <w:p>
            <w:pPr>
              <w:spacing w:after="0"/>
            </w:pPr>
            <w:r/>
            <w:r>
              <w:rPr>
                <w:b w:val="0"/>
                <w:sz w:val="16"/>
              </w:rPr>
              <w:t>Financier/provider effect</w:t>
            </w:r>
          </w:p>
        </w:tc>
        <w:tc>
          <w:tcPr>
            <w:tcW w:type="dxa" w:w="3168"/>
            <w:vAlign w:val="top"/>
          </w:tcPr>
          <w:p>
            <w:pPr>
              <w:spacing w:after="0"/>
            </w:pPr>
            <w:r/>
            <w:r>
              <w:rPr>
                <w:b w:val="0"/>
                <w:sz w:val="16"/>
              </w:rPr>
              <w:t>Remaining infrastructure contributors split 65% of infrastructure pool</w:t>
            </w:r>
          </w:p>
        </w:tc>
        <w:tc>
          <w:tcPr>
            <w:tcW w:type="dxa" w:w="4032"/>
            <w:vAlign w:val="top"/>
          </w:tcPr>
          <w:p>
            <w:pPr>
              <w:spacing w:after="0"/>
            </w:pPr>
            <w:r/>
            <w:r>
              <w:rPr>
                <w:b w:val="0"/>
                <w:sz w:val="16"/>
              </w:rPr>
              <w:t>Providers still receive provider pool; owner still receives host royalty.</w:t>
            </w:r>
          </w:p>
        </w:tc>
      </w:tr>
    </w:tbl>
    <w:p/>
    <w:tbl>
      <w:tblPr>
        <w:tblStyle w:val="TableGrid"/>
        <w:tblW w:type="auto" w:w="0"/>
        <w:tblLook w:firstColumn="1" w:firstRow="1" w:lastColumn="0" w:lastRow="0" w:noHBand="0" w:noVBand="1" w:val="04A0"/>
      </w:tblPr>
      <w:tblGrid>
        <w:gridCol w:w="10368"/>
      </w:tblGrid>
      <w:tr>
        <w:tc>
          <w:tcPr>
            <w:tcW w:type="dxa" w:w="10368"/>
            <w:shd w:fill="FDF0EC"/>
          </w:tcPr>
          <w:p>
            <w:pPr>
              <w:spacing w:after="60"/>
            </w:pPr>
            <w:r>
              <w:rPr>
                <w:b/>
                <w:color w:val="111111"/>
                <w:sz w:val="20"/>
              </w:rPr>
              <w:t>Poke hole</w:t>
            </w:r>
          </w:p>
          <w:p>
            <w:pPr>
              <w:spacing w:after="0"/>
            </w:pPr>
            <w:r>
              <w:rPr>
                <w:sz w:val="18"/>
              </w:rPr>
              <w:t>Giving the electrician 35% of every shilling/kWh forever would likely break the economics unless the whole waterfall is redesigned. It may overpay labor relative to capital providers and starve provider, reserve, owner, or platform pools. Use pool-based claims instead.</w:t>
            </w:r>
          </w:p>
        </w:tc>
      </w:tr>
    </w:tbl>
    <w:p/>
    <w:p>
      <w:pPr>
        <w:pStyle w:val="Heading1"/>
      </w:pPr>
      <w:r>
        <w:t>6. Project Deployment Workflow</w:t>
      </w:r>
    </w:p>
    <w:tbl>
      <w:tblPr>
        <w:tblStyle w:val="TableGrid"/>
        <w:tblW w:type="auto" w:w="0"/>
        <w:jc w:val="center"/>
        <w:tblLook w:firstColumn="1" w:firstRow="1" w:lastColumn="0" w:lastRow="0" w:noHBand="0" w:noVBand="1" w:val="04A0"/>
      </w:tblPr>
      <w:tblGrid>
        <w:gridCol w:w="3456"/>
        <w:gridCol w:w="3456"/>
        <w:gridCol w:w="3456"/>
      </w:tblGrid>
      <w:tr>
        <w:tc>
          <w:tcPr>
            <w:tcW w:type="dxa" w:w="2304"/>
            <w:shd w:fill="111111"/>
            <w:vAlign w:val="center"/>
          </w:tcPr>
          <w:p>
            <w:pPr>
              <w:spacing w:after="0"/>
            </w:pPr>
            <w:r/>
            <w:r>
              <w:rPr>
                <w:b/>
                <w:color w:val="FFFFFF"/>
                <w:sz w:val="16"/>
              </w:rPr>
              <w:t>Step</w:t>
            </w:r>
          </w:p>
        </w:tc>
        <w:tc>
          <w:tcPr>
            <w:tcW w:type="dxa" w:w="5328"/>
            <w:shd w:fill="111111"/>
            <w:vAlign w:val="center"/>
          </w:tcPr>
          <w:p>
            <w:pPr>
              <w:spacing w:after="0"/>
            </w:pPr>
            <w:r/>
            <w:r>
              <w:rPr>
                <w:b/>
                <w:color w:val="FFFFFF"/>
                <w:sz w:val="16"/>
              </w:rPr>
              <w:t>Action</w:t>
            </w:r>
          </w:p>
        </w:tc>
        <w:tc>
          <w:tcPr>
            <w:tcW w:type="dxa" w:w="2448"/>
            <w:shd w:fill="111111"/>
            <w:vAlign w:val="center"/>
          </w:tcPr>
          <w:p>
            <w:pPr>
              <w:spacing w:after="0"/>
            </w:pPr>
            <w:r/>
            <w:r>
              <w:rPr>
                <w:b/>
                <w:color w:val="FFFFFF"/>
                <w:sz w:val="16"/>
              </w:rPr>
              <w:t>System status</w:t>
            </w:r>
          </w:p>
        </w:tc>
      </w:tr>
      <w:tr>
        <w:tc>
          <w:tcPr>
            <w:tcW w:type="dxa" w:w="2304"/>
            <w:vAlign w:val="top"/>
          </w:tcPr>
          <w:p>
            <w:pPr>
              <w:spacing w:after="0"/>
            </w:pPr>
            <w:r/>
            <w:r>
              <w:rPr>
                <w:b w:val="0"/>
                <w:sz w:val="16"/>
              </w:rPr>
              <w:t>1. Owner initiates</w:t>
            </w:r>
          </w:p>
        </w:tc>
        <w:tc>
          <w:tcPr>
            <w:tcW w:type="dxa" w:w="5328"/>
            <w:vAlign w:val="top"/>
          </w:tcPr>
          <w:p>
            <w:pPr>
              <w:spacing w:after="0"/>
            </w:pPr>
            <w:r/>
            <w:r>
              <w:rPr>
                <w:b w:val="0"/>
                <w:sz w:val="16"/>
              </w:rPr>
              <w:t>Verified owner clicks deploy; DeploymentProject is created.</w:t>
            </w:r>
          </w:p>
        </w:tc>
        <w:tc>
          <w:tcPr>
            <w:tcW w:type="dxa" w:w="2448"/>
            <w:vAlign w:val="top"/>
          </w:tcPr>
          <w:p>
            <w:pPr>
              <w:spacing w:after="0"/>
            </w:pPr>
            <w:r/>
            <w:r>
              <w:rPr>
                <w:b w:val="0"/>
                <w:sz w:val="16"/>
              </w:rPr>
              <w:t>Project status = initiated/cooking.</w:t>
            </w:r>
          </w:p>
        </w:tc>
      </w:tr>
      <w:tr>
        <w:tc>
          <w:tcPr>
            <w:tcW w:type="dxa" w:w="2304"/>
            <w:vAlign w:val="top"/>
          </w:tcPr>
          <w:p>
            <w:pPr>
              <w:spacing w:after="0"/>
            </w:pPr>
            <w:r/>
            <w:r>
              <w:rPr>
                <w:b w:val="0"/>
                <w:sz w:val="16"/>
              </w:rPr>
              <w:t>2. Stakeholders notified</w:t>
            </w:r>
          </w:p>
        </w:tc>
        <w:tc>
          <w:tcPr>
            <w:tcW w:type="dxa" w:w="5328"/>
            <w:vAlign w:val="top"/>
          </w:tcPr>
          <w:p>
            <w:pPr>
              <w:spacing w:after="0"/>
            </w:pPr>
            <w:r/>
            <w:r>
              <w:rPr>
                <w:b w:val="0"/>
                <w:sz w:val="16"/>
              </w:rPr>
              <w:t>Network receives project opportunity: providers/suppliers, financiers, electricians.</w:t>
            </w:r>
          </w:p>
        </w:tc>
        <w:tc>
          <w:tcPr>
            <w:tcW w:type="dxa" w:w="2448"/>
            <w:vAlign w:val="top"/>
          </w:tcPr>
          <w:p>
            <w:pPr>
              <w:spacing w:after="0"/>
            </w:pPr>
            <w:r/>
            <w:r>
              <w:rPr>
                <w:b w:val="0"/>
                <w:sz w:val="16"/>
              </w:rPr>
              <w:t>Each party sees building summary, rough capacity, location, terms, and readiness blockers.</w:t>
            </w:r>
          </w:p>
        </w:tc>
      </w:tr>
      <w:tr>
        <w:tc>
          <w:tcPr>
            <w:tcW w:type="dxa" w:w="2304"/>
            <w:vAlign w:val="top"/>
          </w:tcPr>
          <w:p>
            <w:pPr>
              <w:spacing w:after="0"/>
            </w:pPr>
            <w:r/>
            <w:r>
              <w:rPr>
                <w:b w:val="0"/>
                <w:sz w:val="16"/>
              </w:rPr>
              <w:t>3. Electrician/site survey</w:t>
            </w:r>
          </w:p>
        </w:tc>
        <w:tc>
          <w:tcPr>
            <w:tcW w:type="dxa" w:w="5328"/>
            <w:vAlign w:val="top"/>
          </w:tcPr>
          <w:p>
            <w:pPr>
              <w:spacing w:after="0"/>
            </w:pPr>
            <w:r/>
            <w:r>
              <w:rPr>
                <w:b w:val="0"/>
                <w:sz w:val="16"/>
              </w:rPr>
              <w:t>Vetted electrician inspects meter bank, roof, cable routes, Solar DB/ATS locations, connectivity, safety constraints.</w:t>
            </w:r>
          </w:p>
        </w:tc>
        <w:tc>
          <w:tcPr>
            <w:tcW w:type="dxa" w:w="2448"/>
            <w:vAlign w:val="top"/>
          </w:tcPr>
          <w:p>
            <w:pPr>
              <w:spacing w:after="0"/>
            </w:pPr>
            <w:r/>
            <w:r>
              <w:rPr>
                <w:b w:val="0"/>
                <w:sz w:val="16"/>
              </w:rPr>
              <w:t>Inspection report becomes part of DRS.</w:t>
            </w:r>
          </w:p>
        </w:tc>
      </w:tr>
      <w:tr>
        <w:tc>
          <w:tcPr>
            <w:tcW w:type="dxa" w:w="2304"/>
            <w:vAlign w:val="top"/>
          </w:tcPr>
          <w:p>
            <w:pPr>
              <w:spacing w:after="0"/>
            </w:pPr>
            <w:r/>
            <w:r>
              <w:rPr>
                <w:b w:val="0"/>
                <w:sz w:val="16"/>
              </w:rPr>
              <w:t>4. Capacity + BOM finalized</w:t>
            </w:r>
          </w:p>
        </w:tc>
        <w:tc>
          <w:tcPr>
            <w:tcW w:type="dxa" w:w="5328"/>
            <w:vAlign w:val="top"/>
          </w:tcPr>
          <w:p>
            <w:pPr>
              <w:spacing w:after="0"/>
            </w:pPr>
            <w:r/>
            <w:r>
              <w:rPr>
                <w:b w:val="0"/>
                <w:sz w:val="16"/>
              </w:rPr>
              <w:t>e.mappa/electrician/provider generates capacity plan and bill of materials.</w:t>
            </w:r>
          </w:p>
        </w:tc>
        <w:tc>
          <w:tcPr>
            <w:tcW w:type="dxa" w:w="2448"/>
            <w:vAlign w:val="top"/>
          </w:tcPr>
          <w:p>
            <w:pPr>
              <w:spacing w:after="0"/>
            </w:pPr>
            <w:r/>
            <w:r>
              <w:rPr>
                <w:b w:val="0"/>
                <w:sz w:val="16"/>
              </w:rPr>
              <w:t>Array size and apartment phase plan become concrete.</w:t>
            </w:r>
          </w:p>
        </w:tc>
      </w:tr>
      <w:tr>
        <w:tc>
          <w:tcPr>
            <w:tcW w:type="dxa" w:w="2304"/>
            <w:vAlign w:val="top"/>
          </w:tcPr>
          <w:p>
            <w:pPr>
              <w:spacing w:after="0"/>
            </w:pPr>
            <w:r/>
            <w:r>
              <w:rPr>
                <w:b w:val="0"/>
                <w:sz w:val="16"/>
              </w:rPr>
              <w:t>5. Demand checked</w:t>
            </w:r>
          </w:p>
        </w:tc>
        <w:tc>
          <w:tcPr>
            <w:tcW w:type="dxa" w:w="5328"/>
            <w:vAlign w:val="top"/>
          </w:tcPr>
          <w:p>
            <w:pPr>
              <w:spacing w:after="0"/>
            </w:pPr>
            <w:r/>
            <w:r>
              <w:rPr>
                <w:b w:val="0"/>
                <w:sz w:val="16"/>
              </w:rPr>
              <w:t>Resident pledges and load profiles are evaluated against capacity and utilization target.</w:t>
            </w:r>
          </w:p>
        </w:tc>
        <w:tc>
          <w:tcPr>
            <w:tcW w:type="dxa" w:w="2448"/>
            <w:vAlign w:val="top"/>
          </w:tcPr>
          <w:p>
            <w:pPr>
              <w:spacing w:after="0"/>
            </w:pPr>
            <w:r/>
            <w:r>
              <w:rPr>
                <w:b w:val="0"/>
                <w:sz w:val="16"/>
              </w:rPr>
              <w:t>If demand weak, project remains cooking or paused.</w:t>
            </w:r>
          </w:p>
        </w:tc>
      </w:tr>
      <w:tr>
        <w:tc>
          <w:tcPr>
            <w:tcW w:type="dxa" w:w="2304"/>
            <w:vAlign w:val="top"/>
          </w:tcPr>
          <w:p>
            <w:pPr>
              <w:spacing w:after="0"/>
            </w:pPr>
            <w:r/>
            <w:r>
              <w:rPr>
                <w:b w:val="0"/>
                <w:sz w:val="16"/>
              </w:rPr>
              <w:t>6. Funding/equipment/labor resolved</w:t>
            </w:r>
          </w:p>
        </w:tc>
        <w:tc>
          <w:tcPr>
            <w:tcW w:type="dxa" w:w="5328"/>
            <w:vAlign w:val="top"/>
          </w:tcPr>
          <w:p>
            <w:pPr>
              <w:spacing w:after="0"/>
            </w:pPr>
            <w:r/>
            <w:r>
              <w:rPr>
                <w:b w:val="0"/>
                <w:sz w:val="16"/>
              </w:rPr>
              <w:t>Providers/suppliers/equipment-as-a-service/financiers/labor-capital terms fill the cost stack.</w:t>
            </w:r>
          </w:p>
        </w:tc>
        <w:tc>
          <w:tcPr>
            <w:tcW w:type="dxa" w:w="2448"/>
            <w:vAlign w:val="top"/>
          </w:tcPr>
          <w:p>
            <w:pPr>
              <w:spacing w:after="0"/>
            </w:pPr>
            <w:r/>
            <w:r>
              <w:rPr>
                <w:b w:val="0"/>
                <w:sz w:val="16"/>
              </w:rPr>
              <w:t>Electrician payment must be solved before deployment.</w:t>
            </w:r>
          </w:p>
        </w:tc>
      </w:tr>
      <w:tr>
        <w:tc>
          <w:tcPr>
            <w:tcW w:type="dxa" w:w="2304"/>
            <w:vAlign w:val="top"/>
          </w:tcPr>
          <w:p>
            <w:pPr>
              <w:spacing w:after="0"/>
            </w:pPr>
            <w:r/>
            <w:r>
              <w:rPr>
                <w:b w:val="0"/>
                <w:sz w:val="16"/>
              </w:rPr>
              <w:t>7. Contracts signed</w:t>
            </w:r>
          </w:p>
        </w:tc>
        <w:tc>
          <w:tcPr>
            <w:tcW w:type="dxa" w:w="5328"/>
            <w:vAlign w:val="top"/>
          </w:tcPr>
          <w:p>
            <w:pPr>
              <w:spacing w:after="0"/>
            </w:pPr>
            <w:r/>
            <w:r>
              <w:rPr>
                <w:b w:val="0"/>
                <w:sz w:val="16"/>
              </w:rPr>
              <w:t>Owner access, provider terms, financier/labor-capital terms, settlement waterfall, maintenance responsibilities.</w:t>
            </w:r>
          </w:p>
        </w:tc>
        <w:tc>
          <w:tcPr>
            <w:tcW w:type="dxa" w:w="2448"/>
            <w:vAlign w:val="top"/>
          </w:tcPr>
          <w:p>
            <w:pPr>
              <w:spacing w:after="0"/>
            </w:pPr>
            <w:r/>
            <w:r>
              <w:rPr>
                <w:b w:val="0"/>
                <w:sz w:val="16"/>
              </w:rPr>
              <w:t>No installation before the economics are agreed.</w:t>
            </w:r>
          </w:p>
        </w:tc>
      </w:tr>
      <w:tr>
        <w:tc>
          <w:tcPr>
            <w:tcW w:type="dxa" w:w="2304"/>
            <w:vAlign w:val="top"/>
          </w:tcPr>
          <w:p>
            <w:pPr>
              <w:spacing w:after="0"/>
            </w:pPr>
            <w:r/>
            <w:r>
              <w:rPr>
                <w:b w:val="0"/>
                <w:sz w:val="16"/>
              </w:rPr>
              <w:t>8. DRS reaches 100%</w:t>
            </w:r>
          </w:p>
        </w:tc>
        <w:tc>
          <w:tcPr>
            <w:tcW w:type="dxa" w:w="5328"/>
            <w:vAlign w:val="top"/>
          </w:tcPr>
          <w:p>
            <w:pPr>
              <w:spacing w:after="0"/>
            </w:pPr>
            <w:r/>
            <w:r>
              <w:rPr>
                <w:b w:val="0"/>
                <w:sz w:val="16"/>
              </w:rPr>
              <w:t>All required gates green.</w:t>
            </w:r>
          </w:p>
        </w:tc>
        <w:tc>
          <w:tcPr>
            <w:tcW w:type="dxa" w:w="2448"/>
            <w:vAlign w:val="top"/>
          </w:tcPr>
          <w:p>
            <w:pPr>
              <w:spacing w:after="0"/>
            </w:pPr>
            <w:r/>
            <w:r>
              <w:rPr>
                <w:b w:val="0"/>
                <w:sz w:val="16"/>
              </w:rPr>
              <w:t>Project may be scheduled.</w:t>
            </w:r>
          </w:p>
        </w:tc>
      </w:tr>
      <w:tr>
        <w:tc>
          <w:tcPr>
            <w:tcW w:type="dxa" w:w="2304"/>
            <w:vAlign w:val="top"/>
          </w:tcPr>
          <w:p>
            <w:pPr>
              <w:spacing w:after="0"/>
            </w:pPr>
            <w:r/>
            <w:r>
              <w:rPr>
                <w:b w:val="0"/>
                <w:sz w:val="16"/>
              </w:rPr>
              <w:t>9. Installation begins</w:t>
            </w:r>
          </w:p>
        </w:tc>
        <w:tc>
          <w:tcPr>
            <w:tcW w:type="dxa" w:w="5328"/>
            <w:vAlign w:val="top"/>
          </w:tcPr>
          <w:p>
            <w:pPr>
              <w:spacing w:after="0"/>
            </w:pPr>
            <w:r/>
            <w:r>
              <w:rPr>
                <w:b w:val="0"/>
                <w:sz w:val="16"/>
              </w:rPr>
              <w:t>Hardware installed, ATS connected, meters installed, app/backoffice records created.</w:t>
            </w:r>
          </w:p>
        </w:tc>
        <w:tc>
          <w:tcPr>
            <w:tcW w:type="dxa" w:w="2448"/>
            <w:vAlign w:val="top"/>
          </w:tcPr>
          <w:p>
            <w:pPr>
              <w:spacing w:after="0"/>
            </w:pPr>
            <w:r/>
            <w:r>
              <w:rPr>
                <w:b w:val="0"/>
                <w:sz w:val="16"/>
              </w:rPr>
              <w:t>Project status = installation in progress.</w:t>
            </w:r>
          </w:p>
        </w:tc>
      </w:tr>
      <w:tr>
        <w:tc>
          <w:tcPr>
            <w:tcW w:type="dxa" w:w="2304"/>
            <w:vAlign w:val="top"/>
          </w:tcPr>
          <w:p>
            <w:pPr>
              <w:spacing w:after="0"/>
            </w:pPr>
            <w:r/>
            <w:r>
              <w:rPr>
                <w:b w:val="0"/>
                <w:sz w:val="16"/>
              </w:rPr>
              <w:t>10. Installation complete</w:t>
            </w:r>
          </w:p>
        </w:tc>
        <w:tc>
          <w:tcPr>
            <w:tcW w:type="dxa" w:w="5328"/>
            <w:vAlign w:val="top"/>
          </w:tcPr>
          <w:p>
            <w:pPr>
              <w:spacing w:after="0"/>
            </w:pPr>
            <w:r/>
            <w:r>
              <w:rPr>
                <w:b w:val="0"/>
                <w:sz w:val="16"/>
              </w:rPr>
              <w:t>Electrician marks physical work complete.</w:t>
            </w:r>
          </w:p>
        </w:tc>
        <w:tc>
          <w:tcPr>
            <w:tcW w:type="dxa" w:w="2448"/>
            <w:vAlign w:val="top"/>
          </w:tcPr>
          <w:p>
            <w:pPr>
              <w:spacing w:after="0"/>
            </w:pPr>
            <w:r/>
            <w:r>
              <w:rPr>
                <w:b w:val="0"/>
                <w:sz w:val="16"/>
              </w:rPr>
              <w:t>This does not mean building is live. LBRS begins.</w:t>
            </w:r>
          </w:p>
        </w:tc>
      </w:tr>
    </w:tbl>
    <w:p/>
    <w:p>
      <w:pPr>
        <w:pStyle w:val="Heading1"/>
      </w:pPr>
      <w:r>
        <w:t>7. Hardware Checklist for DRS / Procurement</w:t>
      </w:r>
    </w:p>
    <w:tbl>
      <w:tblPr>
        <w:tblStyle w:val="TableGrid"/>
        <w:tblW w:type="auto" w:w="0"/>
        <w:jc w:val="center"/>
        <w:tblLook w:firstColumn="1" w:firstRow="1" w:lastColumn="0" w:lastRow="0" w:noHBand="0" w:noVBand="1" w:val="04A0"/>
      </w:tblPr>
      <w:tblGrid>
        <w:gridCol w:w="5184"/>
        <w:gridCol w:w="5184"/>
      </w:tblGrid>
      <w:tr>
        <w:tc>
          <w:tcPr>
            <w:tcW w:type="dxa" w:w="2448"/>
            <w:shd w:fill="111111"/>
            <w:vAlign w:val="center"/>
          </w:tcPr>
          <w:p>
            <w:pPr>
              <w:spacing w:after="0"/>
            </w:pPr>
            <w:r/>
            <w:r>
              <w:rPr>
                <w:b/>
                <w:color w:val="FFFFFF"/>
                <w:sz w:val="16"/>
              </w:rPr>
              <w:t>Checklist group</w:t>
            </w:r>
          </w:p>
        </w:tc>
        <w:tc>
          <w:tcPr>
            <w:tcW w:type="dxa" w:w="7632"/>
            <w:shd w:fill="111111"/>
            <w:vAlign w:val="center"/>
          </w:tcPr>
          <w:p>
            <w:pPr>
              <w:spacing w:after="0"/>
            </w:pPr>
            <w:r/>
            <w:r>
              <w:rPr>
                <w:b/>
                <w:color w:val="FFFFFF"/>
                <w:sz w:val="16"/>
              </w:rPr>
              <w:t>Required items</w:t>
            </w:r>
          </w:p>
        </w:tc>
      </w:tr>
      <w:tr>
        <w:tc>
          <w:tcPr>
            <w:tcW w:type="dxa" w:w="2448"/>
            <w:vAlign w:val="top"/>
          </w:tcPr>
          <w:p>
            <w:pPr>
              <w:spacing w:after="0"/>
            </w:pPr>
            <w:r/>
            <w:r>
              <w:rPr>
                <w:b w:val="0"/>
                <w:sz w:val="16"/>
              </w:rPr>
              <w:t>Core system</w:t>
            </w:r>
          </w:p>
        </w:tc>
        <w:tc>
          <w:tcPr>
            <w:tcW w:type="dxa" w:w="7632"/>
            <w:vAlign w:val="top"/>
          </w:tcPr>
          <w:p>
            <w:pPr>
              <w:spacing w:after="0"/>
            </w:pPr>
            <w:r/>
            <w:r>
              <w:rPr>
                <w:b w:val="0"/>
                <w:sz w:val="16"/>
              </w:rPr>
              <w:t>Hybrid inverter (Growatt SPF 5000ES or Deye 5kW equivalent), 48V lithium battery, WiFi/GPRS monitoring dongle, provider panels, MPPT-compatible strings.</w:t>
            </w:r>
          </w:p>
        </w:tc>
      </w:tr>
      <w:tr>
        <w:tc>
          <w:tcPr>
            <w:tcW w:type="dxa" w:w="2448"/>
            <w:vAlign w:val="top"/>
          </w:tcPr>
          <w:p>
            <w:pPr>
              <w:spacing w:after="0"/>
            </w:pPr>
            <w:r/>
            <w:r>
              <w:rPr>
                <w:b w:val="0"/>
                <w:sz w:val="16"/>
              </w:rPr>
              <w:t>Solar DB</w:t>
            </w:r>
          </w:p>
        </w:tc>
        <w:tc>
          <w:tcPr>
            <w:tcW w:type="dxa" w:w="7632"/>
            <w:vAlign w:val="top"/>
          </w:tcPr>
          <w:p>
            <w:pPr>
              <w:spacing w:after="0"/>
            </w:pPr>
            <w:r/>
            <w:r>
              <w:rPr>
                <w:b w:val="0"/>
                <w:sz w:val="16"/>
              </w:rPr>
              <w:t>IP65 enclosure with DIN rail, main input breaker, individual apartment breakers, Type 2 SPD, total solar output meter.</w:t>
            </w:r>
          </w:p>
        </w:tc>
      </w:tr>
      <w:tr>
        <w:tc>
          <w:tcPr>
            <w:tcW w:type="dxa" w:w="2448"/>
            <w:vAlign w:val="top"/>
          </w:tcPr>
          <w:p>
            <w:pPr>
              <w:spacing w:after="0"/>
            </w:pPr>
            <w:r/>
            <w:r>
              <w:rPr>
                <w:b w:val="0"/>
                <w:sz w:val="16"/>
              </w:rPr>
              <w:t>Per-apartment switching</w:t>
            </w:r>
          </w:p>
        </w:tc>
        <w:tc>
          <w:tcPr>
            <w:tcW w:type="dxa" w:w="7632"/>
            <w:vAlign w:val="top"/>
          </w:tcPr>
          <w:p>
            <w:pPr>
              <w:spacing w:after="0"/>
            </w:pPr>
            <w:r/>
            <w:r>
              <w:rPr>
                <w:b w:val="0"/>
                <w:sz w:val="16"/>
              </w:rPr>
              <w:t>DIN rail ATS per enrolled apartment, per-apartment DIN rail energy meter or CT metering, short Solar DB-to-ATS cabling.</w:t>
            </w:r>
          </w:p>
        </w:tc>
      </w:tr>
      <w:tr>
        <w:tc>
          <w:tcPr>
            <w:tcW w:type="dxa" w:w="2448"/>
            <w:vAlign w:val="top"/>
          </w:tcPr>
          <w:p>
            <w:pPr>
              <w:spacing w:after="0"/>
            </w:pPr>
            <w:r/>
            <w:r>
              <w:rPr>
                <w:b w:val="0"/>
                <w:sz w:val="16"/>
              </w:rPr>
              <w:t>Cabling/mounting</w:t>
            </w:r>
          </w:p>
        </w:tc>
        <w:tc>
          <w:tcPr>
            <w:tcW w:type="dxa" w:w="7632"/>
            <w:vAlign w:val="top"/>
          </w:tcPr>
          <w:p>
            <w:pPr>
              <w:spacing w:after="0"/>
            </w:pPr>
            <w:r/>
            <w:r>
              <w:rPr>
                <w:b w:val="0"/>
                <w:sz w:val="16"/>
              </w:rPr>
              <w:t>PV DC cable, inverter-to-Solar-DB AC cable, PVC conduit/fittings, panel mounting rails/brackets, cable glands, earth bonding, connectors.</w:t>
            </w:r>
          </w:p>
        </w:tc>
      </w:tr>
      <w:tr>
        <w:tc>
          <w:tcPr>
            <w:tcW w:type="dxa" w:w="2448"/>
            <w:vAlign w:val="top"/>
          </w:tcPr>
          <w:p>
            <w:pPr>
              <w:spacing w:after="0"/>
            </w:pPr>
            <w:r/>
            <w:r>
              <w:rPr>
                <w:b w:val="0"/>
                <w:sz w:val="16"/>
              </w:rPr>
              <w:t>Connectivity</w:t>
            </w:r>
          </w:p>
        </w:tc>
        <w:tc>
          <w:tcPr>
            <w:tcW w:type="dxa" w:w="7632"/>
            <w:vAlign w:val="top"/>
          </w:tcPr>
          <w:p>
            <w:pPr>
              <w:spacing w:after="0"/>
            </w:pPr>
            <w:r/>
            <w:r>
              <w:rPr>
                <w:b w:val="0"/>
                <w:sz w:val="16"/>
              </w:rPr>
              <w:t>4G router/Safaricom MiFi or reliable WiFi/cellular connectivity for inverter/backend monitoring.</w:t>
            </w:r>
          </w:p>
        </w:tc>
      </w:tr>
      <w:tr>
        <w:tc>
          <w:tcPr>
            <w:tcW w:type="dxa" w:w="2448"/>
            <w:vAlign w:val="top"/>
          </w:tcPr>
          <w:p>
            <w:pPr>
              <w:spacing w:after="0"/>
            </w:pPr>
            <w:r/>
            <w:r>
              <w:rPr>
                <w:b w:val="0"/>
                <w:sz w:val="16"/>
              </w:rPr>
              <w:t>Documentation</w:t>
            </w:r>
          </w:p>
        </w:tc>
        <w:tc>
          <w:tcPr>
            <w:tcW w:type="dxa" w:w="7632"/>
            <w:vAlign w:val="top"/>
          </w:tcPr>
          <w:p>
            <w:pPr>
              <w:spacing w:after="0"/>
            </w:pPr>
            <w:r/>
            <w:r>
              <w:rPr>
                <w:b w:val="0"/>
                <w:sz w:val="16"/>
              </w:rPr>
              <w:t>Photos, serial numbers, meter mapping, apartment mapping, wiring diagram, as-built diagram, signed electrician report.</w:t>
            </w:r>
          </w:p>
        </w:tc>
      </w:tr>
    </w:tbl>
    <w:p/>
    <w:p>
      <w:pPr>
        <w:pStyle w:val="Heading1"/>
      </w:pPr>
      <w:r>
        <w:t>8. Live Building Readiness Score (LBRS)</w:t>
      </w:r>
    </w:p>
    <w:p>
      <w:r>
        <w:t>LBRS starts after installation is physically complete. It is the go-live gate. Electricians should have a dedicated test screen where every required test is completed, photographed where useful, and signed off. A building should not go live if any required test fails.</w:t>
      </w:r>
    </w:p>
    <w:tbl>
      <w:tblPr>
        <w:tblStyle w:val="TableGrid"/>
        <w:tblW w:type="auto" w:w="0"/>
        <w:jc w:val="center"/>
        <w:tblLook w:firstColumn="1" w:firstRow="1" w:lastColumn="0" w:lastRow="0" w:noHBand="0" w:noVBand="1" w:val="04A0"/>
      </w:tblPr>
      <w:tblGrid>
        <w:gridCol w:w="3456"/>
        <w:gridCol w:w="3456"/>
        <w:gridCol w:w="3456"/>
      </w:tblGrid>
      <w:tr>
        <w:tc>
          <w:tcPr>
            <w:tcW w:type="dxa" w:w="2592"/>
            <w:shd w:fill="E07856"/>
            <w:vAlign w:val="center"/>
          </w:tcPr>
          <w:p>
            <w:pPr>
              <w:spacing w:after="0"/>
            </w:pPr>
            <w:r/>
            <w:r>
              <w:rPr>
                <w:b/>
                <w:color w:val="FFFFFF"/>
                <w:sz w:val="16"/>
              </w:rPr>
              <w:t>LBRS test</w:t>
            </w:r>
          </w:p>
        </w:tc>
        <w:tc>
          <w:tcPr>
            <w:tcW w:type="dxa" w:w="5184"/>
            <w:shd w:fill="E07856"/>
            <w:vAlign w:val="center"/>
          </w:tcPr>
          <w:p>
            <w:pPr>
              <w:spacing w:after="0"/>
            </w:pPr>
            <w:r/>
            <w:r>
              <w:rPr>
                <w:b/>
                <w:color w:val="FFFFFF"/>
                <w:sz w:val="16"/>
              </w:rPr>
              <w:t>Pass condition</w:t>
            </w:r>
          </w:p>
        </w:tc>
        <w:tc>
          <w:tcPr>
            <w:tcW w:type="dxa" w:w="2304"/>
            <w:shd w:fill="E07856"/>
            <w:vAlign w:val="center"/>
          </w:tcPr>
          <w:p>
            <w:pPr>
              <w:spacing w:after="0"/>
            </w:pPr>
            <w:r/>
            <w:r>
              <w:rPr>
                <w:b/>
                <w:color w:val="FFFFFF"/>
                <w:sz w:val="16"/>
              </w:rPr>
              <w:t>Why it matters</w:t>
            </w:r>
          </w:p>
        </w:tc>
      </w:tr>
      <w:tr>
        <w:tc>
          <w:tcPr>
            <w:tcW w:type="dxa" w:w="2592"/>
            <w:vAlign w:val="top"/>
          </w:tcPr>
          <w:p>
            <w:pPr>
              <w:spacing w:after="0"/>
            </w:pPr>
            <w:r/>
            <w:r>
              <w:rPr>
                <w:b w:val="0"/>
                <w:sz w:val="16"/>
              </w:rPr>
              <w:t>As-built verification</w:t>
            </w:r>
          </w:p>
        </w:tc>
        <w:tc>
          <w:tcPr>
            <w:tcW w:type="dxa" w:w="5184"/>
            <w:vAlign w:val="top"/>
          </w:tcPr>
          <w:p>
            <w:pPr>
              <w:spacing w:after="0"/>
            </w:pPr>
            <w:r/>
            <w:r>
              <w:rPr>
                <w:b w:val="0"/>
                <w:sz w:val="16"/>
              </w:rPr>
              <w:t>Installed system matches approved design, BOM, serial numbers, wiring diagram, apartment map, and capacity plan.</w:t>
            </w:r>
          </w:p>
        </w:tc>
        <w:tc>
          <w:tcPr>
            <w:tcW w:type="dxa" w:w="2304"/>
            <w:vAlign w:val="top"/>
          </w:tcPr>
          <w:p>
            <w:pPr>
              <w:spacing w:after="0"/>
            </w:pPr>
            <w:r/>
            <w:r>
              <w:rPr>
                <w:b w:val="0"/>
                <w:sz w:val="16"/>
              </w:rPr>
              <w:t>Mismatch blocks launch until reconciled.</w:t>
            </w:r>
          </w:p>
        </w:tc>
      </w:tr>
      <w:tr>
        <w:tc>
          <w:tcPr>
            <w:tcW w:type="dxa" w:w="2592"/>
            <w:vAlign w:val="top"/>
          </w:tcPr>
          <w:p>
            <w:pPr>
              <w:spacing w:after="0"/>
            </w:pPr>
            <w:r/>
            <w:r>
              <w:rPr>
                <w:b w:val="0"/>
                <w:sz w:val="16"/>
              </w:rPr>
              <w:t>Electrical safety</w:t>
            </w:r>
          </w:p>
        </w:tc>
        <w:tc>
          <w:tcPr>
            <w:tcW w:type="dxa" w:w="5184"/>
            <w:vAlign w:val="top"/>
          </w:tcPr>
          <w:p>
            <w:pPr>
              <w:spacing w:after="0"/>
            </w:pPr>
            <w:r/>
            <w:r>
              <w:rPr>
                <w:b w:val="0"/>
                <w:sz w:val="16"/>
              </w:rPr>
              <w:t>Correct breakers, SPD, grounding/earthing, insulation, polarity, cable sizing, enclosure sealing, labeling, no exposed conductors.</w:t>
            </w:r>
          </w:p>
        </w:tc>
        <w:tc>
          <w:tcPr>
            <w:tcW w:type="dxa" w:w="2304"/>
            <w:vAlign w:val="top"/>
          </w:tcPr>
          <w:p>
            <w:pPr>
              <w:spacing w:after="0"/>
            </w:pPr>
            <w:r/>
            <w:r>
              <w:rPr>
                <w:b w:val="0"/>
                <w:sz w:val="16"/>
              </w:rPr>
              <w:t>Critical safety gate.</w:t>
            </w:r>
          </w:p>
        </w:tc>
      </w:tr>
      <w:tr>
        <w:tc>
          <w:tcPr>
            <w:tcW w:type="dxa" w:w="2592"/>
            <w:vAlign w:val="top"/>
          </w:tcPr>
          <w:p>
            <w:pPr>
              <w:spacing w:after="0"/>
            </w:pPr>
            <w:r/>
            <w:r>
              <w:rPr>
                <w:b w:val="0"/>
                <w:sz w:val="16"/>
              </w:rPr>
              <w:t>Solar bus isolation</w:t>
            </w:r>
          </w:p>
        </w:tc>
        <w:tc>
          <w:tcPr>
            <w:tcW w:type="dxa" w:w="5184"/>
            <w:vAlign w:val="top"/>
          </w:tcPr>
          <w:p>
            <w:pPr>
              <w:spacing w:after="0"/>
            </w:pPr>
            <w:r/>
            <w:r>
              <w:rPr>
                <w:b w:val="0"/>
                <w:sz w:val="16"/>
              </w:rPr>
              <w:t>Solar DB has no unintended connection to KPLC/main common bus. No backfeed into KPLC meter bank.</w:t>
            </w:r>
          </w:p>
        </w:tc>
        <w:tc>
          <w:tcPr>
            <w:tcW w:type="dxa" w:w="2304"/>
            <w:vAlign w:val="top"/>
          </w:tcPr>
          <w:p>
            <w:pPr>
              <w:spacing w:after="0"/>
            </w:pPr>
            <w:r/>
            <w:r>
              <w:rPr>
                <w:b w:val="0"/>
                <w:sz w:val="16"/>
              </w:rPr>
              <w:t>Critical compliance/safety gate.</w:t>
            </w:r>
          </w:p>
        </w:tc>
      </w:tr>
      <w:tr>
        <w:tc>
          <w:tcPr>
            <w:tcW w:type="dxa" w:w="2592"/>
            <w:vAlign w:val="top"/>
          </w:tcPr>
          <w:p>
            <w:pPr>
              <w:spacing w:after="0"/>
            </w:pPr>
            <w:r/>
            <w:r>
              <w:rPr>
                <w:b w:val="0"/>
                <w:sz w:val="16"/>
              </w:rPr>
              <w:t>Inverter/battery operation</w:t>
            </w:r>
          </w:p>
        </w:tc>
        <w:tc>
          <w:tcPr>
            <w:tcW w:type="dxa" w:w="5184"/>
            <w:vAlign w:val="top"/>
          </w:tcPr>
          <w:p>
            <w:pPr>
              <w:spacing w:after="0"/>
            </w:pPr>
            <w:r/>
            <w:r>
              <w:rPr>
                <w:b w:val="0"/>
                <w:sz w:val="16"/>
              </w:rPr>
              <w:t xml:space="preserve">Inverter powers solar bus in correct mode; battery charges/discharges; low-battery behavior works; monitoring reports. </w:t>
            </w:r>
          </w:p>
        </w:tc>
        <w:tc>
          <w:tcPr>
            <w:tcW w:type="dxa" w:w="2304"/>
            <w:vAlign w:val="top"/>
          </w:tcPr>
          <w:p>
            <w:pPr>
              <w:spacing w:after="0"/>
            </w:pPr>
            <w:r/>
            <w:r>
              <w:rPr>
                <w:b w:val="0"/>
                <w:sz w:val="16"/>
              </w:rPr>
              <w:t>Confirms controllable e.mappa supply.</w:t>
            </w:r>
          </w:p>
        </w:tc>
      </w:tr>
      <w:tr>
        <w:tc>
          <w:tcPr>
            <w:tcW w:type="dxa" w:w="2592"/>
            <w:vAlign w:val="top"/>
          </w:tcPr>
          <w:p>
            <w:pPr>
              <w:spacing w:after="0"/>
            </w:pPr>
            <w:r/>
            <w:r>
              <w:rPr>
                <w:b w:val="0"/>
                <w:sz w:val="16"/>
              </w:rPr>
              <w:t>ATS switching per apartment</w:t>
            </w:r>
          </w:p>
        </w:tc>
        <w:tc>
          <w:tcPr>
            <w:tcW w:type="dxa" w:w="5184"/>
            <w:vAlign w:val="top"/>
          </w:tcPr>
          <w:p>
            <w:pPr>
              <w:spacing w:after="0"/>
            </w:pPr>
            <w:r/>
            <w:r>
              <w:rPr>
                <w:b w:val="0"/>
                <w:sz w:val="16"/>
              </w:rPr>
              <w:t>For each enrolled apartment: KPLC input works, solar input works, output feeds correct apartment, switching is clean, failover works.</w:t>
            </w:r>
          </w:p>
        </w:tc>
        <w:tc>
          <w:tcPr>
            <w:tcW w:type="dxa" w:w="2304"/>
            <w:vAlign w:val="top"/>
          </w:tcPr>
          <w:p>
            <w:pPr>
              <w:spacing w:after="0"/>
            </w:pPr>
            <w:r/>
            <w:r>
              <w:rPr>
                <w:b w:val="0"/>
                <w:sz w:val="16"/>
              </w:rPr>
              <w:t>Prevents wrong-apartment allocation and unsafe switching.</w:t>
            </w:r>
          </w:p>
        </w:tc>
      </w:tr>
      <w:tr>
        <w:tc>
          <w:tcPr>
            <w:tcW w:type="dxa" w:w="2592"/>
            <w:vAlign w:val="top"/>
          </w:tcPr>
          <w:p>
            <w:pPr>
              <w:spacing w:after="0"/>
            </w:pPr>
            <w:r/>
            <w:r>
              <w:rPr>
                <w:b w:val="0"/>
                <w:sz w:val="16"/>
              </w:rPr>
              <w:t>Per-apartment meter mapping</w:t>
            </w:r>
          </w:p>
        </w:tc>
        <w:tc>
          <w:tcPr>
            <w:tcW w:type="dxa" w:w="5184"/>
            <w:vAlign w:val="top"/>
          </w:tcPr>
          <w:p>
            <w:pPr>
              <w:spacing w:after="0"/>
            </w:pPr>
            <w:r/>
            <w:r>
              <w:rPr>
                <w:b w:val="0"/>
                <w:sz w:val="16"/>
              </w:rPr>
              <w:t>Each apartment meter/CT maps to correct resident/unit and records solar-side consumption accurately.</w:t>
            </w:r>
          </w:p>
        </w:tc>
        <w:tc>
          <w:tcPr>
            <w:tcW w:type="dxa" w:w="2304"/>
            <w:vAlign w:val="top"/>
          </w:tcPr>
          <w:p>
            <w:pPr>
              <w:spacing w:after="0"/>
            </w:pPr>
            <w:r/>
            <w:r>
              <w:rPr>
                <w:b w:val="0"/>
                <w:sz w:val="16"/>
              </w:rPr>
              <w:t>Settlement depends on this.</w:t>
            </w:r>
          </w:p>
        </w:tc>
      </w:tr>
      <w:tr>
        <w:tc>
          <w:tcPr>
            <w:tcW w:type="dxa" w:w="2592"/>
            <w:vAlign w:val="top"/>
          </w:tcPr>
          <w:p>
            <w:pPr>
              <w:spacing w:after="0"/>
            </w:pPr>
            <w:r/>
            <w:r>
              <w:rPr>
                <w:b w:val="0"/>
                <w:sz w:val="16"/>
              </w:rPr>
              <w:t>Token-state switching simulation</w:t>
            </w:r>
          </w:p>
        </w:tc>
        <w:tc>
          <w:tcPr>
            <w:tcW w:type="dxa" w:w="5184"/>
            <w:vAlign w:val="top"/>
          </w:tcPr>
          <w:p>
            <w:pPr>
              <w:spacing w:after="0"/>
            </w:pPr>
            <w:r/>
            <w:r>
              <w:rPr>
                <w:b w:val="0"/>
                <w:sz w:val="16"/>
              </w:rPr>
              <w:t>Simulate token available, token exhausted, solar unavailable, KPLC unavailable, maintenance/suspend state.</w:t>
            </w:r>
          </w:p>
        </w:tc>
        <w:tc>
          <w:tcPr>
            <w:tcW w:type="dxa" w:w="2304"/>
            <w:vAlign w:val="top"/>
          </w:tcPr>
          <w:p>
            <w:pPr>
              <w:spacing w:after="0"/>
            </w:pPr>
            <w:r/>
            <w:r>
              <w:rPr>
                <w:b w:val="0"/>
                <w:sz w:val="16"/>
              </w:rPr>
              <w:t>Confirms app/backend logic can control or interpret source state.</w:t>
            </w:r>
          </w:p>
        </w:tc>
      </w:tr>
      <w:tr>
        <w:tc>
          <w:tcPr>
            <w:tcW w:type="dxa" w:w="2592"/>
            <w:vAlign w:val="top"/>
          </w:tcPr>
          <w:p>
            <w:pPr>
              <w:spacing w:after="0"/>
            </w:pPr>
            <w:r/>
            <w:r>
              <w:rPr>
                <w:b w:val="0"/>
                <w:sz w:val="16"/>
              </w:rPr>
              <w:t>Settlement dry run</w:t>
            </w:r>
          </w:p>
        </w:tc>
        <w:tc>
          <w:tcPr>
            <w:tcW w:type="dxa" w:w="5184"/>
            <w:vAlign w:val="top"/>
          </w:tcPr>
          <w:p>
            <w:pPr>
              <w:spacing w:after="0"/>
            </w:pPr>
            <w:r/>
            <w:r>
              <w:rPr>
                <w:b w:val="0"/>
                <w:sz w:val="16"/>
              </w:rPr>
              <w:t>Generate test readings; calculate E_gen, E_sold, E_waste, E_grid; run sample waterfall; verify no payout from unmonetized solar.</w:t>
            </w:r>
          </w:p>
        </w:tc>
        <w:tc>
          <w:tcPr>
            <w:tcW w:type="dxa" w:w="2304"/>
            <w:vAlign w:val="top"/>
          </w:tcPr>
          <w:p>
            <w:pPr>
              <w:spacing w:after="0"/>
            </w:pPr>
            <w:r/>
            <w:r>
              <w:rPr>
                <w:b w:val="0"/>
                <w:sz w:val="16"/>
              </w:rPr>
              <w:t>Prevents broken economics at launch.</w:t>
            </w:r>
          </w:p>
        </w:tc>
      </w:tr>
      <w:tr>
        <w:tc>
          <w:tcPr>
            <w:tcW w:type="dxa" w:w="2592"/>
            <w:vAlign w:val="top"/>
          </w:tcPr>
          <w:p>
            <w:pPr>
              <w:spacing w:after="0"/>
            </w:pPr>
            <w:r/>
            <w:r>
              <w:rPr>
                <w:b w:val="0"/>
                <w:sz w:val="16"/>
              </w:rPr>
              <w:t>Resident activation readiness</w:t>
            </w:r>
          </w:p>
        </w:tc>
        <w:tc>
          <w:tcPr>
            <w:tcW w:type="dxa" w:w="5184"/>
            <w:vAlign w:val="top"/>
          </w:tcPr>
          <w:p>
            <w:pPr>
              <w:spacing w:after="0"/>
            </w:pPr>
            <w:r/>
            <w:r>
              <w:rPr>
                <w:b w:val="0"/>
                <w:sz w:val="16"/>
              </w:rPr>
              <w:t>Capacity-cleared apartments mapped, residents notified, support instructions ready, no buy/top-up until apartment is activated.</w:t>
            </w:r>
          </w:p>
        </w:tc>
        <w:tc>
          <w:tcPr>
            <w:tcW w:type="dxa" w:w="2304"/>
            <w:vAlign w:val="top"/>
          </w:tcPr>
          <w:p>
            <w:pPr>
              <w:spacing w:after="0"/>
            </w:pPr>
            <w:r/>
            <w:r>
              <w:rPr>
                <w:b w:val="0"/>
                <w:sz w:val="16"/>
              </w:rPr>
              <w:t>Avoids selling undeliverable energy.</w:t>
            </w:r>
          </w:p>
        </w:tc>
      </w:tr>
      <w:tr>
        <w:tc>
          <w:tcPr>
            <w:tcW w:type="dxa" w:w="2592"/>
            <w:vAlign w:val="top"/>
          </w:tcPr>
          <w:p>
            <w:pPr>
              <w:spacing w:after="0"/>
            </w:pPr>
            <w:r/>
            <w:r>
              <w:rPr>
                <w:b w:val="0"/>
                <w:sz w:val="16"/>
              </w:rPr>
              <w:t>Owner/building launch packet</w:t>
            </w:r>
          </w:p>
        </w:tc>
        <w:tc>
          <w:tcPr>
            <w:tcW w:type="dxa" w:w="5184"/>
            <w:vAlign w:val="top"/>
          </w:tcPr>
          <w:p>
            <w:pPr>
              <w:spacing w:after="0"/>
            </w:pPr>
            <w:r/>
            <w:r>
              <w:rPr>
                <w:b w:val="0"/>
                <w:sz w:val="16"/>
              </w:rPr>
              <w:t>Owner sees live dashboard, maintenance contact, incident rules, host royalty statement format, access obligations.</w:t>
            </w:r>
          </w:p>
        </w:tc>
        <w:tc>
          <w:tcPr>
            <w:tcW w:type="dxa" w:w="2304"/>
            <w:vAlign w:val="top"/>
          </w:tcPr>
          <w:p>
            <w:pPr>
              <w:spacing w:after="0"/>
            </w:pPr>
            <w:r/>
            <w:r>
              <w:rPr>
                <w:b w:val="0"/>
                <w:sz w:val="16"/>
              </w:rPr>
              <w:t>Sets long-term operating expectations.</w:t>
            </w:r>
          </w:p>
        </w:tc>
      </w:tr>
    </w:tbl>
    <w:p/>
    <w:p>
      <w:pPr>
        <w:pStyle w:val="Heading1"/>
      </w:pPr>
      <w:r>
        <w:t>9. LBRS Scoring Model</w:t>
      </w:r>
    </w:p>
    <w:tbl>
      <w:tblPr>
        <w:tblStyle w:val="TableGrid"/>
        <w:tblW w:type="auto" w:w="0"/>
        <w:jc w:val="center"/>
        <w:tblLook w:firstColumn="1" w:firstRow="1" w:lastColumn="0" w:lastRow="0" w:noHBand="0" w:noVBand="1" w:val="04A0"/>
      </w:tblPr>
      <w:tblGrid>
        <w:gridCol w:w="3456"/>
        <w:gridCol w:w="3456"/>
        <w:gridCol w:w="3456"/>
      </w:tblGrid>
      <w:tr>
        <w:tc>
          <w:tcPr>
            <w:tcW w:type="dxa" w:w="4896"/>
            <w:shd w:fill="111111"/>
            <w:vAlign w:val="center"/>
          </w:tcPr>
          <w:p>
            <w:pPr>
              <w:spacing w:after="0"/>
            </w:pPr>
            <w:r/>
            <w:r>
              <w:rPr>
                <w:b/>
                <w:color w:val="FFFFFF"/>
                <w:sz w:val="16"/>
              </w:rPr>
              <w:t>Category</w:t>
            </w:r>
          </w:p>
        </w:tc>
        <w:tc>
          <w:tcPr>
            <w:tcW w:type="dxa" w:w="1872"/>
            <w:shd w:fill="111111"/>
            <w:vAlign w:val="center"/>
          </w:tcPr>
          <w:p>
            <w:pPr>
              <w:spacing w:after="0"/>
            </w:pPr>
            <w:r/>
            <w:r>
              <w:rPr>
                <w:b/>
                <w:color w:val="FFFFFF"/>
                <w:sz w:val="16"/>
              </w:rPr>
              <w:t>Display weight</w:t>
            </w:r>
          </w:p>
        </w:tc>
        <w:tc>
          <w:tcPr>
            <w:tcW w:type="dxa" w:w="3312"/>
            <w:shd w:fill="111111"/>
            <w:vAlign w:val="center"/>
          </w:tcPr>
          <w:p>
            <w:pPr>
              <w:spacing w:after="0"/>
            </w:pPr>
            <w:r/>
            <w:r>
              <w:rPr>
                <w:b/>
                <w:color w:val="FFFFFF"/>
                <w:sz w:val="16"/>
              </w:rPr>
              <w:t>Gate behavior</w:t>
            </w:r>
          </w:p>
        </w:tc>
      </w:tr>
      <w:tr>
        <w:tc>
          <w:tcPr>
            <w:tcW w:type="dxa" w:w="4896"/>
            <w:vAlign w:val="top"/>
          </w:tcPr>
          <w:p>
            <w:pPr>
              <w:spacing w:after="0"/>
            </w:pPr>
            <w:r/>
            <w:r>
              <w:rPr>
                <w:b w:val="0"/>
                <w:sz w:val="16"/>
              </w:rPr>
              <w:t>As-built/BOM verification</w:t>
            </w:r>
          </w:p>
        </w:tc>
        <w:tc>
          <w:tcPr>
            <w:tcW w:type="dxa" w:w="1872"/>
            <w:vAlign w:val="top"/>
          </w:tcPr>
          <w:p>
            <w:pPr>
              <w:spacing w:after="0"/>
            </w:pPr>
            <w:r/>
            <w:r>
              <w:rPr>
                <w:b w:val="0"/>
                <w:sz w:val="16"/>
              </w:rPr>
              <w:t>10%</w:t>
            </w:r>
          </w:p>
        </w:tc>
        <w:tc>
          <w:tcPr>
            <w:tcW w:type="dxa" w:w="3312"/>
            <w:vAlign w:val="top"/>
          </w:tcPr>
          <w:p>
            <w:pPr>
              <w:spacing w:after="0"/>
            </w:pPr>
            <w:r/>
            <w:r>
              <w:rPr>
                <w:b w:val="0"/>
                <w:sz w:val="16"/>
              </w:rPr>
              <w:t>Critical</w:t>
            </w:r>
          </w:p>
        </w:tc>
      </w:tr>
      <w:tr>
        <w:tc>
          <w:tcPr>
            <w:tcW w:type="dxa" w:w="4896"/>
            <w:vAlign w:val="top"/>
          </w:tcPr>
          <w:p>
            <w:pPr>
              <w:spacing w:after="0"/>
            </w:pPr>
            <w:r/>
            <w:r>
              <w:rPr>
                <w:b w:val="0"/>
                <w:sz w:val="16"/>
              </w:rPr>
              <w:t>Electrical safety tests</w:t>
            </w:r>
          </w:p>
        </w:tc>
        <w:tc>
          <w:tcPr>
            <w:tcW w:type="dxa" w:w="1872"/>
            <w:vAlign w:val="top"/>
          </w:tcPr>
          <w:p>
            <w:pPr>
              <w:spacing w:after="0"/>
            </w:pPr>
            <w:r/>
            <w:r>
              <w:rPr>
                <w:b w:val="0"/>
                <w:sz w:val="16"/>
              </w:rPr>
              <w:t>20%</w:t>
            </w:r>
          </w:p>
        </w:tc>
        <w:tc>
          <w:tcPr>
            <w:tcW w:type="dxa" w:w="3312"/>
            <w:vAlign w:val="top"/>
          </w:tcPr>
          <w:p>
            <w:pPr>
              <w:spacing w:after="0"/>
            </w:pPr>
            <w:r/>
            <w:r>
              <w:rPr>
                <w:b w:val="0"/>
                <w:sz w:val="16"/>
              </w:rPr>
              <w:t>Critical</w:t>
            </w:r>
          </w:p>
        </w:tc>
      </w:tr>
      <w:tr>
        <w:tc>
          <w:tcPr>
            <w:tcW w:type="dxa" w:w="4896"/>
            <w:vAlign w:val="top"/>
          </w:tcPr>
          <w:p>
            <w:pPr>
              <w:spacing w:after="0"/>
            </w:pPr>
            <w:r/>
            <w:r>
              <w:rPr>
                <w:b w:val="0"/>
                <w:sz w:val="16"/>
              </w:rPr>
              <w:t>Solar bus isolation / no backfeed</w:t>
            </w:r>
          </w:p>
        </w:tc>
        <w:tc>
          <w:tcPr>
            <w:tcW w:type="dxa" w:w="1872"/>
            <w:vAlign w:val="top"/>
          </w:tcPr>
          <w:p>
            <w:pPr>
              <w:spacing w:after="0"/>
            </w:pPr>
            <w:r/>
            <w:r>
              <w:rPr>
                <w:b w:val="0"/>
                <w:sz w:val="16"/>
              </w:rPr>
              <w:t>15%</w:t>
            </w:r>
          </w:p>
        </w:tc>
        <w:tc>
          <w:tcPr>
            <w:tcW w:type="dxa" w:w="3312"/>
            <w:vAlign w:val="top"/>
          </w:tcPr>
          <w:p>
            <w:pPr>
              <w:spacing w:after="0"/>
            </w:pPr>
            <w:r/>
            <w:r>
              <w:rPr>
                <w:b w:val="0"/>
                <w:sz w:val="16"/>
              </w:rPr>
              <w:t>Critical</w:t>
            </w:r>
          </w:p>
        </w:tc>
      </w:tr>
      <w:tr>
        <w:tc>
          <w:tcPr>
            <w:tcW w:type="dxa" w:w="4896"/>
            <w:vAlign w:val="top"/>
          </w:tcPr>
          <w:p>
            <w:pPr>
              <w:spacing w:after="0"/>
            </w:pPr>
            <w:r/>
            <w:r>
              <w:rPr>
                <w:b w:val="0"/>
                <w:sz w:val="16"/>
              </w:rPr>
              <w:t>Inverter + battery tests</w:t>
            </w:r>
          </w:p>
        </w:tc>
        <w:tc>
          <w:tcPr>
            <w:tcW w:type="dxa" w:w="1872"/>
            <w:vAlign w:val="top"/>
          </w:tcPr>
          <w:p>
            <w:pPr>
              <w:spacing w:after="0"/>
            </w:pPr>
            <w:r/>
            <w:r>
              <w:rPr>
                <w:b w:val="0"/>
                <w:sz w:val="16"/>
              </w:rPr>
              <w:t>10%</w:t>
            </w:r>
          </w:p>
        </w:tc>
        <w:tc>
          <w:tcPr>
            <w:tcW w:type="dxa" w:w="3312"/>
            <w:vAlign w:val="top"/>
          </w:tcPr>
          <w:p>
            <w:pPr>
              <w:spacing w:after="0"/>
            </w:pPr>
            <w:r/>
            <w:r>
              <w:rPr>
                <w:b w:val="0"/>
                <w:sz w:val="16"/>
              </w:rPr>
              <w:t>Critical</w:t>
            </w:r>
          </w:p>
        </w:tc>
      </w:tr>
      <w:tr>
        <w:tc>
          <w:tcPr>
            <w:tcW w:type="dxa" w:w="4896"/>
            <w:vAlign w:val="top"/>
          </w:tcPr>
          <w:p>
            <w:pPr>
              <w:spacing w:after="0"/>
            </w:pPr>
            <w:r/>
            <w:r>
              <w:rPr>
                <w:b w:val="0"/>
                <w:sz w:val="16"/>
              </w:rPr>
              <w:t>ATS switching tests</w:t>
            </w:r>
          </w:p>
        </w:tc>
        <w:tc>
          <w:tcPr>
            <w:tcW w:type="dxa" w:w="1872"/>
            <w:vAlign w:val="top"/>
          </w:tcPr>
          <w:p>
            <w:pPr>
              <w:spacing w:after="0"/>
            </w:pPr>
            <w:r/>
            <w:r>
              <w:rPr>
                <w:b w:val="0"/>
                <w:sz w:val="16"/>
              </w:rPr>
              <w:t>15%</w:t>
            </w:r>
          </w:p>
        </w:tc>
        <w:tc>
          <w:tcPr>
            <w:tcW w:type="dxa" w:w="3312"/>
            <w:vAlign w:val="top"/>
          </w:tcPr>
          <w:p>
            <w:pPr>
              <w:spacing w:after="0"/>
            </w:pPr>
            <w:r/>
            <w:r>
              <w:rPr>
                <w:b w:val="0"/>
                <w:sz w:val="16"/>
              </w:rPr>
              <w:t>Critical per apartment</w:t>
            </w:r>
          </w:p>
        </w:tc>
      </w:tr>
      <w:tr>
        <w:tc>
          <w:tcPr>
            <w:tcW w:type="dxa" w:w="4896"/>
            <w:vAlign w:val="top"/>
          </w:tcPr>
          <w:p>
            <w:pPr>
              <w:spacing w:after="0"/>
            </w:pPr>
            <w:r/>
            <w:r>
              <w:rPr>
                <w:b w:val="0"/>
                <w:sz w:val="16"/>
              </w:rPr>
              <w:t>Meter mapping + data reliability</w:t>
            </w:r>
          </w:p>
        </w:tc>
        <w:tc>
          <w:tcPr>
            <w:tcW w:type="dxa" w:w="1872"/>
            <w:vAlign w:val="top"/>
          </w:tcPr>
          <w:p>
            <w:pPr>
              <w:spacing w:after="0"/>
            </w:pPr>
            <w:r/>
            <w:r>
              <w:rPr>
                <w:b w:val="0"/>
                <w:sz w:val="16"/>
              </w:rPr>
              <w:t>10%</w:t>
            </w:r>
          </w:p>
        </w:tc>
        <w:tc>
          <w:tcPr>
            <w:tcW w:type="dxa" w:w="3312"/>
            <w:vAlign w:val="top"/>
          </w:tcPr>
          <w:p>
            <w:pPr>
              <w:spacing w:after="0"/>
            </w:pPr>
            <w:r/>
            <w:r>
              <w:rPr>
                <w:b w:val="0"/>
                <w:sz w:val="16"/>
              </w:rPr>
              <w:t>Critical</w:t>
            </w:r>
          </w:p>
        </w:tc>
      </w:tr>
      <w:tr>
        <w:tc>
          <w:tcPr>
            <w:tcW w:type="dxa" w:w="4896"/>
            <w:vAlign w:val="top"/>
          </w:tcPr>
          <w:p>
            <w:pPr>
              <w:spacing w:after="0"/>
            </w:pPr>
            <w:r/>
            <w:r>
              <w:rPr>
                <w:b w:val="0"/>
                <w:sz w:val="16"/>
              </w:rPr>
              <w:t>Backend/token/settlement dry run</w:t>
            </w:r>
          </w:p>
        </w:tc>
        <w:tc>
          <w:tcPr>
            <w:tcW w:type="dxa" w:w="1872"/>
            <w:vAlign w:val="top"/>
          </w:tcPr>
          <w:p>
            <w:pPr>
              <w:spacing w:after="0"/>
            </w:pPr>
            <w:r/>
            <w:r>
              <w:rPr>
                <w:b w:val="0"/>
                <w:sz w:val="16"/>
              </w:rPr>
              <w:t>10%</w:t>
            </w:r>
          </w:p>
        </w:tc>
        <w:tc>
          <w:tcPr>
            <w:tcW w:type="dxa" w:w="3312"/>
            <w:vAlign w:val="top"/>
          </w:tcPr>
          <w:p>
            <w:pPr>
              <w:spacing w:after="0"/>
            </w:pPr>
            <w:r/>
            <w:r>
              <w:rPr>
                <w:b w:val="0"/>
                <w:sz w:val="16"/>
              </w:rPr>
              <w:t>Critical</w:t>
            </w:r>
          </w:p>
        </w:tc>
      </w:tr>
      <w:tr>
        <w:tc>
          <w:tcPr>
            <w:tcW w:type="dxa" w:w="4896"/>
            <w:vAlign w:val="top"/>
          </w:tcPr>
          <w:p>
            <w:pPr>
              <w:spacing w:after="0"/>
            </w:pPr>
            <w:r/>
            <w:r>
              <w:rPr>
                <w:b w:val="0"/>
                <w:sz w:val="16"/>
              </w:rPr>
              <w:t>Resident/owner launch readiness</w:t>
            </w:r>
          </w:p>
        </w:tc>
        <w:tc>
          <w:tcPr>
            <w:tcW w:type="dxa" w:w="1872"/>
            <w:vAlign w:val="top"/>
          </w:tcPr>
          <w:p>
            <w:pPr>
              <w:spacing w:after="0"/>
            </w:pPr>
            <w:r/>
            <w:r>
              <w:rPr>
                <w:b w:val="0"/>
                <w:sz w:val="16"/>
              </w:rPr>
              <w:t>10%</w:t>
            </w:r>
          </w:p>
        </w:tc>
        <w:tc>
          <w:tcPr>
            <w:tcW w:type="dxa" w:w="3312"/>
            <w:vAlign w:val="top"/>
          </w:tcPr>
          <w:p>
            <w:pPr>
              <w:spacing w:after="0"/>
            </w:pPr>
            <w:r/>
            <w:r>
              <w:rPr>
                <w:b w:val="0"/>
                <w:sz w:val="16"/>
              </w:rPr>
              <w:t>Operational gate</w:t>
            </w:r>
          </w:p>
        </w:tc>
      </w:tr>
    </w:tbl>
    <w:p/>
    <w:p>
      <w:pPr>
        <w:pStyle w:val="Heading1"/>
      </w:pPr>
      <w:r>
        <w:t>10. Failure and Blocker Rules</w:t>
      </w:r>
    </w:p>
    <w:tbl>
      <w:tblPr>
        <w:tblStyle w:val="TableGrid"/>
        <w:tblW w:type="auto" w:w="0"/>
        <w:jc w:val="center"/>
        <w:tblLook w:firstColumn="1" w:firstRow="1" w:lastColumn="0" w:lastRow="0" w:noHBand="0" w:noVBand="1" w:val="04A0"/>
      </w:tblPr>
      <w:tblGrid>
        <w:gridCol w:w="3456"/>
        <w:gridCol w:w="3456"/>
        <w:gridCol w:w="3456"/>
      </w:tblGrid>
      <w:tr>
        <w:tc>
          <w:tcPr>
            <w:tcW w:type="dxa" w:w="3024"/>
            <w:shd w:fill="111111"/>
            <w:vAlign w:val="center"/>
          </w:tcPr>
          <w:p>
            <w:pPr>
              <w:spacing w:after="0"/>
            </w:pPr>
            <w:r/>
            <w:r>
              <w:rPr>
                <w:b/>
                <w:color w:val="FFFFFF"/>
                <w:sz w:val="16"/>
              </w:rPr>
              <w:t>Blocker</w:t>
            </w:r>
          </w:p>
        </w:tc>
        <w:tc>
          <w:tcPr>
            <w:tcW w:type="dxa" w:w="2448"/>
            <w:shd w:fill="111111"/>
            <w:vAlign w:val="center"/>
          </w:tcPr>
          <w:p>
            <w:pPr>
              <w:spacing w:after="0"/>
            </w:pPr>
            <w:r/>
            <w:r>
              <w:rPr>
                <w:b/>
                <w:color w:val="FFFFFF"/>
                <w:sz w:val="16"/>
              </w:rPr>
              <w:t>Gate impact</w:t>
            </w:r>
          </w:p>
        </w:tc>
        <w:tc>
          <w:tcPr>
            <w:tcW w:type="dxa" w:w="4608"/>
            <w:shd w:fill="111111"/>
            <w:vAlign w:val="center"/>
          </w:tcPr>
          <w:p>
            <w:pPr>
              <w:spacing w:after="0"/>
            </w:pPr>
            <w:r/>
            <w:r>
              <w:rPr>
                <w:b/>
                <w:color w:val="FFFFFF"/>
                <w:sz w:val="16"/>
              </w:rPr>
              <w:t>Response</w:t>
            </w:r>
          </w:p>
        </w:tc>
      </w:tr>
      <w:tr>
        <w:tc>
          <w:tcPr>
            <w:tcW w:type="dxa" w:w="3024"/>
            <w:vAlign w:val="top"/>
          </w:tcPr>
          <w:p>
            <w:pPr>
              <w:spacing w:after="0"/>
            </w:pPr>
            <w:r/>
            <w:r>
              <w:rPr>
                <w:b w:val="0"/>
                <w:sz w:val="16"/>
              </w:rPr>
              <w:t>No vetted electrician available</w:t>
            </w:r>
          </w:p>
        </w:tc>
        <w:tc>
          <w:tcPr>
            <w:tcW w:type="dxa" w:w="2448"/>
            <w:vAlign w:val="top"/>
          </w:tcPr>
          <w:p>
            <w:pPr>
              <w:spacing w:after="0"/>
            </w:pPr>
            <w:r/>
            <w:r>
              <w:rPr>
                <w:b w:val="0"/>
                <w:sz w:val="16"/>
              </w:rPr>
              <w:t>DRS blocked</w:t>
            </w:r>
          </w:p>
        </w:tc>
        <w:tc>
          <w:tcPr>
            <w:tcW w:type="dxa" w:w="4608"/>
            <w:vAlign w:val="top"/>
          </w:tcPr>
          <w:p>
            <w:pPr>
              <w:spacing w:after="0"/>
            </w:pPr>
            <w:r/>
            <w:r>
              <w:rPr>
                <w:b w:val="0"/>
                <w:sz w:val="16"/>
              </w:rPr>
              <w:t>Wait for vetted installer or onboard one.</w:t>
            </w:r>
          </w:p>
        </w:tc>
      </w:tr>
      <w:tr>
        <w:tc>
          <w:tcPr>
            <w:tcW w:type="dxa" w:w="3024"/>
            <w:vAlign w:val="top"/>
          </w:tcPr>
          <w:p>
            <w:pPr>
              <w:spacing w:after="0"/>
            </w:pPr>
            <w:r/>
            <w:r>
              <w:rPr>
                <w:b w:val="0"/>
                <w:sz w:val="16"/>
              </w:rPr>
              <w:t>Owner documents not verified</w:t>
            </w:r>
          </w:p>
        </w:tc>
        <w:tc>
          <w:tcPr>
            <w:tcW w:type="dxa" w:w="2448"/>
            <w:vAlign w:val="top"/>
          </w:tcPr>
          <w:p>
            <w:pPr>
              <w:spacing w:after="0"/>
            </w:pPr>
            <w:r/>
            <w:r>
              <w:rPr>
                <w:b w:val="0"/>
                <w:sz w:val="16"/>
              </w:rPr>
              <w:t>DRS blocked</w:t>
            </w:r>
          </w:p>
        </w:tc>
        <w:tc>
          <w:tcPr>
            <w:tcW w:type="dxa" w:w="4608"/>
            <w:vAlign w:val="top"/>
          </w:tcPr>
          <w:p>
            <w:pPr>
              <w:spacing w:after="0"/>
            </w:pPr>
            <w:r/>
            <w:r>
              <w:rPr>
                <w:b w:val="0"/>
                <w:sz w:val="16"/>
              </w:rPr>
              <w:t>Resolve authority before project can affect building.</w:t>
            </w:r>
          </w:p>
        </w:tc>
      </w:tr>
      <w:tr>
        <w:tc>
          <w:tcPr>
            <w:tcW w:type="dxa" w:w="3024"/>
            <w:vAlign w:val="top"/>
          </w:tcPr>
          <w:p>
            <w:pPr>
              <w:spacing w:after="0"/>
            </w:pPr>
            <w:r/>
            <w:r>
              <w:rPr>
                <w:b w:val="0"/>
                <w:sz w:val="16"/>
              </w:rPr>
              <w:t>Roof/meter area unsuitable</w:t>
            </w:r>
          </w:p>
        </w:tc>
        <w:tc>
          <w:tcPr>
            <w:tcW w:type="dxa" w:w="2448"/>
            <w:vAlign w:val="top"/>
          </w:tcPr>
          <w:p>
            <w:pPr>
              <w:spacing w:after="0"/>
            </w:pPr>
            <w:r/>
            <w:r>
              <w:rPr>
                <w:b w:val="0"/>
                <w:sz w:val="16"/>
              </w:rPr>
              <w:t>DRS blocked or redesign</w:t>
            </w:r>
          </w:p>
        </w:tc>
        <w:tc>
          <w:tcPr>
            <w:tcW w:type="dxa" w:w="4608"/>
            <w:vAlign w:val="top"/>
          </w:tcPr>
          <w:p>
            <w:pPr>
              <w:spacing w:after="0"/>
            </w:pPr>
            <w:r/>
            <w:r>
              <w:rPr>
                <w:b w:val="0"/>
                <w:sz w:val="16"/>
              </w:rPr>
              <w:t>Revise capacity, use different mounting/routing, or reject building.</w:t>
            </w:r>
          </w:p>
        </w:tc>
      </w:tr>
      <w:tr>
        <w:tc>
          <w:tcPr>
            <w:tcW w:type="dxa" w:w="3024"/>
            <w:vAlign w:val="top"/>
          </w:tcPr>
          <w:p>
            <w:pPr>
              <w:spacing w:after="0"/>
            </w:pPr>
            <w:r/>
            <w:r>
              <w:rPr>
                <w:b w:val="0"/>
                <w:sz w:val="16"/>
              </w:rPr>
              <w:t>Demand too low</w:t>
            </w:r>
          </w:p>
        </w:tc>
        <w:tc>
          <w:tcPr>
            <w:tcW w:type="dxa" w:w="2448"/>
            <w:vAlign w:val="top"/>
          </w:tcPr>
          <w:p>
            <w:pPr>
              <w:spacing w:after="0"/>
            </w:pPr>
            <w:r/>
            <w:r>
              <w:rPr>
                <w:b w:val="0"/>
                <w:sz w:val="16"/>
              </w:rPr>
              <w:t>DRS blocked/paused</w:t>
            </w:r>
          </w:p>
        </w:tc>
        <w:tc>
          <w:tcPr>
            <w:tcW w:type="dxa" w:w="4608"/>
            <w:vAlign w:val="top"/>
          </w:tcPr>
          <w:p>
            <w:pPr>
              <w:spacing w:after="0"/>
            </w:pPr>
            <w:r/>
            <w:r>
              <w:rPr>
                <w:b w:val="0"/>
                <w:sz w:val="16"/>
              </w:rPr>
              <w:t>Gather more pledges, reduce system size, or wait.</w:t>
            </w:r>
          </w:p>
        </w:tc>
      </w:tr>
      <w:tr>
        <w:tc>
          <w:tcPr>
            <w:tcW w:type="dxa" w:w="3024"/>
            <w:vAlign w:val="top"/>
          </w:tcPr>
          <w:p>
            <w:pPr>
              <w:spacing w:after="0"/>
            </w:pPr>
            <w:r/>
            <w:r>
              <w:rPr>
                <w:b w:val="0"/>
                <w:sz w:val="16"/>
              </w:rPr>
              <w:t>Electrician payment unresolved</w:t>
            </w:r>
          </w:p>
        </w:tc>
        <w:tc>
          <w:tcPr>
            <w:tcW w:type="dxa" w:w="2448"/>
            <w:vAlign w:val="top"/>
          </w:tcPr>
          <w:p>
            <w:pPr>
              <w:spacing w:after="0"/>
            </w:pPr>
            <w:r/>
            <w:r>
              <w:rPr>
                <w:b w:val="0"/>
                <w:sz w:val="16"/>
              </w:rPr>
              <w:t>DRS blocked</w:t>
            </w:r>
          </w:p>
        </w:tc>
        <w:tc>
          <w:tcPr>
            <w:tcW w:type="dxa" w:w="4608"/>
            <w:vAlign w:val="top"/>
          </w:tcPr>
          <w:p>
            <w:pPr>
              <w:spacing w:after="0"/>
            </w:pPr>
            <w:r/>
            <w:r>
              <w:rPr>
                <w:b w:val="0"/>
                <w:sz w:val="16"/>
              </w:rPr>
              <w:t>Raise capital, get provider/supplier financing, or use formal labor-as-capital opt-in.</w:t>
            </w:r>
          </w:p>
        </w:tc>
      </w:tr>
      <w:tr>
        <w:tc>
          <w:tcPr>
            <w:tcW w:type="dxa" w:w="3024"/>
            <w:vAlign w:val="top"/>
          </w:tcPr>
          <w:p>
            <w:pPr>
              <w:spacing w:after="0"/>
            </w:pPr>
            <w:r/>
            <w:r>
              <w:rPr>
                <w:b w:val="0"/>
                <w:sz w:val="16"/>
              </w:rPr>
              <w:t>Missing ATS/meter hardware</w:t>
            </w:r>
          </w:p>
        </w:tc>
        <w:tc>
          <w:tcPr>
            <w:tcW w:type="dxa" w:w="2448"/>
            <w:vAlign w:val="top"/>
          </w:tcPr>
          <w:p>
            <w:pPr>
              <w:spacing w:after="0"/>
            </w:pPr>
            <w:r/>
            <w:r>
              <w:rPr>
                <w:b w:val="0"/>
                <w:sz w:val="16"/>
              </w:rPr>
              <w:t>DRS blocked</w:t>
            </w:r>
          </w:p>
        </w:tc>
        <w:tc>
          <w:tcPr>
            <w:tcW w:type="dxa" w:w="4608"/>
            <w:vAlign w:val="top"/>
          </w:tcPr>
          <w:p>
            <w:pPr>
              <w:spacing w:after="0"/>
            </w:pPr>
            <w:r/>
            <w:r>
              <w:rPr>
                <w:b w:val="0"/>
                <w:sz w:val="16"/>
              </w:rPr>
              <w:t>Do not start installation with incomplete switching/metering package.</w:t>
            </w:r>
          </w:p>
        </w:tc>
      </w:tr>
      <w:tr>
        <w:tc>
          <w:tcPr>
            <w:tcW w:type="dxa" w:w="3024"/>
            <w:vAlign w:val="top"/>
          </w:tcPr>
          <w:p>
            <w:pPr>
              <w:spacing w:after="0"/>
            </w:pPr>
            <w:r/>
            <w:r>
              <w:rPr>
                <w:b w:val="0"/>
                <w:sz w:val="16"/>
              </w:rPr>
              <w:t>ATS maps to wrong apartment</w:t>
            </w:r>
          </w:p>
        </w:tc>
        <w:tc>
          <w:tcPr>
            <w:tcW w:type="dxa" w:w="2448"/>
            <w:vAlign w:val="top"/>
          </w:tcPr>
          <w:p>
            <w:pPr>
              <w:spacing w:after="0"/>
            </w:pPr>
            <w:r/>
            <w:r>
              <w:rPr>
                <w:b w:val="0"/>
                <w:sz w:val="16"/>
              </w:rPr>
              <w:t>LBRS blocked</w:t>
            </w:r>
          </w:p>
        </w:tc>
        <w:tc>
          <w:tcPr>
            <w:tcW w:type="dxa" w:w="4608"/>
            <w:vAlign w:val="top"/>
          </w:tcPr>
          <w:p>
            <w:pPr>
              <w:spacing w:after="0"/>
            </w:pPr>
            <w:r/>
            <w:r>
              <w:rPr>
                <w:b w:val="0"/>
                <w:sz w:val="16"/>
              </w:rPr>
              <w:t>Correct mapping and retest.</w:t>
            </w:r>
          </w:p>
        </w:tc>
      </w:tr>
      <w:tr>
        <w:tc>
          <w:tcPr>
            <w:tcW w:type="dxa" w:w="3024"/>
            <w:vAlign w:val="top"/>
          </w:tcPr>
          <w:p>
            <w:pPr>
              <w:spacing w:after="0"/>
            </w:pPr>
            <w:r/>
            <w:r>
              <w:rPr>
                <w:b w:val="0"/>
                <w:sz w:val="16"/>
              </w:rPr>
              <w:t>Solar DB backfeeds KPLC/common bus</w:t>
            </w:r>
          </w:p>
        </w:tc>
        <w:tc>
          <w:tcPr>
            <w:tcW w:type="dxa" w:w="2448"/>
            <w:vAlign w:val="top"/>
          </w:tcPr>
          <w:p>
            <w:pPr>
              <w:spacing w:after="0"/>
            </w:pPr>
            <w:r/>
            <w:r>
              <w:rPr>
                <w:b w:val="0"/>
                <w:sz w:val="16"/>
              </w:rPr>
              <w:t>LBRS blocked</w:t>
            </w:r>
          </w:p>
        </w:tc>
        <w:tc>
          <w:tcPr>
            <w:tcW w:type="dxa" w:w="4608"/>
            <w:vAlign w:val="top"/>
          </w:tcPr>
          <w:p>
            <w:pPr>
              <w:spacing w:after="0"/>
            </w:pPr>
            <w:r/>
            <w:r>
              <w:rPr>
                <w:b w:val="0"/>
                <w:sz w:val="16"/>
              </w:rPr>
              <w:t>Stop launch; redesign/rewire.</w:t>
            </w:r>
          </w:p>
        </w:tc>
      </w:tr>
      <w:tr>
        <w:tc>
          <w:tcPr>
            <w:tcW w:type="dxa" w:w="3024"/>
            <w:vAlign w:val="top"/>
          </w:tcPr>
          <w:p>
            <w:pPr>
              <w:spacing w:after="0"/>
            </w:pPr>
            <w:r/>
            <w:r>
              <w:rPr>
                <w:b w:val="0"/>
                <w:sz w:val="16"/>
              </w:rPr>
              <w:t>Inverter data missing</w:t>
            </w:r>
          </w:p>
        </w:tc>
        <w:tc>
          <w:tcPr>
            <w:tcW w:type="dxa" w:w="2448"/>
            <w:vAlign w:val="top"/>
          </w:tcPr>
          <w:p>
            <w:pPr>
              <w:spacing w:after="0"/>
            </w:pPr>
            <w:r/>
            <w:r>
              <w:rPr>
                <w:b w:val="0"/>
                <w:sz w:val="16"/>
              </w:rPr>
              <w:t>LBRS blocked or conservative operation</w:t>
            </w:r>
          </w:p>
        </w:tc>
        <w:tc>
          <w:tcPr>
            <w:tcW w:type="dxa" w:w="4608"/>
            <w:vAlign w:val="top"/>
          </w:tcPr>
          <w:p>
            <w:pPr>
              <w:spacing w:after="0"/>
            </w:pPr>
            <w:r/>
            <w:r>
              <w:rPr>
                <w:b w:val="0"/>
                <w:sz w:val="16"/>
              </w:rPr>
              <w:t>Fix connectivity/API or define manual fallback before go-live.</w:t>
            </w:r>
          </w:p>
        </w:tc>
      </w:tr>
      <w:tr>
        <w:tc>
          <w:tcPr>
            <w:tcW w:type="dxa" w:w="3024"/>
            <w:vAlign w:val="top"/>
          </w:tcPr>
          <w:p>
            <w:pPr>
              <w:spacing w:after="0"/>
            </w:pPr>
            <w:r/>
            <w:r>
              <w:rPr>
                <w:b w:val="0"/>
                <w:sz w:val="16"/>
              </w:rPr>
              <w:t>Settlement dry run fails</w:t>
            </w:r>
          </w:p>
        </w:tc>
        <w:tc>
          <w:tcPr>
            <w:tcW w:type="dxa" w:w="2448"/>
            <w:vAlign w:val="top"/>
          </w:tcPr>
          <w:p>
            <w:pPr>
              <w:spacing w:after="0"/>
            </w:pPr>
            <w:r/>
            <w:r>
              <w:rPr>
                <w:b w:val="0"/>
                <w:sz w:val="16"/>
              </w:rPr>
              <w:t>LBRS blocked</w:t>
            </w:r>
          </w:p>
        </w:tc>
        <w:tc>
          <w:tcPr>
            <w:tcW w:type="dxa" w:w="4608"/>
            <w:vAlign w:val="top"/>
          </w:tcPr>
          <w:p>
            <w:pPr>
              <w:spacing w:after="0"/>
            </w:pPr>
            <w:r/>
            <w:r>
              <w:rPr>
                <w:b w:val="0"/>
                <w:sz w:val="16"/>
              </w:rPr>
              <w:t>Fix accounting before residents can buy usable tokens.</w:t>
            </w:r>
          </w:p>
        </w:tc>
      </w:tr>
    </w:tbl>
    <w:p/>
    <w:p>
      <w:pPr>
        <w:pStyle w:val="Heading1"/>
      </w:pPr>
      <w:r>
        <w:t>11. Backend Data Model</w:t>
      </w:r>
    </w:p>
    <w:tbl>
      <w:tblPr>
        <w:tblStyle w:val="TableGrid"/>
        <w:tblW w:type="auto" w:w="0"/>
        <w:jc w:val="center"/>
        <w:tblLook w:firstColumn="1" w:firstRow="1" w:lastColumn="0" w:lastRow="0" w:noHBand="0" w:noVBand="1" w:val="04A0"/>
      </w:tblPr>
      <w:tblGrid>
        <w:gridCol w:w="5184"/>
        <w:gridCol w:w="5184"/>
      </w:tblGrid>
      <w:tr>
        <w:tc>
          <w:tcPr>
            <w:tcW w:type="dxa" w:w="2880"/>
            <w:shd w:fill="111111"/>
            <w:vAlign w:val="center"/>
          </w:tcPr>
          <w:p>
            <w:pPr>
              <w:spacing w:after="0"/>
            </w:pPr>
            <w:r/>
            <w:r>
              <w:rPr>
                <w:b/>
                <w:color w:val="FFFFFF"/>
                <w:sz w:val="16"/>
              </w:rPr>
              <w:t>Entity</w:t>
            </w:r>
          </w:p>
        </w:tc>
        <w:tc>
          <w:tcPr>
            <w:tcW w:type="dxa" w:w="7200"/>
            <w:shd w:fill="111111"/>
            <w:vAlign w:val="center"/>
          </w:tcPr>
          <w:p>
            <w:pPr>
              <w:spacing w:after="0"/>
            </w:pPr>
            <w:r/>
            <w:r>
              <w:rPr>
                <w:b/>
                <w:color w:val="FFFFFF"/>
                <w:sz w:val="16"/>
              </w:rPr>
              <w:t>Core fields</w:t>
            </w:r>
          </w:p>
        </w:tc>
      </w:tr>
      <w:tr>
        <w:tc>
          <w:tcPr>
            <w:tcW w:type="dxa" w:w="2880"/>
            <w:vAlign w:val="top"/>
          </w:tcPr>
          <w:p>
            <w:pPr>
              <w:spacing w:after="0"/>
            </w:pPr>
            <w:r/>
            <w:r>
              <w:rPr>
                <w:b w:val="0"/>
                <w:sz w:val="16"/>
              </w:rPr>
              <w:t>DeploymentProject</w:t>
            </w:r>
          </w:p>
        </w:tc>
        <w:tc>
          <w:tcPr>
            <w:tcW w:type="dxa" w:w="7200"/>
            <w:vAlign w:val="top"/>
          </w:tcPr>
          <w:p>
            <w:pPr>
              <w:spacing w:after="0"/>
            </w:pPr>
            <w:r/>
            <w:r>
              <w:rPr>
                <w:b w:val="0"/>
                <w:sz w:val="16"/>
              </w:rPr>
              <w:t>project_id, building_id, owner_id, status, drs_score, lbrs_score, blockers, initiated_at, installed_at, live_at</w:t>
            </w:r>
          </w:p>
        </w:tc>
      </w:tr>
      <w:tr>
        <w:tc>
          <w:tcPr>
            <w:tcW w:type="dxa" w:w="2880"/>
            <w:vAlign w:val="top"/>
          </w:tcPr>
          <w:p>
            <w:pPr>
              <w:spacing w:after="0"/>
            </w:pPr>
            <w:r/>
            <w:r>
              <w:rPr>
                <w:b w:val="0"/>
                <w:sz w:val="16"/>
              </w:rPr>
              <w:t>DRSChecklistItem</w:t>
            </w:r>
          </w:p>
        </w:tc>
        <w:tc>
          <w:tcPr>
            <w:tcW w:type="dxa" w:w="7200"/>
            <w:vAlign w:val="top"/>
          </w:tcPr>
          <w:p>
            <w:pPr>
              <w:spacing w:after="0"/>
            </w:pPr>
            <w:r/>
            <w:r>
              <w:rPr>
                <w:b w:val="0"/>
                <w:sz w:val="16"/>
              </w:rPr>
              <w:t>project_id, category, required, weight, status, blocker_type, evidence_url, reviewer_id, completed_at</w:t>
            </w:r>
          </w:p>
        </w:tc>
      </w:tr>
      <w:tr>
        <w:tc>
          <w:tcPr>
            <w:tcW w:type="dxa" w:w="2880"/>
            <w:vAlign w:val="top"/>
          </w:tcPr>
          <w:p>
            <w:pPr>
              <w:spacing w:after="0"/>
            </w:pPr>
            <w:r/>
            <w:r>
              <w:rPr>
                <w:b w:val="0"/>
                <w:sz w:val="16"/>
              </w:rPr>
              <w:t>LBRSChecklistItem</w:t>
            </w:r>
          </w:p>
        </w:tc>
        <w:tc>
          <w:tcPr>
            <w:tcW w:type="dxa" w:w="7200"/>
            <w:vAlign w:val="top"/>
          </w:tcPr>
          <w:p>
            <w:pPr>
              <w:spacing w:after="0"/>
            </w:pPr>
            <w:r/>
            <w:r>
              <w:rPr>
                <w:b w:val="0"/>
                <w:sz w:val="16"/>
              </w:rPr>
              <w:t>project_id, test_name, required, weight, status, measured_value, pass_threshold, evidence_url, signed_by</w:t>
            </w:r>
          </w:p>
        </w:tc>
      </w:tr>
      <w:tr>
        <w:tc>
          <w:tcPr>
            <w:tcW w:type="dxa" w:w="2880"/>
            <w:vAlign w:val="top"/>
          </w:tcPr>
          <w:p>
            <w:pPr>
              <w:spacing w:after="0"/>
            </w:pPr>
            <w:r/>
            <w:r>
              <w:rPr>
                <w:b w:val="0"/>
                <w:sz w:val="16"/>
              </w:rPr>
              <w:t>StakeholderCommitment</w:t>
            </w:r>
          </w:p>
        </w:tc>
        <w:tc>
          <w:tcPr>
            <w:tcW w:type="dxa" w:w="7200"/>
            <w:vAlign w:val="top"/>
          </w:tcPr>
          <w:p>
            <w:pPr>
              <w:spacing w:after="0"/>
            </w:pPr>
            <w:r/>
            <w:r>
              <w:rPr>
                <w:b w:val="0"/>
                <w:sz w:val="16"/>
              </w:rPr>
              <w:t>project_id, stakeholder_user_id, role, contribution_type, contribution_value_kes, payout_pool, status</w:t>
            </w:r>
          </w:p>
        </w:tc>
      </w:tr>
      <w:tr>
        <w:tc>
          <w:tcPr>
            <w:tcW w:type="dxa" w:w="2880"/>
            <w:vAlign w:val="top"/>
          </w:tcPr>
          <w:p>
            <w:pPr>
              <w:spacing w:after="0"/>
            </w:pPr>
            <w:r/>
            <w:r>
              <w:rPr>
                <w:b w:val="0"/>
                <w:sz w:val="16"/>
              </w:rPr>
              <w:t>ElectricianWorkOrder</w:t>
            </w:r>
          </w:p>
        </w:tc>
        <w:tc>
          <w:tcPr>
            <w:tcW w:type="dxa" w:w="7200"/>
            <w:vAlign w:val="top"/>
          </w:tcPr>
          <w:p>
            <w:pPr>
              <w:spacing w:after="0"/>
            </w:pPr>
            <w:r/>
            <w:r>
              <w:rPr>
                <w:b w:val="0"/>
                <w:sz w:val="16"/>
              </w:rPr>
              <w:t>project_id, electrician_id, labor_quote_kes, transport_kes, payment_model, upfront_paid_kes, labor_capital_kes</w:t>
            </w:r>
          </w:p>
        </w:tc>
      </w:tr>
      <w:tr>
        <w:tc>
          <w:tcPr>
            <w:tcW w:type="dxa" w:w="2880"/>
            <w:vAlign w:val="top"/>
          </w:tcPr>
          <w:p>
            <w:pPr>
              <w:spacing w:after="0"/>
            </w:pPr>
            <w:r/>
            <w:r>
              <w:rPr>
                <w:b w:val="0"/>
                <w:sz w:val="16"/>
              </w:rPr>
              <w:t>HardwareBOM</w:t>
            </w:r>
          </w:p>
        </w:tc>
        <w:tc>
          <w:tcPr>
            <w:tcW w:type="dxa" w:w="7200"/>
            <w:vAlign w:val="top"/>
          </w:tcPr>
          <w:p>
            <w:pPr>
              <w:spacing w:after="0"/>
            </w:pPr>
            <w:r/>
            <w:r>
              <w:rPr>
                <w:b w:val="0"/>
                <w:sz w:val="16"/>
              </w:rPr>
              <w:t>project_id, component_type, model, quantity, source, price_estimate_kes, serial_number, installed_status</w:t>
            </w:r>
          </w:p>
        </w:tc>
      </w:tr>
      <w:tr>
        <w:tc>
          <w:tcPr>
            <w:tcW w:type="dxa" w:w="2880"/>
            <w:vAlign w:val="top"/>
          </w:tcPr>
          <w:p>
            <w:pPr>
              <w:spacing w:after="0"/>
            </w:pPr>
            <w:r/>
            <w:r>
              <w:rPr>
                <w:b w:val="0"/>
                <w:sz w:val="16"/>
              </w:rPr>
              <w:t>ApartmentActivation</w:t>
            </w:r>
          </w:p>
        </w:tc>
        <w:tc>
          <w:tcPr>
            <w:tcW w:type="dxa" w:w="7200"/>
            <w:vAlign w:val="top"/>
          </w:tcPr>
          <w:p>
            <w:pPr>
              <w:spacing w:after="0"/>
            </w:pPr>
            <w:r/>
            <w:r>
              <w:rPr>
                <w:b w:val="0"/>
                <w:sz w:val="16"/>
              </w:rPr>
              <w:t>project_id, apartment_id, resident_id, ats_id, meter_id, capacity_status, switching_verified, activated_at</w:t>
            </w:r>
          </w:p>
        </w:tc>
      </w:tr>
      <w:tr>
        <w:tc>
          <w:tcPr>
            <w:tcW w:type="dxa" w:w="2880"/>
            <w:vAlign w:val="top"/>
          </w:tcPr>
          <w:p>
            <w:pPr>
              <w:spacing w:after="0"/>
            </w:pPr>
            <w:r/>
            <w:r>
              <w:rPr>
                <w:b w:val="0"/>
                <w:sz w:val="16"/>
              </w:rPr>
              <w:t>TestEvidence</w:t>
            </w:r>
          </w:p>
        </w:tc>
        <w:tc>
          <w:tcPr>
            <w:tcW w:type="dxa" w:w="7200"/>
            <w:vAlign w:val="top"/>
          </w:tcPr>
          <w:p>
            <w:pPr>
              <w:spacing w:after="0"/>
            </w:pPr>
            <w:r/>
            <w:r>
              <w:rPr>
                <w:b w:val="0"/>
                <w:sz w:val="16"/>
              </w:rPr>
              <w:t>project_id, item_id, file_url, notes, uploaded_by, timestamp</w:t>
            </w:r>
          </w:p>
        </w:tc>
      </w:tr>
    </w:tbl>
    <w:p/>
    <w:p>
      <w:pPr>
        <w:pStyle w:val="Heading1"/>
      </w:pPr>
      <w:r>
        <w:t>12. Non-Negotiable Decision Rules</w:t>
      </w:r>
    </w:p>
    <w:p>
      <w:pPr>
        <w:pStyle w:val="ListBullet"/>
        <w:spacing w:after="40"/>
      </w:pPr>
      <w:r>
        <w:t>Do not begin installation until DRS = 100%.</w:t>
      </w:r>
    </w:p>
    <w:p>
      <w:pPr>
        <w:pStyle w:val="ListBullet"/>
        <w:spacing w:after="40"/>
      </w:pPr>
      <w:r>
        <w:t>Do not go live until LBRS = 100%.</w:t>
      </w:r>
    </w:p>
    <w:p>
      <w:pPr>
        <w:pStyle w:val="ListBullet"/>
        <w:spacing w:after="40"/>
      </w:pPr>
      <w:r>
        <w:t>Do not let UI percentages override critical blockers.</w:t>
      </w:r>
    </w:p>
    <w:p>
      <w:pPr>
        <w:pStyle w:val="ListBullet"/>
        <w:spacing w:after="40"/>
      </w:pPr>
      <w:r>
        <w:t>Do not assume electrician labor can be deferred; default to upfront payment.</w:t>
      </w:r>
    </w:p>
    <w:p>
      <w:pPr>
        <w:pStyle w:val="ListBullet"/>
        <w:spacing w:after="40"/>
      </w:pPr>
      <w:r>
        <w:t>Do not give labor-as-capital participants a gross-revenue claim unless the economics are intentionally redesigned.</w:t>
      </w:r>
    </w:p>
    <w:p>
      <w:pPr>
        <w:pStyle w:val="ListBullet"/>
        <w:spacing w:after="40"/>
      </w:pPr>
      <w:r>
        <w:t>Do not connect e.mappa solar to a common bus that serves non-enrolled apartments.</w:t>
      </w:r>
    </w:p>
    <w:p>
      <w:pPr>
        <w:pStyle w:val="ListBullet"/>
        <w:spacing w:after="40"/>
      </w:pPr>
      <w:r>
        <w:t>Do not allow token purchases for apartments that are not capacity-cleared, ATS-installed, meter-mapped, and switching-verified.</w:t>
      </w:r>
    </w:p>
    <w:p>
      <w:pPr>
        <w:pStyle w:val="ListBullet"/>
        <w:spacing w:after="40"/>
      </w:pPr>
      <w:r>
        <w:t>Do not settle from generated solar, pledged demand, unpaid usage, or unverified data.</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11111"/>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1111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1111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