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e.mappa</w:t>
      </w:r>
    </w:p>
    <w:p>
      <w:pPr>
        <w:jc w:val="center"/>
      </w:pPr>
      <w:r>
        <w:rPr>
          <w:rFonts w:ascii="Arial" w:hAnsi="Arial"/>
          <w:b/>
          <w:sz w:val="34"/>
        </w:rPr>
        <w:t>Scenario F - Financier Network Flow</w:t>
      </w:r>
    </w:p>
    <w:p>
      <w:pPr>
        <w:jc w:val="center"/>
      </w:pPr>
      <w:r>
        <w:rPr>
          <w:rFonts w:ascii="Arial" w:hAnsi="Arial"/>
          <w:i/>
          <w:sz w:val="20"/>
        </w:rPr>
        <w:t>Financier onboarding, regulatory gating, project discovery, capital commitment, stakeholder buyouts, DRS/LBRS tracking, asset ownership, generation visibility, wallet settlement, projected returns, payback modeling, and portfolio operations</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Clearly labeled scope</w:t>
            </w:r>
          </w:p>
          <w:p>
            <w:pPr>
              <w:spacing w:after="0"/>
            </w:pPr>
            <w:r>
              <w:rPr>
                <w:rFonts w:ascii="Arial" w:hAnsi="Arial"/>
                <w:sz w:val="18"/>
              </w:rPr>
              <w:t>This document defines the financier experience for e.mappa. It covers individual financiers, business/entity financiers, sophisticated/qualified investors, regulated investment vehicles, project discovery, capital commitments, escrow/custody, buyout of equipment-as-a-service and labor-as-capital claims, ownership of infrastructure or generation assets, DRS/LBRS gating, live energy performance, wallet settlement, projected returns, payback tracking, investor protection, cross-border restrictions, and backend data structures. It is written as a canonical product and implementation spec for Scenario F only.</w:t>
            </w:r>
          </w:p>
        </w:tc>
      </w:tr>
    </w:tbl>
    <w:p/>
    <w:p>
      <w:pPr>
        <w:spacing w:after="120"/>
      </w:pPr>
      <w:r>
        <w:rPr>
          <w:rFonts w:ascii="Arial" w:hAnsi="Arial"/>
          <w:sz w:val="20"/>
        </w:rPr>
        <w:t>Internal product specification. Prepared for the e.mappa app, backend, deployment operations, compliance review, and stakeholder coordination model.</w:t>
      </w:r>
    </w:p>
    <w:p>
      <w:pPr>
        <w:pStyle w:val="Heading1"/>
      </w:pPr>
      <w:r>
        <w:rPr>
          <w:rFonts w:ascii="Arial" w:hAnsi="Arial"/>
          <w:sz w:val="20"/>
        </w:rPr>
        <w:t>1. Executive Summary</w:t>
      </w:r>
    </w:p>
    <w:p>
      <w:pPr>
        <w:spacing w:after="120"/>
      </w:pPr>
      <w:r>
        <w:rPr>
          <w:rFonts w:ascii="Arial" w:hAnsi="Arial"/>
          <w:sz w:val="20"/>
        </w:rPr>
        <w:t>Scenario F is the financier path. The financier is not simply a donor, not merely a lender, and not automatically the owner of every energy asset they fund. In e.mappa, financiers provide capital that turns verified project readiness into deployable energy infrastructure. Their money may fund batteries, inverters, ATS devices, meters, Solar DB hardware, wiring, monitoring, logistics, installation labor, provider panel buyouts, supplier inventory buyouts, or project expansion. The product must feel like an investment app, but it must behave like a regulated financial product with strict investor protection, suitability, custody, disclosure, jurisdiction, and audit controls.</w:t>
      </w:r>
    </w:p>
    <w:p>
      <w:pPr>
        <w:spacing w:after="120"/>
      </w:pPr>
      <w:r>
        <w:rPr>
          <w:rFonts w:ascii="Arial" w:hAnsi="Arial"/>
          <w:sz w:val="20"/>
        </w:rPr>
        <w:t>The financier path should be open in spirit because e.mappa’s mission is broad participation in local energy economies. But the actual ability to invest must be gated. Not every user should be allowed to fund every project, every jurisdiction, or every instrument. A retail user in Kenya, a U.S. user, a Kenyan business, a diaspora investor, and a regulated fund may all have different eligibility, limits, documents, disclosures, tax treatment, and product access.</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Product law</w:t>
            </w:r>
          </w:p>
          <w:p>
            <w:pPr>
              <w:spacing w:after="0"/>
            </w:pPr>
            <w:r>
              <w:rPr>
                <w:rFonts w:ascii="Arial" w:hAnsi="Arial"/>
                <w:sz w:val="18"/>
              </w:rPr>
              <w:t>A financier can discover projects before committing capital, but their commitment should increase DRS only after the commitment is legally valid, funds are reserved or escrowed, eligibility checks pass, and project terms are accepted. A project cannot begin installation until DRS reaches 100%. A project cannot pay usage-linked returns until LBRS reaches 100%, the system is live, prepaid energy is consumed, and settlement has verified monetized solar. Projected returns are estimates, not promises. No payout is created by pledged demand, generated-but-unsold solar, unverified readings, or future trading that has not been enabled.</w:t>
            </w:r>
          </w:p>
        </w:tc>
      </w:tr>
    </w:tbl>
    <w:p/>
    <w:p>
      <w:pPr>
        <w:pStyle w:val="ListBullet"/>
        <w:spacing w:after="40"/>
      </w:pPr>
      <w:r>
        <w:rPr>
          <w:rFonts w:ascii="Arial" w:hAnsi="Arial"/>
          <w:sz w:val="20"/>
        </w:rPr>
        <w:t>The first screen should be Discover: a financial marketplace of projects showing DRS, capital raised, capital gap, stakeholder-as-a-service claims, buyout opportunities, projected utilization, projected payback ranges, risk badges, and legal eligibility.</w:t>
      </w:r>
    </w:p>
    <w:p>
      <w:pPr>
        <w:pStyle w:val="ListBullet"/>
        <w:spacing w:after="40"/>
      </w:pPr>
      <w:r>
        <w:rPr>
          <w:rFonts w:ascii="Arial" w:hAnsi="Arial"/>
          <w:sz w:val="20"/>
        </w:rPr>
        <w:t>The second screen should be Project Status: committed or watched projects, DRS/LBRS progress, escrow status, milestone funding, stakeholder commitments, installation progress, go-live blockers, and live site health.</w:t>
      </w:r>
    </w:p>
    <w:p>
      <w:pPr>
        <w:pStyle w:val="ListBullet"/>
        <w:spacing w:after="40"/>
      </w:pPr>
      <w:r>
        <w:rPr>
          <w:rFonts w:ascii="Arial" w:hAnsi="Arial"/>
          <w:sz w:val="20"/>
        </w:rPr>
        <w:t>The third screen should be Energy Generation: project generation, monetized kWh, waste/curtailment, battery use, grid fallback, utilization, coverage, asset ownership split, and the financier’s economic exposure.</w:t>
      </w:r>
    </w:p>
    <w:p>
      <w:pPr>
        <w:pStyle w:val="ListBullet"/>
        <w:spacing w:after="40"/>
      </w:pPr>
      <w:r>
        <w:rPr>
          <w:rFonts w:ascii="Arial" w:hAnsi="Arial"/>
          <w:sz w:val="20"/>
        </w:rPr>
        <w:t>The fourth screen should be Wallet: principal deployed, pending commitments, cashflow, revenue-share payments, buyout proceeds, projected returns, actual return, projected payback, scenario stress tests, fees, reserves, taxes, and withdrawals.</w:t>
      </w:r>
    </w:p>
    <w:p>
      <w:pPr>
        <w:pStyle w:val="ListBullet"/>
        <w:spacing w:after="40"/>
      </w:pPr>
      <w:r>
        <w:rPr>
          <w:rFonts w:ascii="Arial" w:hAnsi="Arial"/>
          <w:sz w:val="20"/>
        </w:rPr>
        <w:t>The fifth screen should be Profile: identity, KYC/KYB, investor eligibility, jurisdiction, risk profile, accreditation/sophistication status where applicable, documents, payout account, tax info, limits, notification preferences, and compliance status.</w:t>
      </w:r>
    </w:p>
    <w:p>
      <w:pPr>
        <w:pStyle w:val="ListBullet"/>
        <w:spacing w:after="40"/>
      </w:pPr>
      <w:r>
        <w:rPr>
          <w:rFonts w:ascii="Arial" w:hAnsi="Arial"/>
          <w:sz w:val="20"/>
        </w:rPr>
        <w:t>Financiers are not limited by physical proximity, but they are limited by law, product availability, currency rails, cross-border restrictions, tax/reporting rules, concentration limits, and project eligibility.</w:t>
      </w:r>
    </w:p>
    <w:p>
      <w:pPr>
        <w:pStyle w:val="ListBullet"/>
        <w:spacing w:after="40"/>
      </w:pPr>
      <w:r>
        <w:rPr>
          <w:rFonts w:ascii="Arial" w:hAnsi="Arial"/>
          <w:sz w:val="20"/>
        </w:rPr>
        <w:t>A financier can buy out provider/supplier/electrician-as-a-service positions, but the asset acquired depends on what is bought: provider panels map to the provider/array pool; infrastructure equipment maps to the infrastructure pool; labor-as-capital maps to the infrastructure pool unless terms say otherwise.</w:t>
      </w:r>
    </w:p>
    <w:p>
      <w:pPr>
        <w:pStyle w:val="Heading1"/>
      </w:pPr>
      <w:r>
        <w:rPr>
          <w:rFonts w:ascii="Arial" w:hAnsi="Arial"/>
          <w:sz w:val="20"/>
        </w:rPr>
        <w:t>2. Financier Role in the e.mappa Network</w:t>
      </w:r>
    </w:p>
    <w:p>
      <w:pPr>
        <w:spacing w:after="120"/>
      </w:pPr>
      <w:r>
        <w:rPr>
          <w:rFonts w:ascii="Arial" w:hAnsi="Arial"/>
          <w:sz w:val="20"/>
        </w:rPr>
        <w:t>Financiers are the capital-routing layer. They can convert a promising but underfunded building or home into an installed system by funding missing infrastructure, buying out provider equipment, buying out supplier inventory-as-a-service, funding electrician milestones, financing expansion capacity, or replacing expensive capital with cheaper capital. Their role is powerful because a single financier can unlock many projects across distance, but it is dangerous if the app overpromises returns or lets unqualified users enter products they do not understand.</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rFonts w:ascii="Arial" w:hAnsi="Arial"/>
                <w:b/>
                <w:sz w:val="17"/>
              </w:rPr>
              <w:t>Financier function</w:t>
            </w:r>
          </w:p>
        </w:tc>
        <w:tc>
          <w:tcPr>
            <w:tcW w:type="dxa" w:w="3168"/>
            <w:shd w:fill="EDEDED"/>
            <w:vAlign w:val="center"/>
          </w:tcPr>
          <w:p>
            <w:pPr>
              <w:spacing w:after="0"/>
            </w:pPr>
            <w:r/>
            <w:r>
              <w:rPr>
                <w:rFonts w:ascii="Arial" w:hAnsi="Arial"/>
                <w:b/>
                <w:sz w:val="17"/>
              </w:rPr>
              <w:t>What they do</w:t>
            </w:r>
          </w:p>
        </w:tc>
        <w:tc>
          <w:tcPr>
            <w:tcW w:type="dxa" w:w="3600"/>
            <w:shd w:fill="EDEDED"/>
            <w:vAlign w:val="center"/>
          </w:tcPr>
          <w:p>
            <w:pPr>
              <w:spacing w:after="0"/>
            </w:pPr>
            <w:r/>
            <w:r>
              <w:rPr>
                <w:rFonts w:ascii="Arial" w:hAnsi="Arial"/>
                <w:b/>
                <w:sz w:val="17"/>
              </w:rPr>
              <w:t>System consequence</w:t>
            </w:r>
          </w:p>
        </w:tc>
      </w:tr>
      <w:tr>
        <w:tc>
          <w:tcPr>
            <w:tcW w:type="dxa" w:w="2160"/>
            <w:vAlign w:val="top"/>
          </w:tcPr>
          <w:p>
            <w:pPr>
              <w:spacing w:after="0"/>
            </w:pPr>
            <w:r/>
            <w:r>
              <w:rPr>
                <w:rFonts w:ascii="Arial" w:hAnsi="Arial"/>
                <w:b w:val="0"/>
                <w:sz w:val="17"/>
              </w:rPr>
              <w:t>Project capitalizer</w:t>
            </w:r>
          </w:p>
        </w:tc>
        <w:tc>
          <w:tcPr>
            <w:tcW w:type="dxa" w:w="3168"/>
            <w:vAlign w:val="top"/>
          </w:tcPr>
          <w:p>
            <w:pPr>
              <w:spacing w:after="0"/>
            </w:pPr>
            <w:r/>
            <w:r>
              <w:rPr>
                <w:rFonts w:ascii="Arial" w:hAnsi="Arial"/>
                <w:b w:val="0"/>
                <w:sz w:val="17"/>
              </w:rPr>
              <w:t>Fills the funding gap for a deployment project.</w:t>
            </w:r>
          </w:p>
        </w:tc>
        <w:tc>
          <w:tcPr>
            <w:tcW w:type="dxa" w:w="3600"/>
            <w:vAlign w:val="top"/>
          </w:tcPr>
          <w:p>
            <w:pPr>
              <w:spacing w:after="0"/>
            </w:pPr>
            <w:r/>
            <w:r>
              <w:rPr>
                <w:rFonts w:ascii="Arial" w:hAnsi="Arial"/>
                <w:b w:val="0"/>
                <w:sz w:val="17"/>
              </w:rPr>
              <w:t>DRS can move toward 100% once funds are legally committed and escrowed.</w:t>
            </w:r>
          </w:p>
        </w:tc>
      </w:tr>
      <w:tr>
        <w:tc>
          <w:tcPr>
            <w:tcW w:type="dxa" w:w="2160"/>
            <w:vAlign w:val="top"/>
          </w:tcPr>
          <w:p>
            <w:pPr>
              <w:spacing w:after="0"/>
            </w:pPr>
            <w:r/>
            <w:r>
              <w:rPr>
                <w:rFonts w:ascii="Arial" w:hAnsi="Arial"/>
                <w:b w:val="0"/>
                <w:sz w:val="17"/>
              </w:rPr>
              <w:t>Infrastructure owner</w:t>
            </w:r>
          </w:p>
        </w:tc>
        <w:tc>
          <w:tcPr>
            <w:tcW w:type="dxa" w:w="3168"/>
            <w:vAlign w:val="top"/>
          </w:tcPr>
          <w:p>
            <w:pPr>
              <w:spacing w:after="0"/>
            </w:pPr>
            <w:r/>
            <w:r>
              <w:rPr>
                <w:rFonts w:ascii="Arial" w:hAnsi="Arial"/>
                <w:b w:val="0"/>
                <w:sz w:val="17"/>
              </w:rPr>
              <w:t>Funds inverter, battery, Solar DB, ATS, meters, wiring, monitoring, logistics, and sometimes installation capital.</w:t>
            </w:r>
          </w:p>
        </w:tc>
        <w:tc>
          <w:tcPr>
            <w:tcW w:type="dxa" w:w="3600"/>
            <w:vAlign w:val="top"/>
          </w:tcPr>
          <w:p>
            <w:pPr>
              <w:spacing w:after="0"/>
            </w:pPr>
            <w:r/>
            <w:r>
              <w:rPr>
                <w:rFonts w:ascii="Arial" w:hAnsi="Arial"/>
                <w:b w:val="0"/>
                <w:sz w:val="17"/>
              </w:rPr>
              <w:t>Receives pro-rata claim on infrastructure/financier pool from monetized kWh, subject to phase rules.</w:t>
            </w:r>
          </w:p>
        </w:tc>
      </w:tr>
      <w:tr>
        <w:tc>
          <w:tcPr>
            <w:tcW w:type="dxa" w:w="2160"/>
            <w:vAlign w:val="top"/>
          </w:tcPr>
          <w:p>
            <w:pPr>
              <w:spacing w:after="0"/>
            </w:pPr>
            <w:r/>
            <w:r>
              <w:rPr>
                <w:rFonts w:ascii="Arial" w:hAnsi="Arial"/>
                <w:b w:val="0"/>
                <w:sz w:val="17"/>
              </w:rPr>
              <w:t>Generation buyer</w:t>
            </w:r>
          </w:p>
        </w:tc>
        <w:tc>
          <w:tcPr>
            <w:tcW w:type="dxa" w:w="3168"/>
            <w:vAlign w:val="top"/>
          </w:tcPr>
          <w:p>
            <w:pPr>
              <w:spacing w:after="0"/>
            </w:pPr>
            <w:r/>
            <w:r>
              <w:rPr>
                <w:rFonts w:ascii="Arial" w:hAnsi="Arial"/>
                <w:b w:val="0"/>
                <w:sz w:val="17"/>
              </w:rPr>
              <w:t>Buys out provider panels or provider array claims when terms allow.</w:t>
            </w:r>
          </w:p>
        </w:tc>
        <w:tc>
          <w:tcPr>
            <w:tcW w:type="dxa" w:w="3600"/>
            <w:vAlign w:val="top"/>
          </w:tcPr>
          <w:p>
            <w:pPr>
              <w:spacing w:after="0"/>
            </w:pPr>
            <w:r/>
            <w:r>
              <w:rPr>
                <w:rFonts w:ascii="Arial" w:hAnsi="Arial"/>
                <w:b w:val="0"/>
                <w:sz w:val="17"/>
              </w:rPr>
              <w:t>Receives pro-rata claim on provider/array pool; original provider’s retained claim decreases.</w:t>
            </w:r>
          </w:p>
        </w:tc>
      </w:tr>
      <w:tr>
        <w:tc>
          <w:tcPr>
            <w:tcW w:type="dxa" w:w="2160"/>
            <w:vAlign w:val="top"/>
          </w:tcPr>
          <w:p>
            <w:pPr>
              <w:spacing w:after="0"/>
            </w:pPr>
            <w:r/>
            <w:r>
              <w:rPr>
                <w:rFonts w:ascii="Arial" w:hAnsi="Arial"/>
                <w:b w:val="0"/>
                <w:sz w:val="17"/>
              </w:rPr>
              <w:t>As-a-service buyout participant</w:t>
            </w:r>
          </w:p>
        </w:tc>
        <w:tc>
          <w:tcPr>
            <w:tcW w:type="dxa" w:w="3168"/>
            <w:vAlign w:val="top"/>
          </w:tcPr>
          <w:p>
            <w:pPr>
              <w:spacing w:after="0"/>
            </w:pPr>
            <w:r/>
            <w:r>
              <w:rPr>
                <w:rFonts w:ascii="Arial" w:hAnsi="Arial"/>
                <w:b w:val="0"/>
                <w:sz w:val="17"/>
              </w:rPr>
              <w:t>Buys out supplier equipment-as-a-service or electrician labor-as-capital claims.</w:t>
            </w:r>
          </w:p>
        </w:tc>
        <w:tc>
          <w:tcPr>
            <w:tcW w:type="dxa" w:w="3600"/>
            <w:vAlign w:val="top"/>
          </w:tcPr>
          <w:p>
            <w:pPr>
              <w:spacing w:after="0"/>
            </w:pPr>
            <w:r/>
            <w:r>
              <w:rPr>
                <w:rFonts w:ascii="Arial" w:hAnsi="Arial"/>
                <w:b w:val="0"/>
                <w:sz w:val="17"/>
              </w:rPr>
              <w:t>Converts deferred stakeholder claims into financier ownership claims, improving stakeholder liquidity.</w:t>
            </w:r>
          </w:p>
        </w:tc>
      </w:tr>
      <w:tr>
        <w:tc>
          <w:tcPr>
            <w:tcW w:type="dxa" w:w="2160"/>
            <w:vAlign w:val="top"/>
          </w:tcPr>
          <w:p>
            <w:pPr>
              <w:spacing w:after="0"/>
            </w:pPr>
            <w:r/>
            <w:r>
              <w:rPr>
                <w:rFonts w:ascii="Arial" w:hAnsi="Arial"/>
                <w:b w:val="0"/>
                <w:sz w:val="17"/>
              </w:rPr>
              <w:t>Expansion financier</w:t>
            </w:r>
          </w:p>
        </w:tc>
        <w:tc>
          <w:tcPr>
            <w:tcW w:type="dxa" w:w="3168"/>
            <w:vAlign w:val="top"/>
          </w:tcPr>
          <w:p>
            <w:pPr>
              <w:spacing w:after="0"/>
            </w:pPr>
            <w:r/>
            <w:r>
              <w:rPr>
                <w:rFonts w:ascii="Arial" w:hAnsi="Arial"/>
                <w:b w:val="0"/>
                <w:sz w:val="17"/>
              </w:rPr>
              <w:t>Funds extra capacity after a live site proves demand.</w:t>
            </w:r>
          </w:p>
        </w:tc>
        <w:tc>
          <w:tcPr>
            <w:tcW w:type="dxa" w:w="3600"/>
            <w:vAlign w:val="top"/>
          </w:tcPr>
          <w:p>
            <w:pPr>
              <w:spacing w:after="0"/>
            </w:pPr>
            <w:r/>
            <w:r>
              <w:rPr>
                <w:rFonts w:ascii="Arial" w:hAnsi="Arial"/>
                <w:b w:val="0"/>
                <w:sz w:val="17"/>
              </w:rPr>
              <w:t>Can unlock waitlisted apartments, higher coverage, or additional trading/export capacity where enabled.</w:t>
            </w:r>
          </w:p>
        </w:tc>
      </w:tr>
      <w:tr>
        <w:tc>
          <w:tcPr>
            <w:tcW w:type="dxa" w:w="2160"/>
            <w:vAlign w:val="top"/>
          </w:tcPr>
          <w:p>
            <w:pPr>
              <w:spacing w:after="0"/>
            </w:pPr>
            <w:r/>
            <w:r>
              <w:rPr>
                <w:rFonts w:ascii="Arial" w:hAnsi="Arial"/>
                <w:b w:val="0"/>
                <w:sz w:val="17"/>
              </w:rPr>
              <w:t>Portfolio allocator</w:t>
            </w:r>
          </w:p>
        </w:tc>
        <w:tc>
          <w:tcPr>
            <w:tcW w:type="dxa" w:w="3168"/>
            <w:vAlign w:val="top"/>
          </w:tcPr>
          <w:p>
            <w:pPr>
              <w:spacing w:after="0"/>
            </w:pPr>
            <w:r/>
            <w:r>
              <w:rPr>
                <w:rFonts w:ascii="Arial" w:hAnsi="Arial"/>
                <w:b w:val="0"/>
                <w:sz w:val="17"/>
              </w:rPr>
              <w:t>Spreads capital across many projects by geography, asset type, maturity, utilization, and risk.</w:t>
            </w:r>
          </w:p>
        </w:tc>
        <w:tc>
          <w:tcPr>
            <w:tcW w:type="dxa" w:w="3600"/>
            <w:vAlign w:val="top"/>
          </w:tcPr>
          <w:p>
            <w:pPr>
              <w:spacing w:after="0"/>
            </w:pPr>
            <w:r/>
            <w:r>
              <w:rPr>
                <w:rFonts w:ascii="Arial" w:hAnsi="Arial"/>
                <w:b w:val="0"/>
                <w:sz w:val="17"/>
              </w:rPr>
              <w:t>Turns e.mappa from one-off project financing into an investment operating layer.</w:t>
            </w:r>
          </w:p>
        </w:tc>
      </w:tr>
    </w:tbl>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Brutal correction</w:t>
            </w:r>
          </w:p>
          <w:p>
            <w:pPr>
              <w:spacing w:after="0"/>
            </w:pPr>
            <w:r>
              <w:rPr>
                <w:rFonts w:ascii="Arial" w:hAnsi="Arial"/>
                <w:sz w:val="18"/>
              </w:rPr>
              <w:t>The financier story cannot be “put money in and earn forever” without precision. Financiers earn only from configured payout pools funded by collected and monetized value. If utilization is weak, payback stretches. If the system is not live, usage-linked revenue is zero. If data is missing, settlement must pause or become conservative. Investor trust comes from honest math, not optimistic dashboards.</w:t>
            </w:r>
          </w:p>
        </w:tc>
      </w:tr>
    </w:tbl>
    <w:p/>
    <w:p>
      <w:pPr>
        <w:pStyle w:val="Heading1"/>
      </w:pPr>
      <w:r>
        <w:rPr>
          <w:rFonts w:ascii="Arial" w:hAnsi="Arial"/>
          <w:sz w:val="20"/>
        </w:rPr>
        <w:t>3. Regulatory and Investor Protection Positioning</w:t>
      </w:r>
    </w:p>
    <w:p>
      <w:pPr>
        <w:spacing w:after="120"/>
      </w:pPr>
      <w:r>
        <w:rPr>
          <w:rFonts w:ascii="Arial" w:hAnsi="Arial"/>
          <w:sz w:val="20"/>
        </w:rPr>
        <w:t>Scenario F is the most legally sensitive flow. It resembles a financial/investment app, and many structures could be treated as securities, investment-based crowdfunding, collective investment schemes, private placements, loans, asset leases, revenue-share contracts, or regulated investment products depending on jurisdiction and instrument design. The product specification should therefore assume compliance-by-design and require legal review before live launch.</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Regulatory guardrail</w:t>
            </w:r>
          </w:p>
          <w:p>
            <w:pPr>
              <w:spacing w:after="0"/>
            </w:pPr>
            <w:r>
              <w:rPr>
                <w:rFonts w:ascii="Arial" w:hAnsi="Arial"/>
                <w:sz w:val="18"/>
              </w:rPr>
              <w:t>Do not ship the financier product as an open retail investment marketplace without counsel, licensing analysis, investor onboarding rules, risk disclosures, custody/escrow controls, AML/KYC, complaint handling, records retention, marketing controls, and jurisdiction-by-jurisdiction eligibility. The app may prototype UX, simulations, and private pilot workflows, but public capital raising requires a compliant structure.</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304"/>
            <w:shd w:fill="EDEDED"/>
            <w:vAlign w:val="center"/>
          </w:tcPr>
          <w:p>
            <w:pPr>
              <w:spacing w:after="0"/>
            </w:pPr>
            <w:r/>
            <w:r>
              <w:rPr>
                <w:rFonts w:ascii="Arial" w:hAnsi="Arial"/>
                <w:b/>
                <w:sz w:val="17"/>
              </w:rPr>
              <w:t>Compliance area</w:t>
            </w:r>
          </w:p>
        </w:tc>
        <w:tc>
          <w:tcPr>
            <w:tcW w:type="dxa" w:w="3456"/>
            <w:shd w:fill="EDEDED"/>
            <w:vAlign w:val="center"/>
          </w:tcPr>
          <w:p>
            <w:pPr>
              <w:spacing w:after="0"/>
            </w:pPr>
            <w:r/>
            <w:r>
              <w:rPr>
                <w:rFonts w:ascii="Arial" w:hAnsi="Arial"/>
                <w:b/>
                <w:sz w:val="17"/>
              </w:rPr>
              <w:t>Product requirement</w:t>
            </w:r>
          </w:p>
        </w:tc>
        <w:tc>
          <w:tcPr>
            <w:tcW w:type="dxa" w:w="3456"/>
            <w:shd w:fill="EDEDED"/>
            <w:vAlign w:val="center"/>
          </w:tcPr>
          <w:p>
            <w:pPr>
              <w:spacing w:after="0"/>
            </w:pPr>
            <w:r/>
            <w:r>
              <w:rPr>
                <w:rFonts w:ascii="Arial" w:hAnsi="Arial"/>
                <w:b/>
                <w:sz w:val="17"/>
              </w:rPr>
              <w:t>Why it matters</w:t>
            </w:r>
          </w:p>
        </w:tc>
      </w:tr>
      <w:tr>
        <w:tc>
          <w:tcPr>
            <w:tcW w:type="dxa" w:w="2304"/>
            <w:vAlign w:val="top"/>
          </w:tcPr>
          <w:p>
            <w:pPr>
              <w:spacing w:after="0"/>
            </w:pPr>
            <w:r/>
            <w:r>
              <w:rPr>
                <w:rFonts w:ascii="Arial" w:hAnsi="Arial"/>
                <w:b w:val="0"/>
                <w:sz w:val="17"/>
              </w:rPr>
              <w:t>KYC / KYB</w:t>
            </w:r>
          </w:p>
        </w:tc>
        <w:tc>
          <w:tcPr>
            <w:tcW w:type="dxa" w:w="3456"/>
            <w:vAlign w:val="top"/>
          </w:tcPr>
          <w:p>
            <w:pPr>
              <w:spacing w:after="0"/>
            </w:pPr>
            <w:r/>
            <w:r>
              <w:rPr>
                <w:rFonts w:ascii="Arial" w:hAnsi="Arial"/>
                <w:b w:val="0"/>
                <w:sz w:val="17"/>
              </w:rPr>
              <w:t>Verify identity for individuals and beneficial ownership/directors for businesses/entities.</w:t>
            </w:r>
          </w:p>
        </w:tc>
        <w:tc>
          <w:tcPr>
            <w:tcW w:type="dxa" w:w="3456"/>
            <w:vAlign w:val="top"/>
          </w:tcPr>
          <w:p>
            <w:pPr>
              <w:spacing w:after="0"/>
            </w:pPr>
            <w:r/>
            <w:r>
              <w:rPr>
                <w:rFonts w:ascii="Arial" w:hAnsi="Arial"/>
                <w:b w:val="0"/>
                <w:sz w:val="17"/>
              </w:rPr>
              <w:t>Prevents anonymous capital, fraud, sanctions risk, and weak audit trails.</w:t>
            </w:r>
          </w:p>
        </w:tc>
      </w:tr>
      <w:tr>
        <w:tc>
          <w:tcPr>
            <w:tcW w:type="dxa" w:w="2304"/>
            <w:vAlign w:val="top"/>
          </w:tcPr>
          <w:p>
            <w:pPr>
              <w:spacing w:after="0"/>
            </w:pPr>
            <w:r/>
            <w:r>
              <w:rPr>
                <w:rFonts w:ascii="Arial" w:hAnsi="Arial"/>
                <w:b w:val="0"/>
                <w:sz w:val="17"/>
              </w:rPr>
              <w:t>AML / CFT</w:t>
            </w:r>
          </w:p>
        </w:tc>
        <w:tc>
          <w:tcPr>
            <w:tcW w:type="dxa" w:w="3456"/>
            <w:vAlign w:val="top"/>
          </w:tcPr>
          <w:p>
            <w:pPr>
              <w:spacing w:after="0"/>
            </w:pPr>
            <w:r/>
            <w:r>
              <w:rPr>
                <w:rFonts w:ascii="Arial" w:hAnsi="Arial"/>
                <w:b w:val="0"/>
                <w:sz w:val="17"/>
              </w:rPr>
              <w:t>Source-of-funds checks, sanctions screening, transaction monitoring, suspicious activity escalation.</w:t>
            </w:r>
          </w:p>
        </w:tc>
        <w:tc>
          <w:tcPr>
            <w:tcW w:type="dxa" w:w="3456"/>
            <w:vAlign w:val="top"/>
          </w:tcPr>
          <w:p>
            <w:pPr>
              <w:spacing w:after="0"/>
            </w:pPr>
            <w:r/>
            <w:r>
              <w:rPr>
                <w:rFonts w:ascii="Arial" w:hAnsi="Arial"/>
                <w:b w:val="0"/>
                <w:sz w:val="17"/>
              </w:rPr>
              <w:t>Energy finance can become a money-flow product; controls must exist before scaling.</w:t>
            </w:r>
          </w:p>
        </w:tc>
      </w:tr>
      <w:tr>
        <w:tc>
          <w:tcPr>
            <w:tcW w:type="dxa" w:w="2304"/>
            <w:vAlign w:val="top"/>
          </w:tcPr>
          <w:p>
            <w:pPr>
              <w:spacing w:after="0"/>
            </w:pPr>
            <w:r/>
            <w:r>
              <w:rPr>
                <w:rFonts w:ascii="Arial" w:hAnsi="Arial"/>
                <w:b w:val="0"/>
                <w:sz w:val="17"/>
              </w:rPr>
              <w:t>Investor eligibility</w:t>
            </w:r>
          </w:p>
        </w:tc>
        <w:tc>
          <w:tcPr>
            <w:tcW w:type="dxa" w:w="3456"/>
            <w:vAlign w:val="top"/>
          </w:tcPr>
          <w:p>
            <w:pPr>
              <w:spacing w:after="0"/>
            </w:pPr>
            <w:r/>
            <w:r>
              <w:rPr>
                <w:rFonts w:ascii="Arial" w:hAnsi="Arial"/>
                <w:b w:val="0"/>
                <w:sz w:val="17"/>
              </w:rPr>
              <w:t>Retail, sophisticated, accredited, qualified, professional, entity, fund, diaspora, or restricted status.</w:t>
            </w:r>
          </w:p>
        </w:tc>
        <w:tc>
          <w:tcPr>
            <w:tcW w:type="dxa" w:w="3456"/>
            <w:vAlign w:val="top"/>
          </w:tcPr>
          <w:p>
            <w:pPr>
              <w:spacing w:after="0"/>
            </w:pPr>
            <w:r/>
            <w:r>
              <w:rPr>
                <w:rFonts w:ascii="Arial" w:hAnsi="Arial"/>
                <w:b w:val="0"/>
                <w:sz w:val="17"/>
              </w:rPr>
              <w:t>Determines which offerings the user can access and how much they can invest.</w:t>
            </w:r>
          </w:p>
        </w:tc>
      </w:tr>
      <w:tr>
        <w:tc>
          <w:tcPr>
            <w:tcW w:type="dxa" w:w="2304"/>
            <w:vAlign w:val="top"/>
          </w:tcPr>
          <w:p>
            <w:pPr>
              <w:spacing w:after="0"/>
            </w:pPr>
            <w:r/>
            <w:r>
              <w:rPr>
                <w:rFonts w:ascii="Arial" w:hAnsi="Arial"/>
                <w:b w:val="0"/>
                <w:sz w:val="17"/>
              </w:rPr>
              <w:t>Suitability / appropriateness</w:t>
            </w:r>
          </w:p>
        </w:tc>
        <w:tc>
          <w:tcPr>
            <w:tcW w:type="dxa" w:w="3456"/>
            <w:vAlign w:val="top"/>
          </w:tcPr>
          <w:p>
            <w:pPr>
              <w:spacing w:after="0"/>
            </w:pPr>
            <w:r/>
            <w:r>
              <w:rPr>
                <w:rFonts w:ascii="Arial" w:hAnsi="Arial"/>
                <w:b w:val="0"/>
                <w:sz w:val="17"/>
              </w:rPr>
              <w:t>Risk questionnaire, loss capacity, time horizon, concentration warnings, product comprehension.</w:t>
            </w:r>
          </w:p>
        </w:tc>
        <w:tc>
          <w:tcPr>
            <w:tcW w:type="dxa" w:w="3456"/>
            <w:vAlign w:val="top"/>
          </w:tcPr>
          <w:p>
            <w:pPr>
              <w:spacing w:after="0"/>
            </w:pPr>
            <w:r/>
            <w:r>
              <w:rPr>
                <w:rFonts w:ascii="Arial" w:hAnsi="Arial"/>
                <w:b w:val="0"/>
                <w:sz w:val="17"/>
              </w:rPr>
              <w:t>Protects users from investing in products they do not understand.</w:t>
            </w:r>
          </w:p>
        </w:tc>
      </w:tr>
      <w:tr>
        <w:tc>
          <w:tcPr>
            <w:tcW w:type="dxa" w:w="2304"/>
            <w:vAlign w:val="top"/>
          </w:tcPr>
          <w:p>
            <w:pPr>
              <w:spacing w:after="0"/>
            </w:pPr>
            <w:r/>
            <w:r>
              <w:rPr>
                <w:rFonts w:ascii="Arial" w:hAnsi="Arial"/>
                <w:b w:val="0"/>
                <w:sz w:val="17"/>
              </w:rPr>
              <w:t>Jurisdiction gating</w:t>
            </w:r>
          </w:p>
        </w:tc>
        <w:tc>
          <w:tcPr>
            <w:tcW w:type="dxa" w:w="3456"/>
            <w:vAlign w:val="top"/>
          </w:tcPr>
          <w:p>
            <w:pPr>
              <w:spacing w:after="0"/>
            </w:pPr>
            <w:r/>
            <w:r>
              <w:rPr>
                <w:rFonts w:ascii="Arial" w:hAnsi="Arial"/>
                <w:b w:val="0"/>
                <w:sz w:val="17"/>
              </w:rPr>
              <w:t>Country of residence, tax residency, citizenship where needed, solicitation restrictions, offering availability.</w:t>
            </w:r>
          </w:p>
        </w:tc>
        <w:tc>
          <w:tcPr>
            <w:tcW w:type="dxa" w:w="3456"/>
            <w:vAlign w:val="top"/>
          </w:tcPr>
          <w:p>
            <w:pPr>
              <w:spacing w:after="0"/>
            </w:pPr>
            <w:r/>
            <w:r>
              <w:rPr>
                <w:rFonts w:ascii="Arial" w:hAnsi="Arial"/>
                <w:b w:val="0"/>
                <w:sz w:val="17"/>
              </w:rPr>
              <w:t>A financier may invest far away only if the offering is legally available to them.</w:t>
            </w:r>
          </w:p>
        </w:tc>
      </w:tr>
      <w:tr>
        <w:tc>
          <w:tcPr>
            <w:tcW w:type="dxa" w:w="2304"/>
            <w:vAlign w:val="top"/>
          </w:tcPr>
          <w:p>
            <w:pPr>
              <w:spacing w:after="0"/>
            </w:pPr>
            <w:r/>
            <w:r>
              <w:rPr>
                <w:rFonts w:ascii="Arial" w:hAnsi="Arial"/>
                <w:b w:val="0"/>
                <w:sz w:val="17"/>
              </w:rPr>
              <w:t>Custody / escrow</w:t>
            </w:r>
          </w:p>
        </w:tc>
        <w:tc>
          <w:tcPr>
            <w:tcW w:type="dxa" w:w="3456"/>
            <w:vAlign w:val="top"/>
          </w:tcPr>
          <w:p>
            <w:pPr>
              <w:spacing w:after="0"/>
            </w:pPr>
            <w:r/>
            <w:r>
              <w:rPr>
                <w:rFonts w:ascii="Arial" w:hAnsi="Arial"/>
                <w:b w:val="0"/>
                <w:sz w:val="17"/>
              </w:rPr>
              <w:t>Funds held in approved escrow/custody or payment account until release conditions are met.</w:t>
            </w:r>
          </w:p>
        </w:tc>
        <w:tc>
          <w:tcPr>
            <w:tcW w:type="dxa" w:w="3456"/>
            <w:vAlign w:val="top"/>
          </w:tcPr>
          <w:p>
            <w:pPr>
              <w:spacing w:after="0"/>
            </w:pPr>
            <w:r/>
            <w:r>
              <w:rPr>
                <w:rFonts w:ascii="Arial" w:hAnsi="Arial"/>
                <w:b w:val="0"/>
                <w:sz w:val="17"/>
              </w:rPr>
              <w:t>Capital should not be casually mixed with operating cash or released before conditions.</w:t>
            </w:r>
          </w:p>
        </w:tc>
      </w:tr>
      <w:tr>
        <w:tc>
          <w:tcPr>
            <w:tcW w:type="dxa" w:w="2304"/>
            <w:vAlign w:val="top"/>
          </w:tcPr>
          <w:p>
            <w:pPr>
              <w:spacing w:after="0"/>
            </w:pPr>
            <w:r/>
            <w:r>
              <w:rPr>
                <w:rFonts w:ascii="Arial" w:hAnsi="Arial"/>
                <w:b w:val="0"/>
                <w:sz w:val="17"/>
              </w:rPr>
              <w:t>Disclosure</w:t>
            </w:r>
          </w:p>
        </w:tc>
        <w:tc>
          <w:tcPr>
            <w:tcW w:type="dxa" w:w="3456"/>
            <w:vAlign w:val="top"/>
          </w:tcPr>
          <w:p>
            <w:pPr>
              <w:spacing w:after="0"/>
            </w:pPr>
            <w:r/>
            <w:r>
              <w:rPr>
                <w:rFonts w:ascii="Arial" w:hAnsi="Arial"/>
                <w:b w:val="0"/>
                <w:sz w:val="17"/>
              </w:rPr>
              <w:t>Risk factors, valuation method, waterfall, fees, reserves, rights, transfer restrictions, conflicts, no guaranteed returns.</w:t>
            </w:r>
          </w:p>
        </w:tc>
        <w:tc>
          <w:tcPr>
            <w:tcW w:type="dxa" w:w="3456"/>
            <w:vAlign w:val="top"/>
          </w:tcPr>
          <w:p>
            <w:pPr>
              <w:spacing w:after="0"/>
            </w:pPr>
            <w:r/>
            <w:r>
              <w:rPr>
                <w:rFonts w:ascii="Arial" w:hAnsi="Arial"/>
                <w:b w:val="0"/>
                <w:sz w:val="17"/>
              </w:rPr>
              <w:t>Prevents deceptive investment UX.</w:t>
            </w:r>
          </w:p>
        </w:tc>
      </w:tr>
      <w:tr>
        <w:tc>
          <w:tcPr>
            <w:tcW w:type="dxa" w:w="2304"/>
            <w:vAlign w:val="top"/>
          </w:tcPr>
          <w:p>
            <w:pPr>
              <w:spacing w:after="0"/>
            </w:pPr>
            <w:r/>
            <w:r>
              <w:rPr>
                <w:rFonts w:ascii="Arial" w:hAnsi="Arial"/>
                <w:b w:val="0"/>
                <w:sz w:val="17"/>
              </w:rPr>
              <w:t>Marketing controls</w:t>
            </w:r>
          </w:p>
        </w:tc>
        <w:tc>
          <w:tcPr>
            <w:tcW w:type="dxa" w:w="3456"/>
            <w:vAlign w:val="top"/>
          </w:tcPr>
          <w:p>
            <w:pPr>
              <w:spacing w:after="0"/>
            </w:pPr>
            <w:r/>
            <w:r>
              <w:rPr>
                <w:rFonts w:ascii="Arial" w:hAnsi="Arial"/>
                <w:b w:val="0"/>
                <w:sz w:val="17"/>
              </w:rPr>
              <w:t>No guaranteed ROI copy, no misleading payback claims, no pressure tactics, no hidden risk.</w:t>
            </w:r>
          </w:p>
        </w:tc>
        <w:tc>
          <w:tcPr>
            <w:tcW w:type="dxa" w:w="3456"/>
            <w:vAlign w:val="top"/>
          </w:tcPr>
          <w:p>
            <w:pPr>
              <w:spacing w:after="0"/>
            </w:pPr>
            <w:r/>
            <w:r>
              <w:rPr>
                <w:rFonts w:ascii="Arial" w:hAnsi="Arial"/>
                <w:b w:val="0"/>
                <w:sz w:val="17"/>
              </w:rPr>
              <w:t>Returns depend on utilization, collections, downtime, degradation, and law.</w:t>
            </w:r>
          </w:p>
        </w:tc>
      </w:tr>
      <w:tr>
        <w:tc>
          <w:tcPr>
            <w:tcW w:type="dxa" w:w="2304"/>
            <w:vAlign w:val="top"/>
          </w:tcPr>
          <w:p>
            <w:pPr>
              <w:spacing w:after="0"/>
            </w:pPr>
            <w:r/>
            <w:r>
              <w:rPr>
                <w:rFonts w:ascii="Arial" w:hAnsi="Arial"/>
                <w:b w:val="0"/>
                <w:sz w:val="17"/>
              </w:rPr>
              <w:t>Records and reporting</w:t>
            </w:r>
          </w:p>
        </w:tc>
        <w:tc>
          <w:tcPr>
            <w:tcW w:type="dxa" w:w="3456"/>
            <w:vAlign w:val="top"/>
          </w:tcPr>
          <w:p>
            <w:pPr>
              <w:spacing w:after="0"/>
            </w:pPr>
            <w:r/>
            <w:r>
              <w:rPr>
                <w:rFonts w:ascii="Arial" w:hAnsi="Arial"/>
                <w:b w:val="0"/>
                <w:sz w:val="17"/>
              </w:rPr>
              <w:t>Contracts, confirmations, statements, tax reports, audit logs, investor communications.</w:t>
            </w:r>
          </w:p>
        </w:tc>
        <w:tc>
          <w:tcPr>
            <w:tcW w:type="dxa" w:w="3456"/>
            <w:vAlign w:val="top"/>
          </w:tcPr>
          <w:p>
            <w:pPr>
              <w:spacing w:after="0"/>
            </w:pPr>
            <w:r/>
            <w:r>
              <w:rPr>
                <w:rFonts w:ascii="Arial" w:hAnsi="Arial"/>
                <w:b w:val="0"/>
                <w:sz w:val="17"/>
              </w:rPr>
              <w:t>Required for trust, disputes, audits, and regulator review.</w:t>
            </w:r>
          </w:p>
        </w:tc>
      </w:tr>
    </w:tbl>
    <w:p/>
    <w:p>
      <w:pPr>
        <w:pStyle w:val="Heading1"/>
      </w:pPr>
      <w:r>
        <w:rPr>
          <w:rFonts w:ascii="Arial" w:hAnsi="Arial"/>
          <w:sz w:val="20"/>
        </w:rPr>
        <w:t>4. Financial Product Types</w:t>
      </w:r>
    </w:p>
    <w:p>
      <w:pPr>
        <w:spacing w:after="120"/>
      </w:pPr>
      <w:r>
        <w:rPr>
          <w:rFonts w:ascii="Arial" w:hAnsi="Arial"/>
          <w:sz w:val="20"/>
        </w:rPr>
        <w:t>The app should avoid pretending every investment is the same thing. Each financing type should map to a specific asset, payout pool, risk profile, and legal treatment. The UI can simplify language, but the backend and contract layer must be explicit.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EDEDED"/>
            <w:vAlign w:val="center"/>
          </w:tcPr>
          <w:p>
            <w:pPr>
              <w:spacing w:after="0"/>
            </w:pPr>
            <w:r/>
            <w:r>
              <w:rPr>
                <w:rFonts w:ascii="Arial" w:hAnsi="Arial"/>
                <w:b/>
                <w:sz w:val="17"/>
              </w:rPr>
              <w:t>Product type</w:t>
            </w:r>
          </w:p>
        </w:tc>
        <w:tc>
          <w:tcPr>
            <w:tcW w:type="dxa" w:w="2880"/>
            <w:shd w:fill="EDEDED"/>
            <w:vAlign w:val="center"/>
          </w:tcPr>
          <w:p>
            <w:pPr>
              <w:spacing w:after="0"/>
            </w:pPr>
            <w:r/>
            <w:r>
              <w:rPr>
                <w:rFonts w:ascii="Arial" w:hAnsi="Arial"/>
                <w:b/>
                <w:sz w:val="17"/>
              </w:rPr>
              <w:t>What financier funds or buys</w:t>
            </w:r>
          </w:p>
        </w:tc>
        <w:tc>
          <w:tcPr>
            <w:tcW w:type="dxa" w:w="2880"/>
            <w:shd w:fill="EDEDED"/>
            <w:vAlign w:val="center"/>
          </w:tcPr>
          <w:p>
            <w:pPr>
              <w:spacing w:after="0"/>
            </w:pPr>
            <w:r/>
            <w:r>
              <w:rPr>
                <w:rFonts w:ascii="Arial" w:hAnsi="Arial"/>
                <w:b/>
                <w:sz w:val="17"/>
              </w:rPr>
              <w:t>Payout basis</w:t>
            </w:r>
          </w:p>
        </w:tc>
        <w:tc>
          <w:tcPr>
            <w:tcW w:type="dxa" w:w="3168"/>
            <w:shd w:fill="EDEDED"/>
            <w:vAlign w:val="center"/>
          </w:tcPr>
          <w:p>
            <w:pPr>
              <w:spacing w:after="0"/>
            </w:pPr>
            <w:r/>
            <w:r>
              <w:rPr>
                <w:rFonts w:ascii="Arial" w:hAnsi="Arial"/>
                <w:b/>
                <w:sz w:val="17"/>
              </w:rPr>
              <w:t>Key risk</w:t>
            </w:r>
          </w:p>
        </w:tc>
      </w:tr>
      <w:tr>
        <w:tc>
          <w:tcPr>
            <w:tcW w:type="dxa" w:w="2160"/>
            <w:vAlign w:val="top"/>
          </w:tcPr>
          <w:p>
            <w:pPr>
              <w:spacing w:after="0"/>
            </w:pPr>
            <w:r/>
            <w:r>
              <w:rPr>
                <w:rFonts w:ascii="Arial" w:hAnsi="Arial"/>
                <w:b w:val="0"/>
                <w:sz w:val="17"/>
              </w:rPr>
              <w:t>Infrastructure share</w:t>
            </w:r>
          </w:p>
        </w:tc>
        <w:tc>
          <w:tcPr>
            <w:tcW w:type="dxa" w:w="2880"/>
            <w:vAlign w:val="top"/>
          </w:tcPr>
          <w:p>
            <w:pPr>
              <w:spacing w:after="0"/>
            </w:pPr>
            <w:r/>
            <w:r>
              <w:rPr>
                <w:rFonts w:ascii="Arial" w:hAnsi="Arial"/>
                <w:b w:val="0"/>
                <w:sz w:val="17"/>
              </w:rPr>
              <w:t>Battery, inverter, Solar DB, ATS, meters, wiring, monitoring, installation capital, logistics.</w:t>
            </w:r>
          </w:p>
        </w:tc>
        <w:tc>
          <w:tcPr>
            <w:tcW w:type="dxa" w:w="2880"/>
            <w:vAlign w:val="top"/>
          </w:tcPr>
          <w:p>
            <w:pPr>
              <w:spacing w:after="0"/>
            </w:pPr>
            <w:r/>
            <w:r>
              <w:rPr>
                <w:rFonts w:ascii="Arial" w:hAnsi="Arial"/>
                <w:b w:val="0"/>
                <w:sz w:val="17"/>
              </w:rPr>
              <w:t>Infrastructure/financier pool from monetized kWh during recovery and royalty phases.</w:t>
            </w:r>
          </w:p>
        </w:tc>
        <w:tc>
          <w:tcPr>
            <w:tcW w:type="dxa" w:w="3168"/>
            <w:vAlign w:val="top"/>
          </w:tcPr>
          <w:p>
            <w:pPr>
              <w:spacing w:after="0"/>
            </w:pPr>
            <w:r/>
            <w:r>
              <w:rPr>
                <w:rFonts w:ascii="Arial" w:hAnsi="Arial"/>
                <w:b w:val="0"/>
                <w:sz w:val="17"/>
              </w:rPr>
              <w:t>Utilization risk, hardware failure, maintenance, downtime, data gaps, contract waterfall.</w:t>
            </w:r>
          </w:p>
        </w:tc>
      </w:tr>
      <w:tr>
        <w:tc>
          <w:tcPr>
            <w:tcW w:type="dxa" w:w="2160"/>
            <w:vAlign w:val="top"/>
          </w:tcPr>
          <w:p>
            <w:pPr>
              <w:spacing w:after="0"/>
            </w:pPr>
            <w:r/>
            <w:r>
              <w:rPr>
                <w:rFonts w:ascii="Arial" w:hAnsi="Arial"/>
                <w:b w:val="0"/>
                <w:sz w:val="17"/>
              </w:rPr>
              <w:t>Array / generation share</w:t>
            </w:r>
          </w:p>
        </w:tc>
        <w:tc>
          <w:tcPr>
            <w:tcW w:type="dxa" w:w="2880"/>
            <w:vAlign w:val="top"/>
          </w:tcPr>
          <w:p>
            <w:pPr>
              <w:spacing w:after="0"/>
            </w:pPr>
            <w:r/>
            <w:r>
              <w:rPr>
                <w:rFonts w:ascii="Arial" w:hAnsi="Arial"/>
                <w:b w:val="0"/>
                <w:sz w:val="17"/>
              </w:rPr>
              <w:t>Provider panels or provider array claim.</w:t>
            </w:r>
          </w:p>
        </w:tc>
        <w:tc>
          <w:tcPr>
            <w:tcW w:type="dxa" w:w="2880"/>
            <w:vAlign w:val="top"/>
          </w:tcPr>
          <w:p>
            <w:pPr>
              <w:spacing w:after="0"/>
            </w:pPr>
            <w:r/>
            <w:r>
              <w:rPr>
                <w:rFonts w:ascii="Arial" w:hAnsi="Arial"/>
                <w:b w:val="0"/>
                <w:sz w:val="17"/>
              </w:rPr>
              <w:t>Provider/array pool from monetized kWh tied to that array, plus enabled export/trading revenue where applicable.</w:t>
            </w:r>
          </w:p>
        </w:tc>
        <w:tc>
          <w:tcPr>
            <w:tcW w:type="dxa" w:w="3168"/>
            <w:vAlign w:val="top"/>
          </w:tcPr>
          <w:p>
            <w:pPr>
              <w:spacing w:after="0"/>
            </w:pPr>
            <w:r/>
            <w:r>
              <w:rPr>
                <w:rFonts w:ascii="Arial" w:hAnsi="Arial"/>
                <w:b w:val="0"/>
                <w:sz w:val="17"/>
              </w:rPr>
              <w:t>Generation underperformance, shading, degradation, weak demand, buy-down valuation.</w:t>
            </w:r>
          </w:p>
        </w:tc>
      </w:tr>
      <w:tr>
        <w:tc>
          <w:tcPr>
            <w:tcW w:type="dxa" w:w="2160"/>
            <w:vAlign w:val="top"/>
          </w:tcPr>
          <w:p>
            <w:pPr>
              <w:spacing w:after="0"/>
            </w:pPr>
            <w:r/>
            <w:r>
              <w:rPr>
                <w:rFonts w:ascii="Arial" w:hAnsi="Arial"/>
                <w:b w:val="0"/>
                <w:sz w:val="17"/>
              </w:rPr>
              <w:t>Supplier-as-a-service buyout</w:t>
            </w:r>
          </w:p>
        </w:tc>
        <w:tc>
          <w:tcPr>
            <w:tcW w:type="dxa" w:w="2880"/>
            <w:vAlign w:val="top"/>
          </w:tcPr>
          <w:p>
            <w:pPr>
              <w:spacing w:after="0"/>
            </w:pPr>
            <w:r/>
            <w:r>
              <w:rPr>
                <w:rFonts w:ascii="Arial" w:hAnsi="Arial"/>
                <w:b w:val="0"/>
                <w:sz w:val="17"/>
              </w:rPr>
              <w:t>Supplier contributed equipment instead of upfront sale.</w:t>
            </w:r>
          </w:p>
        </w:tc>
        <w:tc>
          <w:tcPr>
            <w:tcW w:type="dxa" w:w="2880"/>
            <w:vAlign w:val="top"/>
          </w:tcPr>
          <w:p>
            <w:pPr>
              <w:spacing w:after="0"/>
            </w:pPr>
            <w:r/>
            <w:r>
              <w:rPr>
                <w:rFonts w:ascii="Arial" w:hAnsi="Arial"/>
                <w:b w:val="0"/>
                <w:sz w:val="17"/>
              </w:rPr>
              <w:t>Acquires supplier’s infrastructure-pool claim or lease receivable, depending on contract.</w:t>
            </w:r>
          </w:p>
        </w:tc>
        <w:tc>
          <w:tcPr>
            <w:tcW w:type="dxa" w:w="3168"/>
            <w:vAlign w:val="top"/>
          </w:tcPr>
          <w:p>
            <w:pPr>
              <w:spacing w:after="0"/>
            </w:pPr>
            <w:r/>
            <w:r>
              <w:rPr>
                <w:rFonts w:ascii="Arial" w:hAnsi="Arial"/>
                <w:b w:val="0"/>
                <w:sz w:val="17"/>
              </w:rPr>
              <w:t>Component condition, warranty, priority rank, project utilization.</w:t>
            </w:r>
          </w:p>
        </w:tc>
      </w:tr>
      <w:tr>
        <w:tc>
          <w:tcPr>
            <w:tcW w:type="dxa" w:w="2160"/>
            <w:vAlign w:val="top"/>
          </w:tcPr>
          <w:p>
            <w:pPr>
              <w:spacing w:after="0"/>
            </w:pPr>
            <w:r/>
            <w:r>
              <w:rPr>
                <w:rFonts w:ascii="Arial" w:hAnsi="Arial"/>
                <w:b w:val="0"/>
                <w:sz w:val="17"/>
              </w:rPr>
              <w:t>Electrician labor-as-capital buyout</w:t>
            </w:r>
          </w:p>
        </w:tc>
        <w:tc>
          <w:tcPr>
            <w:tcW w:type="dxa" w:w="2880"/>
            <w:vAlign w:val="top"/>
          </w:tcPr>
          <w:p>
            <w:pPr>
              <w:spacing w:after="0"/>
            </w:pPr>
            <w:r/>
            <w:r>
              <w:rPr>
                <w:rFonts w:ascii="Arial" w:hAnsi="Arial"/>
                <w:b w:val="0"/>
                <w:sz w:val="17"/>
              </w:rPr>
              <w:t>Electrician deferred labor value into infrastructure pool.</w:t>
            </w:r>
          </w:p>
        </w:tc>
        <w:tc>
          <w:tcPr>
            <w:tcW w:type="dxa" w:w="2880"/>
            <w:vAlign w:val="top"/>
          </w:tcPr>
          <w:p>
            <w:pPr>
              <w:spacing w:after="0"/>
            </w:pPr>
            <w:r/>
            <w:r>
              <w:rPr>
                <w:rFonts w:ascii="Arial" w:hAnsi="Arial"/>
                <w:b w:val="0"/>
                <w:sz w:val="17"/>
              </w:rPr>
              <w:t>Acquires labor-capital claim, usually infrastructure pool, not gross revenue.</w:t>
            </w:r>
          </w:p>
        </w:tc>
        <w:tc>
          <w:tcPr>
            <w:tcW w:type="dxa" w:w="3168"/>
            <w:vAlign w:val="top"/>
          </w:tcPr>
          <w:p>
            <w:pPr>
              <w:spacing w:after="0"/>
            </w:pPr>
            <w:r/>
            <w:r>
              <w:rPr>
                <w:rFonts w:ascii="Arial" w:hAnsi="Arial"/>
                <w:b w:val="0"/>
                <w:sz w:val="17"/>
              </w:rPr>
              <w:t>Evidence disputes, workmanship warranty, claim valuation, ethical treatment of labor.</w:t>
            </w:r>
          </w:p>
        </w:tc>
      </w:tr>
      <w:tr>
        <w:tc>
          <w:tcPr>
            <w:tcW w:type="dxa" w:w="2160"/>
            <w:vAlign w:val="top"/>
          </w:tcPr>
          <w:p>
            <w:pPr>
              <w:spacing w:after="0"/>
            </w:pPr>
            <w:r/>
            <w:r>
              <w:rPr>
                <w:rFonts w:ascii="Arial" w:hAnsi="Arial"/>
                <w:b w:val="0"/>
                <w:sz w:val="17"/>
              </w:rPr>
              <w:t>Project revenue-share note</w:t>
            </w:r>
          </w:p>
        </w:tc>
        <w:tc>
          <w:tcPr>
            <w:tcW w:type="dxa" w:w="2880"/>
            <w:vAlign w:val="top"/>
          </w:tcPr>
          <w:p>
            <w:pPr>
              <w:spacing w:after="0"/>
            </w:pPr>
            <w:r/>
            <w:r>
              <w:rPr>
                <w:rFonts w:ascii="Arial" w:hAnsi="Arial"/>
                <w:b w:val="0"/>
                <w:sz w:val="17"/>
              </w:rPr>
              <w:t>Financier contributes cash for defined share of project revenue until target return, then smaller royalty or expiration.</w:t>
            </w:r>
          </w:p>
        </w:tc>
        <w:tc>
          <w:tcPr>
            <w:tcW w:type="dxa" w:w="2880"/>
            <w:vAlign w:val="top"/>
          </w:tcPr>
          <w:p>
            <w:pPr>
              <w:spacing w:after="0"/>
            </w:pPr>
            <w:r/>
            <w:r>
              <w:rPr>
                <w:rFonts w:ascii="Arial" w:hAnsi="Arial"/>
                <w:b w:val="0"/>
                <w:sz w:val="17"/>
              </w:rPr>
              <w:t>Contract-defined share of settlement waterfall.</w:t>
            </w:r>
          </w:p>
        </w:tc>
        <w:tc>
          <w:tcPr>
            <w:tcW w:type="dxa" w:w="3168"/>
            <w:vAlign w:val="top"/>
          </w:tcPr>
          <w:p>
            <w:pPr>
              <w:spacing w:after="0"/>
            </w:pPr>
            <w:r/>
            <w:r>
              <w:rPr>
                <w:rFonts w:ascii="Arial" w:hAnsi="Arial"/>
                <w:b w:val="0"/>
                <w:sz w:val="17"/>
              </w:rPr>
              <w:t>May be regulated as security; return depends on actual monetized kWh.</w:t>
            </w:r>
          </w:p>
        </w:tc>
      </w:tr>
      <w:tr>
        <w:tc>
          <w:tcPr>
            <w:tcW w:type="dxa" w:w="2160"/>
            <w:vAlign w:val="top"/>
          </w:tcPr>
          <w:p>
            <w:pPr>
              <w:spacing w:after="0"/>
            </w:pPr>
            <w:r/>
            <w:r>
              <w:rPr>
                <w:rFonts w:ascii="Arial" w:hAnsi="Arial"/>
                <w:b w:val="0"/>
                <w:sz w:val="17"/>
              </w:rPr>
              <w:t>Expansion tranche</w:t>
            </w:r>
          </w:p>
        </w:tc>
        <w:tc>
          <w:tcPr>
            <w:tcW w:type="dxa" w:w="2880"/>
            <w:vAlign w:val="top"/>
          </w:tcPr>
          <w:p>
            <w:pPr>
              <w:spacing w:after="0"/>
            </w:pPr>
            <w:r/>
            <w:r>
              <w:rPr>
                <w:rFonts w:ascii="Arial" w:hAnsi="Arial"/>
                <w:b w:val="0"/>
                <w:sz w:val="17"/>
              </w:rPr>
              <w:t>Funds later capacity after live utilization proves demand.</w:t>
            </w:r>
          </w:p>
        </w:tc>
        <w:tc>
          <w:tcPr>
            <w:tcW w:type="dxa" w:w="2880"/>
            <w:vAlign w:val="top"/>
          </w:tcPr>
          <w:p>
            <w:pPr>
              <w:spacing w:after="0"/>
            </w:pPr>
            <w:r/>
            <w:r>
              <w:rPr>
                <w:rFonts w:ascii="Arial" w:hAnsi="Arial"/>
                <w:b w:val="0"/>
                <w:sz w:val="17"/>
              </w:rPr>
              <w:t>Project-specific tranche waterfall; may have lower risk if live data exists.</w:t>
            </w:r>
          </w:p>
        </w:tc>
        <w:tc>
          <w:tcPr>
            <w:tcW w:type="dxa" w:w="3168"/>
            <w:vAlign w:val="top"/>
          </w:tcPr>
          <w:p>
            <w:pPr>
              <w:spacing w:after="0"/>
            </w:pPr>
            <w:r/>
            <w:r>
              <w:rPr>
                <w:rFonts w:ascii="Arial" w:hAnsi="Arial"/>
                <w:b w:val="0"/>
                <w:sz w:val="17"/>
              </w:rPr>
              <w:t>Intercreditor priority, expansion performance, new hardware risk.</w:t>
            </w:r>
          </w:p>
        </w:tc>
      </w:tr>
      <w:tr>
        <w:tc>
          <w:tcPr>
            <w:tcW w:type="dxa" w:w="2160"/>
            <w:vAlign w:val="top"/>
          </w:tcPr>
          <w:p>
            <w:pPr>
              <w:spacing w:after="0"/>
            </w:pPr>
            <w:r/>
            <w:r>
              <w:rPr>
                <w:rFonts w:ascii="Arial" w:hAnsi="Arial"/>
                <w:b w:val="0"/>
                <w:sz w:val="17"/>
              </w:rPr>
              <w:t>Portfolio allocation</w:t>
            </w:r>
          </w:p>
        </w:tc>
        <w:tc>
          <w:tcPr>
            <w:tcW w:type="dxa" w:w="2880"/>
            <w:vAlign w:val="top"/>
          </w:tcPr>
          <w:p>
            <w:pPr>
              <w:spacing w:after="0"/>
            </w:pPr>
            <w:r/>
            <w:r>
              <w:rPr>
                <w:rFonts w:ascii="Arial" w:hAnsi="Arial"/>
                <w:b w:val="0"/>
                <w:sz w:val="17"/>
              </w:rPr>
              <w:t>Financier allocates across multiple projects or a managed pool.</w:t>
            </w:r>
          </w:p>
        </w:tc>
        <w:tc>
          <w:tcPr>
            <w:tcW w:type="dxa" w:w="2880"/>
            <w:vAlign w:val="top"/>
          </w:tcPr>
          <w:p>
            <w:pPr>
              <w:spacing w:after="0"/>
            </w:pPr>
            <w:r/>
            <w:r>
              <w:rPr>
                <w:rFonts w:ascii="Arial" w:hAnsi="Arial"/>
                <w:b w:val="0"/>
                <w:sz w:val="17"/>
              </w:rPr>
              <w:t>Diversified project cashflows, potentially through a regulated vehicle.</w:t>
            </w:r>
          </w:p>
        </w:tc>
        <w:tc>
          <w:tcPr>
            <w:tcW w:type="dxa" w:w="3168"/>
            <w:vAlign w:val="top"/>
          </w:tcPr>
          <w:p>
            <w:pPr>
              <w:spacing w:after="0"/>
            </w:pPr>
            <w:r/>
            <w:r>
              <w:rPr>
                <w:rFonts w:ascii="Arial" w:hAnsi="Arial"/>
                <w:b w:val="0"/>
                <w:sz w:val="17"/>
              </w:rPr>
              <w:t>Higher regulatory complexity; must not become unauthorized collective investment scheme.</w:t>
            </w:r>
          </w:p>
        </w:tc>
      </w:tr>
    </w:tbl>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Buyout rule</w:t>
            </w:r>
          </w:p>
          <w:p>
            <w:pPr>
              <w:spacing w:after="0"/>
            </w:pPr>
            <w:r>
              <w:rPr>
                <w:rFonts w:ascii="Arial" w:hAnsi="Arial"/>
                <w:sz w:val="18"/>
              </w:rPr>
              <w:t>Buying out an as-a-service stakeholder does not magically create a gross-revenue claim. The financier steps into the claim that stakeholder actually had. Provider-panel buyout maps to provider/array economics. Supplier equipment buyout usually maps to infrastructure economics. Electrician labor-as-capital buyout usually maps to infrastructure-pool economics. Gross-revenue claims require explicit redesign of the waterfall and disclosure.</w:t>
            </w:r>
          </w:p>
        </w:tc>
      </w:tr>
    </w:tbl>
    <w:p/>
    <w:p>
      <w:pPr>
        <w:pStyle w:val="Heading1"/>
      </w:pPr>
      <w:r>
        <w:rPr>
          <w:rFonts w:ascii="Arial" w:hAnsi="Arial"/>
          <w:sz w:val="20"/>
        </w:rPr>
        <w:t>5. Financier Onboarding Flow</w:t>
      </w:r>
    </w:p>
    <w:p>
      <w:pPr>
        <w:pStyle w:val="ListNumber"/>
        <w:spacing w:after="40"/>
      </w:pPr>
      <w:r>
        <w:rPr>
          <w:rFonts w:ascii="Arial" w:hAnsi="Arial"/>
          <w:sz w:val="20"/>
        </w:rPr>
        <w:t>Welcome: present e.mappa as a way to finance verified local energy infrastructure and earn only from measured, monetized energy performance.</w:t>
      </w:r>
    </w:p>
    <w:p>
      <w:pPr>
        <w:pStyle w:val="ListNumber"/>
        <w:spacing w:after="40"/>
      </w:pPr>
      <w:r>
        <w:rPr>
          <w:rFonts w:ascii="Arial" w:hAnsi="Arial"/>
          <w:sz w:val="20"/>
        </w:rPr>
        <w:t>Choose role: user selects “Financier / investor.” Allow later role expansion if the same user also owns panels, supplies equipment, or owns a building/home.</w:t>
      </w:r>
    </w:p>
    <w:p>
      <w:pPr>
        <w:pStyle w:val="ListNumber"/>
        <w:spacing w:after="40"/>
      </w:pPr>
      <w:r>
        <w:rPr>
          <w:rFonts w:ascii="Arial" w:hAnsi="Arial"/>
          <w:sz w:val="20"/>
        </w:rPr>
        <w:t>Account creation: phone/email OTP, legal name, secure password/passkey, country of residence, preferred currency, and payout/withdrawal setup placeholder.</w:t>
      </w:r>
    </w:p>
    <w:p>
      <w:pPr>
        <w:pStyle w:val="ListNumber"/>
        <w:spacing w:after="40"/>
      </w:pPr>
      <w:r>
        <w:rPr>
          <w:rFonts w:ascii="Arial" w:hAnsi="Arial"/>
          <w:sz w:val="20"/>
        </w:rPr>
        <w:t>Account type: individual, business/entity, investment club, fund, family office, diaspora investor, or institutional partner. Each path has different requirements.</w:t>
      </w:r>
    </w:p>
    <w:p>
      <w:pPr>
        <w:pStyle w:val="ListNumber"/>
        <w:spacing w:after="40"/>
      </w:pPr>
      <w:r>
        <w:rPr>
          <w:rFonts w:ascii="Arial" w:hAnsi="Arial"/>
          <w:sz w:val="20"/>
        </w:rPr>
        <w:t>Identity verification: ID/passport, selfie/liveness where available, address, date of birth, tax residency, phone, email, and sanctions screening.</w:t>
      </w:r>
    </w:p>
    <w:p>
      <w:pPr>
        <w:pStyle w:val="ListNumber"/>
        <w:spacing w:after="40"/>
      </w:pPr>
      <w:r>
        <w:rPr>
          <w:rFonts w:ascii="Arial" w:hAnsi="Arial"/>
          <w:sz w:val="20"/>
        </w:rPr>
        <w:t>KYB for businesses/entities: registration documents, directors, beneficial owners, board authorization, tax/PIN, source of funds, authorized signatories, bank/M-Pesa details, and corporate address.</w:t>
      </w:r>
    </w:p>
    <w:p>
      <w:pPr>
        <w:pStyle w:val="ListNumber"/>
        <w:spacing w:after="40"/>
      </w:pPr>
      <w:r>
        <w:rPr>
          <w:rFonts w:ascii="Arial" w:hAnsi="Arial"/>
          <w:sz w:val="20"/>
        </w:rPr>
        <w:t>Investor eligibility: classify user under relevant jurisdiction rules: retail, sophisticated, accredited, qualified, professional, institutional, or restricted. Do not allow self-selection without verification where law requires evidence.</w:t>
      </w:r>
    </w:p>
    <w:p>
      <w:pPr>
        <w:pStyle w:val="ListNumber"/>
        <w:spacing w:after="40"/>
      </w:pPr>
      <w:r>
        <w:rPr>
          <w:rFonts w:ascii="Arial" w:hAnsi="Arial"/>
          <w:sz w:val="20"/>
        </w:rPr>
        <w:t>Risk profile and suitability: ask income/asset band where allowed, loss tolerance, time horizon, liquidity needs, investment experience, concentration comfort, and understanding of revenue-share/project risk.</w:t>
      </w:r>
    </w:p>
    <w:p>
      <w:pPr>
        <w:pStyle w:val="ListNumber"/>
        <w:spacing w:after="40"/>
      </w:pPr>
      <w:r>
        <w:rPr>
          <w:rFonts w:ascii="Arial" w:hAnsi="Arial"/>
          <w:sz w:val="20"/>
        </w:rPr>
        <w:t>Regulatory disclosures: show no guarantee, possible total loss, illiquidity, variable payback, utilization risk, downtime risk, regulatory risk, currency risk, and project-specific risk.</w:t>
      </w:r>
    </w:p>
    <w:p>
      <w:pPr>
        <w:pStyle w:val="ListNumber"/>
        <w:spacing w:after="40"/>
      </w:pPr>
      <w:r>
        <w:rPr>
          <w:rFonts w:ascii="Arial" w:hAnsi="Arial"/>
          <w:sz w:val="20"/>
        </w:rPr>
        <w:t>Jurisdiction gating: determine which offerings are visible and investable based on residence, citizenship/tax status where needed, local rules, currency rails, and platform licenses.</w:t>
      </w:r>
    </w:p>
    <w:p>
      <w:pPr>
        <w:pStyle w:val="ListNumber"/>
        <w:spacing w:after="40"/>
      </w:pPr>
      <w:r>
        <w:rPr>
          <w:rFonts w:ascii="Arial" w:hAnsi="Arial"/>
          <w:sz w:val="20"/>
        </w:rPr>
        <w:t>Payment rail setup: connect allowed payment method, bank/M-Pesa/escrow/custody account, withdrawal destination, and anti-fraud checks.</w:t>
      </w:r>
    </w:p>
    <w:p>
      <w:pPr>
        <w:pStyle w:val="ListNumber"/>
        <w:spacing w:after="40"/>
      </w:pPr>
      <w:r>
        <w:rPr>
          <w:rFonts w:ascii="Arial" w:hAnsi="Arial"/>
          <w:sz w:val="20"/>
        </w:rPr>
        <w:t>Investment limits: set per-investor, per-project, per-period, per-jurisdiction, and concentration limits based on eligibility and internal risk rules.</w:t>
      </w:r>
    </w:p>
    <w:p>
      <w:pPr>
        <w:pStyle w:val="ListNumber"/>
        <w:spacing w:after="40"/>
      </w:pPr>
      <w:r>
        <w:rPr>
          <w:rFonts w:ascii="Arial" w:hAnsi="Arial"/>
          <w:sz w:val="20"/>
        </w:rPr>
        <w:t>Education module: explain DRS, LBRS, monetized solar, settlement waterfall, utilization, payback ranges, provider vs infrastructure pools, and buyout mechanics.</w:t>
      </w:r>
    </w:p>
    <w:p>
      <w:pPr>
        <w:pStyle w:val="ListNumber"/>
        <w:spacing w:after="40"/>
      </w:pPr>
      <w:r>
        <w:rPr>
          <w:rFonts w:ascii="Arial" w:hAnsi="Arial"/>
          <w:sz w:val="20"/>
        </w:rPr>
        <w:t>Access decision: approved, limited retail access, sophisticated-only access, entity-approved, watch-only, restricted jurisdiction, needs more documents, or rejected.</w:t>
      </w:r>
    </w:p>
    <w:p>
      <w:pPr>
        <w:pStyle w:val="Heading2"/>
      </w:pPr>
      <w:r>
        <w:rPr>
          <w:rFonts w:ascii="Arial" w:hAnsi="Arial"/>
          <w:sz w:val="20"/>
        </w:rPr>
        <w:t>5.1 Individual vs Business/Entity Financier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rFonts w:ascii="Arial" w:hAnsi="Arial"/>
                <w:b/>
                <w:sz w:val="17"/>
              </w:rPr>
              <w:t>Account type</w:t>
            </w:r>
          </w:p>
        </w:tc>
        <w:tc>
          <w:tcPr>
            <w:tcW w:type="dxa" w:w="4320"/>
            <w:shd w:fill="EDEDED"/>
            <w:vAlign w:val="center"/>
          </w:tcPr>
          <w:p>
            <w:pPr>
              <w:spacing w:after="0"/>
            </w:pPr>
            <w:r/>
            <w:r>
              <w:rPr>
                <w:rFonts w:ascii="Arial" w:hAnsi="Arial"/>
                <w:b/>
                <w:sz w:val="17"/>
              </w:rPr>
              <w:t>Required onboarding</w:t>
            </w:r>
          </w:p>
        </w:tc>
        <w:tc>
          <w:tcPr>
            <w:tcW w:type="dxa" w:w="2880"/>
            <w:shd w:fill="EDEDED"/>
            <w:vAlign w:val="center"/>
          </w:tcPr>
          <w:p>
            <w:pPr>
              <w:spacing w:after="0"/>
            </w:pPr>
            <w:r/>
            <w:r>
              <w:rPr>
                <w:rFonts w:ascii="Arial" w:hAnsi="Arial"/>
                <w:b/>
                <w:sz w:val="17"/>
              </w:rPr>
              <w:t>Likely access pattern</w:t>
            </w:r>
          </w:p>
        </w:tc>
      </w:tr>
      <w:tr>
        <w:tc>
          <w:tcPr>
            <w:tcW w:type="dxa" w:w="2160"/>
            <w:vAlign w:val="top"/>
          </w:tcPr>
          <w:p>
            <w:pPr>
              <w:spacing w:after="0"/>
            </w:pPr>
            <w:r/>
            <w:r>
              <w:rPr>
                <w:rFonts w:ascii="Arial" w:hAnsi="Arial"/>
                <w:b w:val="0"/>
                <w:sz w:val="17"/>
              </w:rPr>
              <w:t>Individual retail</w:t>
            </w:r>
          </w:p>
        </w:tc>
        <w:tc>
          <w:tcPr>
            <w:tcW w:type="dxa" w:w="4320"/>
            <w:vAlign w:val="top"/>
          </w:tcPr>
          <w:p>
            <w:pPr>
              <w:spacing w:after="0"/>
            </w:pPr>
            <w:r/>
            <w:r>
              <w:rPr>
                <w:rFonts w:ascii="Arial" w:hAnsi="Arial"/>
                <w:b w:val="0"/>
                <w:sz w:val="17"/>
              </w:rPr>
              <w:t>Identity, address, tax residency, risk questionnaire, investment limits, disclosures, suitability checks, source-of-funds threshold checks.</w:t>
            </w:r>
          </w:p>
        </w:tc>
        <w:tc>
          <w:tcPr>
            <w:tcW w:type="dxa" w:w="2880"/>
            <w:vAlign w:val="top"/>
          </w:tcPr>
          <w:p>
            <w:pPr>
              <w:spacing w:after="0"/>
            </w:pPr>
            <w:r/>
            <w:r>
              <w:rPr>
                <w:rFonts w:ascii="Arial" w:hAnsi="Arial"/>
                <w:b w:val="0"/>
                <w:sz w:val="17"/>
              </w:rPr>
              <w:t>Small ticket participation, project caps, simple products, strong warnings, restricted jurisdictions.</w:t>
            </w:r>
          </w:p>
        </w:tc>
      </w:tr>
      <w:tr>
        <w:tc>
          <w:tcPr>
            <w:tcW w:type="dxa" w:w="2160"/>
            <w:vAlign w:val="top"/>
          </w:tcPr>
          <w:p>
            <w:pPr>
              <w:spacing w:after="0"/>
            </w:pPr>
            <w:r/>
            <w:r>
              <w:rPr>
                <w:rFonts w:ascii="Arial" w:hAnsi="Arial"/>
                <w:b w:val="0"/>
                <w:sz w:val="17"/>
              </w:rPr>
              <w:t>Sophisticated/accredited/qualified individual</w:t>
            </w:r>
          </w:p>
        </w:tc>
        <w:tc>
          <w:tcPr>
            <w:tcW w:type="dxa" w:w="4320"/>
            <w:vAlign w:val="top"/>
          </w:tcPr>
          <w:p>
            <w:pPr>
              <w:spacing w:after="0"/>
            </w:pPr>
            <w:r/>
            <w:r>
              <w:rPr>
                <w:rFonts w:ascii="Arial" w:hAnsi="Arial"/>
                <w:b w:val="0"/>
                <w:sz w:val="17"/>
              </w:rPr>
              <w:t>Identity plus evidence of eligibility where required, larger risk disclosures, source-of-funds checks.</w:t>
            </w:r>
          </w:p>
        </w:tc>
        <w:tc>
          <w:tcPr>
            <w:tcW w:type="dxa" w:w="2880"/>
            <w:vAlign w:val="top"/>
          </w:tcPr>
          <w:p>
            <w:pPr>
              <w:spacing w:after="0"/>
            </w:pPr>
            <w:r/>
            <w:r>
              <w:rPr>
                <w:rFonts w:ascii="Arial" w:hAnsi="Arial"/>
                <w:b w:val="0"/>
                <w:sz w:val="17"/>
              </w:rPr>
              <w:t>Higher limits, more project types, possible private deals or buyouts.</w:t>
            </w:r>
          </w:p>
        </w:tc>
      </w:tr>
      <w:tr>
        <w:tc>
          <w:tcPr>
            <w:tcW w:type="dxa" w:w="2160"/>
            <w:vAlign w:val="top"/>
          </w:tcPr>
          <w:p>
            <w:pPr>
              <w:spacing w:after="0"/>
            </w:pPr>
            <w:r/>
            <w:r>
              <w:rPr>
                <w:rFonts w:ascii="Arial" w:hAnsi="Arial"/>
                <w:b w:val="0"/>
                <w:sz w:val="17"/>
              </w:rPr>
              <w:t>Business/entity</w:t>
            </w:r>
          </w:p>
        </w:tc>
        <w:tc>
          <w:tcPr>
            <w:tcW w:type="dxa" w:w="4320"/>
            <w:vAlign w:val="top"/>
          </w:tcPr>
          <w:p>
            <w:pPr>
              <w:spacing w:after="0"/>
            </w:pPr>
            <w:r/>
            <w:r>
              <w:rPr>
                <w:rFonts w:ascii="Arial" w:hAnsi="Arial"/>
                <w:b w:val="0"/>
                <w:sz w:val="17"/>
              </w:rPr>
              <w:t>Company registration, directors, beneficial owners, board authorization, source of funds, tax documents, authorized signatory.</w:t>
            </w:r>
          </w:p>
        </w:tc>
        <w:tc>
          <w:tcPr>
            <w:tcW w:type="dxa" w:w="2880"/>
            <w:vAlign w:val="top"/>
          </w:tcPr>
          <w:p>
            <w:pPr>
              <w:spacing w:after="0"/>
            </w:pPr>
            <w:r/>
            <w:r>
              <w:rPr>
                <w:rFonts w:ascii="Arial" w:hAnsi="Arial"/>
                <w:b w:val="0"/>
                <w:sz w:val="17"/>
              </w:rPr>
              <w:t>Can fund projects as treasury, supplier finance, project sponsor, or portfolio allocator.</w:t>
            </w:r>
          </w:p>
        </w:tc>
      </w:tr>
      <w:tr>
        <w:tc>
          <w:tcPr>
            <w:tcW w:type="dxa" w:w="2160"/>
            <w:vAlign w:val="top"/>
          </w:tcPr>
          <w:p>
            <w:pPr>
              <w:spacing w:after="0"/>
            </w:pPr>
            <w:r/>
            <w:r>
              <w:rPr>
                <w:rFonts w:ascii="Arial" w:hAnsi="Arial"/>
                <w:b w:val="0"/>
                <w:sz w:val="17"/>
              </w:rPr>
              <w:t>Investment club/community group</w:t>
            </w:r>
          </w:p>
        </w:tc>
        <w:tc>
          <w:tcPr>
            <w:tcW w:type="dxa" w:w="4320"/>
            <w:vAlign w:val="top"/>
          </w:tcPr>
          <w:p>
            <w:pPr>
              <w:spacing w:after="0"/>
            </w:pPr>
            <w:r/>
            <w:r>
              <w:rPr>
                <w:rFonts w:ascii="Arial" w:hAnsi="Arial"/>
                <w:b w:val="0"/>
                <w:sz w:val="17"/>
              </w:rPr>
              <w:t>Group rules, authorized signatory, member disclosures, beneficial owners, compliance classification.</w:t>
            </w:r>
          </w:p>
        </w:tc>
        <w:tc>
          <w:tcPr>
            <w:tcW w:type="dxa" w:w="2880"/>
            <w:vAlign w:val="top"/>
          </w:tcPr>
          <w:p>
            <w:pPr>
              <w:spacing w:after="0"/>
            </w:pPr>
            <w:r/>
            <w:r>
              <w:rPr>
                <w:rFonts w:ascii="Arial" w:hAnsi="Arial"/>
                <w:b w:val="0"/>
                <w:sz w:val="17"/>
              </w:rPr>
              <w:t>May need special structure; avoid informal pooling that violates investment rules.</w:t>
            </w:r>
          </w:p>
        </w:tc>
      </w:tr>
      <w:tr>
        <w:tc>
          <w:tcPr>
            <w:tcW w:type="dxa" w:w="2160"/>
            <w:vAlign w:val="top"/>
          </w:tcPr>
          <w:p>
            <w:pPr>
              <w:spacing w:after="0"/>
            </w:pPr>
            <w:r/>
            <w:r>
              <w:rPr>
                <w:rFonts w:ascii="Arial" w:hAnsi="Arial"/>
                <w:b w:val="0"/>
                <w:sz w:val="17"/>
              </w:rPr>
              <w:t>Fund/institution</w:t>
            </w:r>
          </w:p>
        </w:tc>
        <w:tc>
          <w:tcPr>
            <w:tcW w:type="dxa" w:w="4320"/>
            <w:vAlign w:val="top"/>
          </w:tcPr>
          <w:p>
            <w:pPr>
              <w:spacing w:after="0"/>
            </w:pPr>
            <w:r/>
            <w:r>
              <w:rPr>
                <w:rFonts w:ascii="Arial" w:hAnsi="Arial"/>
                <w:b w:val="0"/>
                <w:sz w:val="17"/>
              </w:rPr>
              <w:t>Institutional KYB, mandate verification, investment committee docs, custody/settlement requirements, reporting integration.</w:t>
            </w:r>
          </w:p>
        </w:tc>
        <w:tc>
          <w:tcPr>
            <w:tcW w:type="dxa" w:w="2880"/>
            <w:vAlign w:val="top"/>
          </w:tcPr>
          <w:p>
            <w:pPr>
              <w:spacing w:after="0"/>
            </w:pPr>
            <w:r/>
            <w:r>
              <w:rPr>
                <w:rFonts w:ascii="Arial" w:hAnsi="Arial"/>
                <w:b w:val="0"/>
                <w:sz w:val="17"/>
              </w:rPr>
              <w:t>Can fund many projects, expansion tranches, warehouse lines, or platform-level partnerships.</w:t>
            </w:r>
          </w:p>
        </w:tc>
      </w:tr>
      <w:tr>
        <w:tc>
          <w:tcPr>
            <w:tcW w:type="dxa" w:w="2160"/>
            <w:vAlign w:val="top"/>
          </w:tcPr>
          <w:p>
            <w:pPr>
              <w:spacing w:after="0"/>
            </w:pPr>
            <w:r/>
            <w:r>
              <w:rPr>
                <w:rFonts w:ascii="Arial" w:hAnsi="Arial"/>
                <w:b w:val="0"/>
                <w:sz w:val="17"/>
              </w:rPr>
              <w:t>Watch-only user</w:t>
            </w:r>
          </w:p>
        </w:tc>
        <w:tc>
          <w:tcPr>
            <w:tcW w:type="dxa" w:w="4320"/>
            <w:vAlign w:val="top"/>
          </w:tcPr>
          <w:p>
            <w:pPr>
              <w:spacing w:after="0"/>
            </w:pPr>
            <w:r/>
            <w:r>
              <w:rPr>
                <w:rFonts w:ascii="Arial" w:hAnsi="Arial"/>
                <w:b w:val="0"/>
                <w:sz w:val="17"/>
              </w:rPr>
              <w:t>Basic account but no investment eligibility or not yet approved.</w:t>
            </w:r>
          </w:p>
        </w:tc>
        <w:tc>
          <w:tcPr>
            <w:tcW w:type="dxa" w:w="2880"/>
            <w:vAlign w:val="top"/>
          </w:tcPr>
          <w:p>
            <w:pPr>
              <w:spacing w:after="0"/>
            </w:pPr>
            <w:r/>
            <w:r>
              <w:rPr>
                <w:rFonts w:ascii="Arial" w:hAnsi="Arial"/>
                <w:b w:val="0"/>
                <w:sz w:val="17"/>
              </w:rPr>
              <w:t>Can browse education and simulated returns, but cannot commit capital.</w:t>
            </w:r>
          </w:p>
        </w:tc>
      </w:tr>
    </w:tbl>
    <w:p/>
    <w:p>
      <w:pPr>
        <w:pStyle w:val="Heading1"/>
      </w:pPr>
      <w:r>
        <w:rPr>
          <w:rFonts w:ascii="Arial" w:hAnsi="Arial"/>
          <w:sz w:val="20"/>
        </w:rPr>
        <w:t>6. Financier App Information Architecture</w:t>
      </w:r>
    </w:p>
    <w:tbl>
      <w:tblPr>
        <w:tblStyle w:val="TableGrid"/>
        <w:tblW w:type="auto" w:w="0"/>
        <w:jc w:val="center"/>
        <w:tblLook w:firstColumn="1" w:firstRow="1" w:lastColumn="0" w:lastRow="0" w:noHBand="0" w:noVBand="1" w:val="04A0"/>
      </w:tblPr>
      <w:tblGrid>
        <w:gridCol w:w="3408"/>
        <w:gridCol w:w="3408"/>
        <w:gridCol w:w="3408"/>
      </w:tblGrid>
      <w:tr>
        <w:tc>
          <w:tcPr>
            <w:tcW w:type="dxa" w:w="1872"/>
            <w:shd w:fill="EDEDED"/>
            <w:vAlign w:val="center"/>
          </w:tcPr>
          <w:p>
            <w:pPr>
              <w:spacing w:after="0"/>
            </w:pPr>
            <w:r/>
            <w:r>
              <w:rPr>
                <w:rFonts w:ascii="Arial" w:hAnsi="Arial"/>
                <w:b/>
                <w:sz w:val="17"/>
              </w:rPr>
              <w:t>Screen</w:t>
            </w:r>
          </w:p>
        </w:tc>
        <w:tc>
          <w:tcPr>
            <w:tcW w:type="dxa" w:w="3744"/>
            <w:shd w:fill="EDEDED"/>
            <w:vAlign w:val="center"/>
          </w:tcPr>
          <w:p>
            <w:pPr>
              <w:spacing w:after="0"/>
            </w:pPr>
            <w:r/>
            <w:r>
              <w:rPr>
                <w:rFonts w:ascii="Arial" w:hAnsi="Arial"/>
                <w:b/>
                <w:sz w:val="17"/>
              </w:rPr>
              <w:t>Pre-commit / empty state</w:t>
            </w:r>
          </w:p>
        </w:tc>
        <w:tc>
          <w:tcPr>
            <w:tcW w:type="dxa" w:w="3888"/>
            <w:shd w:fill="EDEDED"/>
            <w:vAlign w:val="center"/>
          </w:tcPr>
          <w:p>
            <w:pPr>
              <w:spacing w:after="0"/>
            </w:pPr>
            <w:r/>
            <w:r>
              <w:rPr>
                <w:rFonts w:ascii="Arial" w:hAnsi="Arial"/>
                <w:b/>
                <w:sz w:val="17"/>
              </w:rPr>
              <w:t>Active / live state</w:t>
            </w:r>
          </w:p>
        </w:tc>
      </w:tr>
      <w:tr>
        <w:tc>
          <w:tcPr>
            <w:tcW w:type="dxa" w:w="1872"/>
            <w:vAlign w:val="top"/>
          </w:tcPr>
          <w:p>
            <w:pPr>
              <w:spacing w:after="0"/>
            </w:pPr>
            <w:r/>
            <w:r>
              <w:rPr>
                <w:rFonts w:ascii="Arial" w:hAnsi="Arial"/>
                <w:b w:val="0"/>
                <w:sz w:val="17"/>
              </w:rPr>
              <w:t>Discover</w:t>
            </w:r>
          </w:p>
        </w:tc>
        <w:tc>
          <w:tcPr>
            <w:tcW w:type="dxa" w:w="3744"/>
            <w:vAlign w:val="top"/>
          </w:tcPr>
          <w:p>
            <w:pPr>
              <w:spacing w:after="0"/>
            </w:pPr>
            <w:r/>
            <w:r>
              <w:rPr>
                <w:rFonts w:ascii="Arial" w:hAnsi="Arial"/>
                <w:b w:val="0"/>
                <w:sz w:val="17"/>
              </w:rPr>
              <w:t>Browse eligible projects after regulatory gating. If no investable projects: show watchlist, education, and eligibility blockers.</w:t>
            </w:r>
          </w:p>
        </w:tc>
        <w:tc>
          <w:tcPr>
            <w:tcW w:type="dxa" w:w="3888"/>
            <w:vAlign w:val="top"/>
          </w:tcPr>
          <w:p>
            <w:pPr>
              <w:spacing w:after="0"/>
            </w:pPr>
            <w:r/>
            <w:r>
              <w:rPr>
                <w:rFonts w:ascii="Arial" w:hAnsi="Arial"/>
                <w:b w:val="0"/>
                <w:sz w:val="17"/>
              </w:rPr>
              <w:t>Project marketplace with DRS, capital raised, capital gap, stakeholder-as-a-service claims, risk, projected payback, and commit CTA.</w:t>
            </w:r>
          </w:p>
        </w:tc>
      </w:tr>
      <w:tr>
        <w:tc>
          <w:tcPr>
            <w:tcW w:type="dxa" w:w="1872"/>
            <w:vAlign w:val="top"/>
          </w:tcPr>
          <w:p>
            <w:pPr>
              <w:spacing w:after="0"/>
            </w:pPr>
            <w:r/>
            <w:r>
              <w:rPr>
                <w:rFonts w:ascii="Arial" w:hAnsi="Arial"/>
                <w:b w:val="0"/>
                <w:sz w:val="17"/>
              </w:rPr>
              <w:t>Project Status</w:t>
            </w:r>
          </w:p>
        </w:tc>
        <w:tc>
          <w:tcPr>
            <w:tcW w:type="dxa" w:w="3744"/>
            <w:vAlign w:val="top"/>
          </w:tcPr>
          <w:p>
            <w:pPr>
              <w:spacing w:after="0"/>
            </w:pPr>
            <w:r/>
            <w:r>
              <w:rPr>
                <w:rFonts w:ascii="Arial" w:hAnsi="Arial"/>
                <w:b w:val="0"/>
                <w:sz w:val="17"/>
              </w:rPr>
              <w:t>No committed projects yet. Watch projects or complete onboarding.</w:t>
            </w:r>
          </w:p>
        </w:tc>
        <w:tc>
          <w:tcPr>
            <w:tcW w:type="dxa" w:w="3888"/>
            <w:vAlign w:val="top"/>
          </w:tcPr>
          <w:p>
            <w:pPr>
              <w:spacing w:after="0"/>
            </w:pPr>
            <w:r/>
            <w:r>
              <w:rPr>
                <w:rFonts w:ascii="Arial" w:hAnsi="Arial"/>
                <w:b w:val="0"/>
                <w:sz w:val="17"/>
              </w:rPr>
              <w:t>Committed projects grouped by DRS, installation, LBRS, live, blocked, completed, defaulted/suspended, and exited.</w:t>
            </w:r>
          </w:p>
        </w:tc>
      </w:tr>
      <w:tr>
        <w:tc>
          <w:tcPr>
            <w:tcW w:type="dxa" w:w="1872"/>
            <w:vAlign w:val="top"/>
          </w:tcPr>
          <w:p>
            <w:pPr>
              <w:spacing w:after="0"/>
            </w:pPr>
            <w:r/>
            <w:r>
              <w:rPr>
                <w:rFonts w:ascii="Arial" w:hAnsi="Arial"/>
                <w:b w:val="0"/>
                <w:sz w:val="17"/>
              </w:rPr>
              <w:t>Energy Generation</w:t>
            </w:r>
          </w:p>
        </w:tc>
        <w:tc>
          <w:tcPr>
            <w:tcW w:type="dxa" w:w="3744"/>
            <w:vAlign w:val="top"/>
          </w:tcPr>
          <w:p>
            <w:pPr>
              <w:spacing w:after="0"/>
            </w:pPr>
            <w:r/>
            <w:r>
              <w:rPr>
                <w:rFonts w:ascii="Arial" w:hAnsi="Arial"/>
                <w:b w:val="0"/>
                <w:sz w:val="17"/>
              </w:rPr>
              <w:t>Before live: projected generation only, clearly labeled as forecast.</w:t>
            </w:r>
          </w:p>
        </w:tc>
        <w:tc>
          <w:tcPr>
            <w:tcW w:type="dxa" w:w="3888"/>
            <w:vAlign w:val="top"/>
          </w:tcPr>
          <w:p>
            <w:pPr>
              <w:spacing w:after="0"/>
            </w:pPr>
            <w:r/>
            <w:r>
              <w:rPr>
                <w:rFonts w:ascii="Arial" w:hAnsi="Arial"/>
                <w:b w:val="0"/>
                <w:sz w:val="17"/>
              </w:rPr>
              <w:t>Actual generation, monetized kWh, utilization, waste, battery, grid fallback, asset ownership split, and performance vs forecast.</w:t>
            </w:r>
          </w:p>
        </w:tc>
      </w:tr>
      <w:tr>
        <w:tc>
          <w:tcPr>
            <w:tcW w:type="dxa" w:w="1872"/>
            <w:vAlign w:val="top"/>
          </w:tcPr>
          <w:p>
            <w:pPr>
              <w:spacing w:after="0"/>
            </w:pPr>
            <w:r/>
            <w:r>
              <w:rPr>
                <w:rFonts w:ascii="Arial" w:hAnsi="Arial"/>
                <w:b w:val="0"/>
                <w:sz w:val="17"/>
              </w:rPr>
              <w:t>Wallet</w:t>
            </w:r>
          </w:p>
        </w:tc>
        <w:tc>
          <w:tcPr>
            <w:tcW w:type="dxa" w:w="3744"/>
            <w:vAlign w:val="top"/>
          </w:tcPr>
          <w:p>
            <w:pPr>
              <w:spacing w:after="0"/>
            </w:pPr>
            <w:r/>
            <w:r>
              <w:rPr>
                <w:rFonts w:ascii="Arial" w:hAnsi="Arial"/>
                <w:b w:val="0"/>
                <w:sz w:val="17"/>
              </w:rPr>
              <w:t>No capital deployed. Show approved limit, available cash, pending verification, and education.</w:t>
            </w:r>
          </w:p>
        </w:tc>
        <w:tc>
          <w:tcPr>
            <w:tcW w:type="dxa" w:w="3888"/>
            <w:vAlign w:val="top"/>
          </w:tcPr>
          <w:p>
            <w:pPr>
              <w:spacing w:after="0"/>
            </w:pPr>
            <w:r/>
            <w:r>
              <w:rPr>
                <w:rFonts w:ascii="Arial" w:hAnsi="Arial"/>
                <w:b w:val="0"/>
                <w:sz w:val="17"/>
              </w:rPr>
              <w:t>Committed funds, escrowed funds, deployed principal, cashflows, projected/actual return, payback progress, fees, reserves, withdrawals, tax statements.</w:t>
            </w:r>
          </w:p>
        </w:tc>
      </w:tr>
      <w:tr>
        <w:tc>
          <w:tcPr>
            <w:tcW w:type="dxa" w:w="1872"/>
            <w:vAlign w:val="top"/>
          </w:tcPr>
          <w:p>
            <w:pPr>
              <w:spacing w:after="0"/>
            </w:pPr>
            <w:r/>
            <w:r>
              <w:rPr>
                <w:rFonts w:ascii="Arial" w:hAnsi="Arial"/>
                <w:b w:val="0"/>
                <w:sz w:val="17"/>
              </w:rPr>
              <w:t>Profile</w:t>
            </w:r>
          </w:p>
        </w:tc>
        <w:tc>
          <w:tcPr>
            <w:tcW w:type="dxa" w:w="3744"/>
            <w:vAlign w:val="top"/>
          </w:tcPr>
          <w:p>
            <w:pPr>
              <w:spacing w:after="0"/>
            </w:pPr>
            <w:r/>
            <w:r>
              <w:rPr>
                <w:rFonts w:ascii="Arial" w:hAnsi="Arial"/>
                <w:b w:val="0"/>
                <w:sz w:val="17"/>
              </w:rPr>
              <w:t>Complete identity, eligibility, risk profile, and payout setup to unlock investing.</w:t>
            </w:r>
          </w:p>
        </w:tc>
        <w:tc>
          <w:tcPr>
            <w:tcW w:type="dxa" w:w="3888"/>
            <w:vAlign w:val="top"/>
          </w:tcPr>
          <w:p>
            <w:pPr>
              <w:spacing w:after="0"/>
            </w:pPr>
            <w:r/>
            <w:r>
              <w:rPr>
                <w:rFonts w:ascii="Arial" w:hAnsi="Arial"/>
                <w:b w:val="0"/>
                <w:sz w:val="17"/>
              </w:rPr>
              <w:t>KYC/KYB, eligibility tier, limits, jurisdiction, documents, tax forms, notification preferences, security, agreements, support.</w:t>
            </w:r>
          </w:p>
        </w:tc>
      </w:tr>
    </w:tbl>
    <w:p/>
    <w:p>
      <w:pPr>
        <w:pStyle w:val="Heading1"/>
      </w:pPr>
      <w:r>
        <w:rPr>
          <w:rFonts w:ascii="Arial" w:hAnsi="Arial"/>
          <w:sz w:val="20"/>
        </w:rPr>
        <w:t>7. Discover Screen - Investment Marketplace</w:t>
      </w:r>
    </w:p>
    <w:p>
      <w:pPr>
        <w:spacing w:after="120"/>
      </w:pPr>
      <w:r>
        <w:rPr>
          <w:rFonts w:ascii="Arial" w:hAnsi="Arial"/>
          <w:sz w:val="20"/>
        </w:rPr>
        <w:t>Discover is the financier’s first screen. Unlike electricians and suppliers, financiers are not primarily constrained by proximity. They can browse projects across towns, counties, and eventually countries, but the feed must be filtered by legal eligibility and risk limits. A project can appear as watch-only if the user is not allowed to invest.</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rFonts w:ascii="Arial" w:hAnsi="Arial"/>
                <w:b/>
                <w:sz w:val="17"/>
              </w:rPr>
              <w:t>Project card field</w:t>
            </w:r>
          </w:p>
        </w:tc>
        <w:tc>
          <w:tcPr>
            <w:tcW w:type="dxa" w:w="3024"/>
            <w:shd w:fill="EDEDED"/>
            <w:vAlign w:val="center"/>
          </w:tcPr>
          <w:p>
            <w:pPr>
              <w:spacing w:after="0"/>
            </w:pPr>
            <w:r/>
            <w:r>
              <w:rPr>
                <w:rFonts w:ascii="Arial" w:hAnsi="Arial"/>
                <w:b/>
                <w:sz w:val="17"/>
              </w:rPr>
              <w:t>Display</w:t>
            </w:r>
          </w:p>
        </w:tc>
        <w:tc>
          <w:tcPr>
            <w:tcW w:type="dxa" w:w="3600"/>
            <w:shd w:fill="EDEDED"/>
            <w:vAlign w:val="center"/>
          </w:tcPr>
          <w:p>
            <w:pPr>
              <w:spacing w:after="0"/>
            </w:pPr>
            <w:r/>
            <w:r>
              <w:rPr>
                <w:rFonts w:ascii="Arial" w:hAnsi="Arial"/>
                <w:b/>
                <w:sz w:val="17"/>
              </w:rPr>
              <w:t>Why it matters</w:t>
            </w:r>
          </w:p>
        </w:tc>
      </w:tr>
      <w:tr>
        <w:tc>
          <w:tcPr>
            <w:tcW w:type="dxa" w:w="2160"/>
            <w:vAlign w:val="top"/>
          </w:tcPr>
          <w:p>
            <w:pPr>
              <w:spacing w:after="0"/>
            </w:pPr>
            <w:r/>
            <w:r>
              <w:rPr>
                <w:rFonts w:ascii="Arial" w:hAnsi="Arial"/>
                <w:b w:val="0"/>
                <w:sz w:val="17"/>
              </w:rPr>
              <w:t>Project image and type</w:t>
            </w:r>
          </w:p>
        </w:tc>
        <w:tc>
          <w:tcPr>
            <w:tcW w:type="dxa" w:w="3024"/>
            <w:vAlign w:val="top"/>
          </w:tcPr>
          <w:p>
            <w:pPr>
              <w:spacing w:after="0"/>
            </w:pPr>
            <w:r/>
            <w:r>
              <w:rPr>
                <w:rFonts w:ascii="Arial" w:hAnsi="Arial"/>
                <w:b w:val="0"/>
                <w:sz w:val="17"/>
              </w:rPr>
              <w:t>Apartment building, homeowner, small compound, or expansion project; photo or approved render.</w:t>
            </w:r>
          </w:p>
        </w:tc>
        <w:tc>
          <w:tcPr>
            <w:tcW w:type="dxa" w:w="3600"/>
            <w:vAlign w:val="top"/>
          </w:tcPr>
          <w:p>
            <w:pPr>
              <w:spacing w:after="0"/>
            </w:pPr>
            <w:r/>
            <w:r>
              <w:rPr>
                <w:rFonts w:ascii="Arial" w:hAnsi="Arial"/>
                <w:b w:val="0"/>
                <w:sz w:val="17"/>
              </w:rPr>
              <w:t>Makes the opportunity tangible without overexposing private addresses.</w:t>
            </w:r>
          </w:p>
        </w:tc>
      </w:tr>
      <w:tr>
        <w:tc>
          <w:tcPr>
            <w:tcW w:type="dxa" w:w="2160"/>
            <w:vAlign w:val="top"/>
          </w:tcPr>
          <w:p>
            <w:pPr>
              <w:spacing w:after="0"/>
            </w:pPr>
            <w:r/>
            <w:r>
              <w:rPr>
                <w:rFonts w:ascii="Arial" w:hAnsi="Arial"/>
                <w:b w:val="0"/>
                <w:sz w:val="17"/>
              </w:rPr>
              <w:t>Location / jurisdiction</w:t>
            </w:r>
          </w:p>
        </w:tc>
        <w:tc>
          <w:tcPr>
            <w:tcW w:type="dxa" w:w="3024"/>
            <w:vAlign w:val="top"/>
          </w:tcPr>
          <w:p>
            <w:pPr>
              <w:spacing w:after="0"/>
            </w:pPr>
            <w:r/>
            <w:r>
              <w:rPr>
                <w:rFonts w:ascii="Arial" w:hAnsi="Arial"/>
                <w:b w:val="0"/>
                <w:sz w:val="17"/>
              </w:rPr>
              <w:t>Town/county/country, regulatory label, currency, project legal vehicle.</w:t>
            </w:r>
          </w:p>
        </w:tc>
        <w:tc>
          <w:tcPr>
            <w:tcW w:type="dxa" w:w="3600"/>
            <w:vAlign w:val="top"/>
          </w:tcPr>
          <w:p>
            <w:pPr>
              <w:spacing w:after="0"/>
            </w:pPr>
            <w:r/>
            <w:r>
              <w:rPr>
                <w:rFonts w:ascii="Arial" w:hAnsi="Arial"/>
                <w:b w:val="0"/>
                <w:sz w:val="17"/>
              </w:rPr>
              <w:t>Financiers can invest far away only if legally eligible.</w:t>
            </w:r>
          </w:p>
        </w:tc>
      </w:tr>
      <w:tr>
        <w:tc>
          <w:tcPr>
            <w:tcW w:type="dxa" w:w="2160"/>
            <w:vAlign w:val="top"/>
          </w:tcPr>
          <w:p>
            <w:pPr>
              <w:spacing w:after="0"/>
            </w:pPr>
            <w:r/>
            <w:r>
              <w:rPr>
                <w:rFonts w:ascii="Arial" w:hAnsi="Arial"/>
                <w:b w:val="0"/>
                <w:sz w:val="17"/>
              </w:rPr>
              <w:t>DRS score</w:t>
            </w:r>
          </w:p>
        </w:tc>
        <w:tc>
          <w:tcPr>
            <w:tcW w:type="dxa" w:w="3024"/>
            <w:vAlign w:val="top"/>
          </w:tcPr>
          <w:p>
            <w:pPr>
              <w:spacing w:after="0"/>
            </w:pPr>
            <w:r/>
            <w:r>
              <w:rPr>
                <w:rFonts w:ascii="Arial" w:hAnsi="Arial"/>
                <w:b w:val="0"/>
                <w:sz w:val="17"/>
              </w:rPr>
              <w:t>Percentage plus hard blockers: capital gap, hardware missing, electrician payment, site inspection, demand proof, contracts.</w:t>
            </w:r>
          </w:p>
        </w:tc>
        <w:tc>
          <w:tcPr>
            <w:tcW w:type="dxa" w:w="3600"/>
            <w:vAlign w:val="top"/>
          </w:tcPr>
          <w:p>
            <w:pPr>
              <w:spacing w:after="0"/>
            </w:pPr>
            <w:r/>
            <w:r>
              <w:rPr>
                <w:rFonts w:ascii="Arial" w:hAnsi="Arial"/>
                <w:b w:val="0"/>
                <w:sz w:val="17"/>
              </w:rPr>
              <w:t>Shows whether capital can actually move the project.</w:t>
            </w:r>
          </w:p>
        </w:tc>
      </w:tr>
      <w:tr>
        <w:tc>
          <w:tcPr>
            <w:tcW w:type="dxa" w:w="2160"/>
            <w:vAlign w:val="top"/>
          </w:tcPr>
          <w:p>
            <w:pPr>
              <w:spacing w:after="0"/>
            </w:pPr>
            <w:r/>
            <w:r>
              <w:rPr>
                <w:rFonts w:ascii="Arial" w:hAnsi="Arial"/>
                <w:b w:val="0"/>
                <w:sz w:val="17"/>
              </w:rPr>
              <w:t>Capital raised</w:t>
            </w:r>
          </w:p>
        </w:tc>
        <w:tc>
          <w:tcPr>
            <w:tcW w:type="dxa" w:w="3024"/>
            <w:vAlign w:val="top"/>
          </w:tcPr>
          <w:p>
            <w:pPr>
              <w:spacing w:after="0"/>
            </w:pPr>
            <w:r/>
            <w:r>
              <w:rPr>
                <w:rFonts w:ascii="Arial" w:hAnsi="Arial"/>
                <w:b w:val="0"/>
                <w:sz w:val="17"/>
              </w:rPr>
              <w:t>Amount committed, amount escrowed, amount still needed, financier count.</w:t>
            </w:r>
          </w:p>
        </w:tc>
        <w:tc>
          <w:tcPr>
            <w:tcW w:type="dxa" w:w="3600"/>
            <w:vAlign w:val="top"/>
          </w:tcPr>
          <w:p>
            <w:pPr>
              <w:spacing w:after="0"/>
            </w:pPr>
            <w:r/>
            <w:r>
              <w:rPr>
                <w:rFonts w:ascii="Arial" w:hAnsi="Arial"/>
                <w:b w:val="0"/>
                <w:sz w:val="17"/>
              </w:rPr>
              <w:t>Shows funding progress and whether the project is close to deployment.</w:t>
            </w:r>
          </w:p>
        </w:tc>
      </w:tr>
      <w:tr>
        <w:tc>
          <w:tcPr>
            <w:tcW w:type="dxa" w:w="2160"/>
            <w:vAlign w:val="top"/>
          </w:tcPr>
          <w:p>
            <w:pPr>
              <w:spacing w:after="0"/>
            </w:pPr>
            <w:r/>
            <w:r>
              <w:rPr>
                <w:rFonts w:ascii="Arial" w:hAnsi="Arial"/>
                <w:b w:val="0"/>
                <w:sz w:val="17"/>
              </w:rPr>
              <w:t>Capital gap</w:t>
            </w:r>
          </w:p>
        </w:tc>
        <w:tc>
          <w:tcPr>
            <w:tcW w:type="dxa" w:w="3024"/>
            <w:vAlign w:val="top"/>
          </w:tcPr>
          <w:p>
            <w:pPr>
              <w:spacing w:after="0"/>
            </w:pPr>
            <w:r/>
            <w:r>
              <w:rPr>
                <w:rFonts w:ascii="Arial" w:hAnsi="Arial"/>
                <w:b w:val="0"/>
                <w:sz w:val="17"/>
              </w:rPr>
              <w:t>Specific missing amount by category: battery, inverter, ATS, meters, labor, provider panels, supplier buyout, expansion.</w:t>
            </w:r>
          </w:p>
        </w:tc>
        <w:tc>
          <w:tcPr>
            <w:tcW w:type="dxa" w:w="3600"/>
            <w:vAlign w:val="top"/>
          </w:tcPr>
          <w:p>
            <w:pPr>
              <w:spacing w:after="0"/>
            </w:pPr>
            <w:r/>
            <w:r>
              <w:rPr>
                <w:rFonts w:ascii="Arial" w:hAnsi="Arial"/>
                <w:b w:val="0"/>
                <w:sz w:val="17"/>
              </w:rPr>
              <w:t>Helps financier understand what their money unlocks.</w:t>
            </w:r>
          </w:p>
        </w:tc>
      </w:tr>
      <w:tr>
        <w:tc>
          <w:tcPr>
            <w:tcW w:type="dxa" w:w="2160"/>
            <w:vAlign w:val="top"/>
          </w:tcPr>
          <w:p>
            <w:pPr>
              <w:spacing w:after="0"/>
            </w:pPr>
            <w:r/>
            <w:r>
              <w:rPr>
                <w:rFonts w:ascii="Arial" w:hAnsi="Arial"/>
                <w:b w:val="0"/>
                <w:sz w:val="17"/>
              </w:rPr>
              <w:t>As-a-service claims</w:t>
            </w:r>
          </w:p>
        </w:tc>
        <w:tc>
          <w:tcPr>
            <w:tcW w:type="dxa" w:w="3024"/>
            <w:vAlign w:val="top"/>
          </w:tcPr>
          <w:p>
            <w:pPr>
              <w:spacing w:after="0"/>
            </w:pPr>
            <w:r/>
            <w:r>
              <w:rPr>
                <w:rFonts w:ascii="Arial" w:hAnsi="Arial"/>
                <w:b w:val="0"/>
                <w:sz w:val="17"/>
              </w:rPr>
              <w:t>Supplier equipment-as-a-service, provider panel contribution, electrician labor-as-capital, hybrid claims open for buyout.</w:t>
            </w:r>
          </w:p>
        </w:tc>
        <w:tc>
          <w:tcPr>
            <w:tcW w:type="dxa" w:w="3600"/>
            <w:vAlign w:val="top"/>
          </w:tcPr>
          <w:p>
            <w:pPr>
              <w:spacing w:after="0"/>
            </w:pPr>
            <w:r/>
            <w:r>
              <w:rPr>
                <w:rFonts w:ascii="Arial" w:hAnsi="Arial"/>
                <w:b w:val="0"/>
                <w:sz w:val="17"/>
              </w:rPr>
              <w:t>Enables buyout liquidity for stakeholders who contributed assets/labor.</w:t>
            </w:r>
          </w:p>
        </w:tc>
      </w:tr>
      <w:tr>
        <w:tc>
          <w:tcPr>
            <w:tcW w:type="dxa" w:w="2160"/>
            <w:vAlign w:val="top"/>
          </w:tcPr>
          <w:p>
            <w:pPr>
              <w:spacing w:after="0"/>
            </w:pPr>
            <w:r/>
            <w:r>
              <w:rPr>
                <w:rFonts w:ascii="Arial" w:hAnsi="Arial"/>
                <w:b w:val="0"/>
                <w:sz w:val="17"/>
              </w:rPr>
              <w:t>Projected economics</w:t>
            </w:r>
          </w:p>
        </w:tc>
        <w:tc>
          <w:tcPr>
            <w:tcW w:type="dxa" w:w="3024"/>
            <w:vAlign w:val="top"/>
          </w:tcPr>
          <w:p>
            <w:pPr>
              <w:spacing w:after="0"/>
            </w:pPr>
            <w:r/>
            <w:r>
              <w:rPr>
                <w:rFonts w:ascii="Arial" w:hAnsi="Arial"/>
                <w:b w:val="0"/>
                <w:sz w:val="17"/>
              </w:rPr>
              <w:t>Tariff, expected E_gen, expected E_sold, target utilization, projected monthly gross revenue, payout pool, projected payback range.</w:t>
            </w:r>
          </w:p>
        </w:tc>
        <w:tc>
          <w:tcPr>
            <w:tcW w:type="dxa" w:w="3600"/>
            <w:vAlign w:val="top"/>
          </w:tcPr>
          <w:p>
            <w:pPr>
              <w:spacing w:after="0"/>
            </w:pPr>
            <w:r/>
            <w:r>
              <w:rPr>
                <w:rFonts w:ascii="Arial" w:hAnsi="Arial"/>
                <w:b w:val="0"/>
                <w:sz w:val="17"/>
              </w:rPr>
              <w:t>Finance app needs returns, but ranges must be conservative.</w:t>
            </w:r>
          </w:p>
        </w:tc>
      </w:tr>
      <w:tr>
        <w:tc>
          <w:tcPr>
            <w:tcW w:type="dxa" w:w="2160"/>
            <w:vAlign w:val="top"/>
          </w:tcPr>
          <w:p>
            <w:pPr>
              <w:spacing w:after="0"/>
            </w:pPr>
            <w:r/>
            <w:r>
              <w:rPr>
                <w:rFonts w:ascii="Arial" w:hAnsi="Arial"/>
                <w:b w:val="0"/>
                <w:sz w:val="17"/>
              </w:rPr>
              <w:t>Risk badge</w:t>
            </w:r>
          </w:p>
        </w:tc>
        <w:tc>
          <w:tcPr>
            <w:tcW w:type="dxa" w:w="3024"/>
            <w:vAlign w:val="top"/>
          </w:tcPr>
          <w:p>
            <w:pPr>
              <w:spacing w:after="0"/>
            </w:pPr>
            <w:r/>
            <w:r>
              <w:rPr>
                <w:rFonts w:ascii="Arial" w:hAnsi="Arial"/>
                <w:b w:val="0"/>
                <w:sz w:val="17"/>
              </w:rPr>
              <w:t>Pre-live, live expansion, low demand, high utilization, data quality, hardware complexity, regulatory dependency, currency risk.</w:t>
            </w:r>
          </w:p>
        </w:tc>
        <w:tc>
          <w:tcPr>
            <w:tcW w:type="dxa" w:w="3600"/>
            <w:vAlign w:val="top"/>
          </w:tcPr>
          <w:p>
            <w:pPr>
              <w:spacing w:after="0"/>
            </w:pPr>
            <w:r/>
            <w:r>
              <w:rPr>
                <w:rFonts w:ascii="Arial" w:hAnsi="Arial"/>
                <w:b w:val="0"/>
                <w:sz w:val="17"/>
              </w:rPr>
              <w:t>Prevents the marketplace from becoming pure hype.</w:t>
            </w:r>
          </w:p>
        </w:tc>
      </w:tr>
      <w:tr>
        <w:tc>
          <w:tcPr>
            <w:tcW w:type="dxa" w:w="2160"/>
            <w:vAlign w:val="top"/>
          </w:tcPr>
          <w:p>
            <w:pPr>
              <w:spacing w:after="0"/>
            </w:pPr>
            <w:r/>
            <w:r>
              <w:rPr>
                <w:rFonts w:ascii="Arial" w:hAnsi="Arial"/>
                <w:b w:val="0"/>
                <w:sz w:val="17"/>
              </w:rPr>
              <w:t>Instrument type</w:t>
            </w:r>
          </w:p>
        </w:tc>
        <w:tc>
          <w:tcPr>
            <w:tcW w:type="dxa" w:w="3024"/>
            <w:vAlign w:val="top"/>
          </w:tcPr>
          <w:p>
            <w:pPr>
              <w:spacing w:after="0"/>
            </w:pPr>
            <w:r/>
            <w:r>
              <w:rPr>
                <w:rFonts w:ascii="Arial" w:hAnsi="Arial"/>
                <w:b w:val="0"/>
                <w:sz w:val="17"/>
              </w:rPr>
              <w:t>Infrastructure share, array share, buyout claim, revenue-share note, expansion tranche, portfolio allocation.</w:t>
            </w:r>
          </w:p>
        </w:tc>
        <w:tc>
          <w:tcPr>
            <w:tcW w:type="dxa" w:w="3600"/>
            <w:vAlign w:val="top"/>
          </w:tcPr>
          <w:p>
            <w:pPr>
              <w:spacing w:after="0"/>
            </w:pPr>
            <w:r/>
            <w:r>
              <w:rPr>
                <w:rFonts w:ascii="Arial" w:hAnsi="Arial"/>
                <w:b w:val="0"/>
                <w:sz w:val="17"/>
              </w:rPr>
              <w:t>Clarifies what the financier would own.</w:t>
            </w:r>
          </w:p>
        </w:tc>
      </w:tr>
      <w:tr>
        <w:tc>
          <w:tcPr>
            <w:tcW w:type="dxa" w:w="2160"/>
            <w:vAlign w:val="top"/>
          </w:tcPr>
          <w:p>
            <w:pPr>
              <w:spacing w:after="0"/>
            </w:pPr>
            <w:r/>
            <w:r>
              <w:rPr>
                <w:rFonts w:ascii="Arial" w:hAnsi="Arial"/>
                <w:b w:val="0"/>
                <w:sz w:val="17"/>
              </w:rPr>
              <w:t>Eligibility state</w:t>
            </w:r>
          </w:p>
        </w:tc>
        <w:tc>
          <w:tcPr>
            <w:tcW w:type="dxa" w:w="3024"/>
            <w:vAlign w:val="top"/>
          </w:tcPr>
          <w:p>
            <w:pPr>
              <w:spacing w:after="0"/>
            </w:pPr>
            <w:r/>
            <w:r>
              <w:rPr>
                <w:rFonts w:ascii="Arial" w:hAnsi="Arial"/>
                <w:b w:val="0"/>
                <w:sz w:val="17"/>
              </w:rPr>
              <w:t>Invest now, watch only, documents needed, limit reached, restricted jurisdiction.</w:t>
            </w:r>
          </w:p>
        </w:tc>
        <w:tc>
          <w:tcPr>
            <w:tcW w:type="dxa" w:w="3600"/>
            <w:vAlign w:val="top"/>
          </w:tcPr>
          <w:p>
            <w:pPr>
              <w:spacing w:after="0"/>
            </w:pPr>
            <w:r/>
            <w:r>
              <w:rPr>
                <w:rFonts w:ascii="Arial" w:hAnsi="Arial"/>
                <w:b w:val="0"/>
                <w:sz w:val="17"/>
              </w:rPr>
              <w:t>Compliance gating must be visible and non-negotiable.</w:t>
            </w:r>
          </w:p>
        </w:tc>
      </w:tr>
    </w:tbl>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Discover rule</w:t>
            </w:r>
          </w:p>
          <w:p>
            <w:pPr>
              <w:spacing w:after="0"/>
            </w:pPr>
            <w:r>
              <w:rPr>
                <w:rFonts w:ascii="Arial" w:hAnsi="Arial"/>
                <w:sz w:val="18"/>
              </w:rPr>
              <w:t>A financier should be able to discover many projects, but the app should never show an ineligible project as investable. If the product is not legally available to that user, show education/watchlist only or hide the offer entirely depending on compliance guidance.</w:t>
            </w:r>
          </w:p>
        </w:tc>
      </w:tr>
    </w:tbl>
    <w:p/>
    <w:p>
      <w:pPr>
        <w:pStyle w:val="Heading1"/>
      </w:pPr>
      <w:r>
        <w:rPr>
          <w:rFonts w:ascii="Arial" w:hAnsi="Arial"/>
          <w:sz w:val="20"/>
        </w:rPr>
        <w:t>8. Project Detail Page</w:t>
      </w:r>
    </w:p>
    <w:tbl>
      <w:tblPr>
        <w:tblStyle w:val="TableGrid"/>
        <w:tblW w:type="auto" w:w="0"/>
        <w:jc w:val="center"/>
        <w:tblLook w:firstColumn="1" w:firstRow="1" w:lastColumn="0" w:lastRow="0" w:noHBand="0" w:noVBand="1" w:val="04A0"/>
      </w:tblPr>
      <w:tblGrid>
        <w:gridCol w:w="5112"/>
        <w:gridCol w:w="5112"/>
      </w:tblGrid>
      <w:tr>
        <w:tc>
          <w:tcPr>
            <w:tcW w:type="dxa" w:w="2304"/>
            <w:shd w:fill="EDEDED"/>
            <w:vAlign w:val="center"/>
          </w:tcPr>
          <w:p>
            <w:pPr>
              <w:spacing w:after="0"/>
            </w:pPr>
            <w:r/>
            <w:r>
              <w:rPr>
                <w:rFonts w:ascii="Arial" w:hAnsi="Arial"/>
                <w:b/>
                <w:sz w:val="17"/>
              </w:rPr>
              <w:t>Section</w:t>
            </w:r>
          </w:p>
        </w:tc>
        <w:tc>
          <w:tcPr>
            <w:tcW w:type="dxa" w:w="7776"/>
            <w:shd w:fill="EDEDED"/>
            <w:vAlign w:val="center"/>
          </w:tcPr>
          <w:p>
            <w:pPr>
              <w:spacing w:after="0"/>
            </w:pPr>
            <w:r/>
            <w:r>
              <w:rPr>
                <w:rFonts w:ascii="Arial" w:hAnsi="Arial"/>
                <w:b/>
                <w:sz w:val="17"/>
              </w:rPr>
              <w:t>Contents</w:t>
            </w:r>
          </w:p>
        </w:tc>
      </w:tr>
      <w:tr>
        <w:tc>
          <w:tcPr>
            <w:tcW w:type="dxa" w:w="2304"/>
            <w:vAlign w:val="top"/>
          </w:tcPr>
          <w:p>
            <w:pPr>
              <w:spacing w:after="0"/>
            </w:pPr>
            <w:r/>
            <w:r>
              <w:rPr>
                <w:rFonts w:ascii="Arial" w:hAnsi="Arial"/>
                <w:b w:val="0"/>
                <w:sz w:val="17"/>
              </w:rPr>
              <w:t>Hero</w:t>
            </w:r>
          </w:p>
        </w:tc>
        <w:tc>
          <w:tcPr>
            <w:tcW w:type="dxa" w:w="7776"/>
            <w:vAlign w:val="top"/>
          </w:tcPr>
          <w:p>
            <w:pPr>
              <w:spacing w:after="0"/>
            </w:pPr>
            <w:r/>
            <w:r>
              <w:rPr>
                <w:rFonts w:ascii="Arial" w:hAnsi="Arial"/>
                <w:b w:val="0"/>
                <w:sz w:val="17"/>
              </w:rPr>
              <w:t>Project image, type, region, legal availability, DRS/LBRS state, total project value, capital raised, funding gap, target timeline.</w:t>
            </w:r>
          </w:p>
        </w:tc>
      </w:tr>
      <w:tr>
        <w:tc>
          <w:tcPr>
            <w:tcW w:type="dxa" w:w="2304"/>
            <w:vAlign w:val="top"/>
          </w:tcPr>
          <w:p>
            <w:pPr>
              <w:spacing w:after="0"/>
            </w:pPr>
            <w:r/>
            <w:r>
              <w:rPr>
                <w:rFonts w:ascii="Arial" w:hAnsi="Arial"/>
                <w:b w:val="0"/>
                <w:sz w:val="17"/>
              </w:rPr>
              <w:t>Funding stack</w:t>
            </w:r>
          </w:p>
        </w:tc>
        <w:tc>
          <w:tcPr>
            <w:tcW w:type="dxa" w:w="7776"/>
            <w:vAlign w:val="top"/>
          </w:tcPr>
          <w:p>
            <w:pPr>
              <w:spacing w:after="0"/>
            </w:pPr>
            <w:r/>
            <w:r>
              <w:rPr>
                <w:rFonts w:ascii="Arial" w:hAnsi="Arial"/>
                <w:b w:val="0"/>
                <w:sz w:val="17"/>
              </w:rPr>
              <w:t>Provider contribution, supplier equipment, electrician labor, existing financiers, owner/homeowner participation, remaining gap, escrow status.</w:t>
            </w:r>
          </w:p>
        </w:tc>
      </w:tr>
      <w:tr>
        <w:tc>
          <w:tcPr>
            <w:tcW w:type="dxa" w:w="2304"/>
            <w:vAlign w:val="top"/>
          </w:tcPr>
          <w:p>
            <w:pPr>
              <w:spacing w:after="0"/>
            </w:pPr>
            <w:r/>
            <w:r>
              <w:rPr>
                <w:rFonts w:ascii="Arial" w:hAnsi="Arial"/>
                <w:b w:val="0"/>
                <w:sz w:val="17"/>
              </w:rPr>
              <w:t>Use of funds</w:t>
            </w:r>
          </w:p>
        </w:tc>
        <w:tc>
          <w:tcPr>
            <w:tcW w:type="dxa" w:w="7776"/>
            <w:vAlign w:val="top"/>
          </w:tcPr>
          <w:p>
            <w:pPr>
              <w:spacing w:after="0"/>
            </w:pPr>
            <w:r/>
            <w:r>
              <w:rPr>
                <w:rFonts w:ascii="Arial" w:hAnsi="Arial"/>
                <w:b w:val="0"/>
                <w:sz w:val="17"/>
              </w:rPr>
              <w:t>Exactly what the financier’s capital funds: battery, inverter, ATS, meters, Solar DB, panels, cable, labor, logistics, expansion, buyout.</w:t>
            </w:r>
          </w:p>
        </w:tc>
      </w:tr>
      <w:tr>
        <w:tc>
          <w:tcPr>
            <w:tcW w:type="dxa" w:w="2304"/>
            <w:vAlign w:val="top"/>
          </w:tcPr>
          <w:p>
            <w:pPr>
              <w:spacing w:after="0"/>
            </w:pPr>
            <w:r/>
            <w:r>
              <w:rPr>
                <w:rFonts w:ascii="Arial" w:hAnsi="Arial"/>
                <w:b w:val="0"/>
                <w:sz w:val="17"/>
              </w:rPr>
              <w:t>Asset rights</w:t>
            </w:r>
          </w:p>
        </w:tc>
        <w:tc>
          <w:tcPr>
            <w:tcW w:type="dxa" w:w="7776"/>
            <w:vAlign w:val="top"/>
          </w:tcPr>
          <w:p>
            <w:pPr>
              <w:spacing w:after="0"/>
            </w:pPr>
            <w:r/>
            <w:r>
              <w:rPr>
                <w:rFonts w:ascii="Arial" w:hAnsi="Arial"/>
                <w:b w:val="0"/>
                <w:sz w:val="17"/>
              </w:rPr>
              <w:t>What the financier owns or claims: infrastructure pool %, provider pool %, buyout claim, note, lease receivable, or tranche claim.</w:t>
            </w:r>
          </w:p>
        </w:tc>
      </w:tr>
      <w:tr>
        <w:tc>
          <w:tcPr>
            <w:tcW w:type="dxa" w:w="2304"/>
            <w:vAlign w:val="top"/>
          </w:tcPr>
          <w:p>
            <w:pPr>
              <w:spacing w:after="0"/>
            </w:pPr>
            <w:r/>
            <w:r>
              <w:rPr>
                <w:rFonts w:ascii="Arial" w:hAnsi="Arial"/>
                <w:b w:val="0"/>
                <w:sz w:val="17"/>
              </w:rPr>
              <w:t>Readiness summary</w:t>
            </w:r>
          </w:p>
        </w:tc>
        <w:tc>
          <w:tcPr>
            <w:tcW w:type="dxa" w:w="7776"/>
            <w:vAlign w:val="top"/>
          </w:tcPr>
          <w:p>
            <w:pPr>
              <w:spacing w:after="0"/>
            </w:pPr>
            <w:r/>
            <w:r>
              <w:rPr>
                <w:rFonts w:ascii="Arial" w:hAnsi="Arial"/>
                <w:b w:val="0"/>
                <w:sz w:val="17"/>
              </w:rPr>
              <w:t>DRS categories, blockers, what happens if this financing is completed, and what remains after capital is committed.</w:t>
            </w:r>
          </w:p>
        </w:tc>
      </w:tr>
      <w:tr>
        <w:tc>
          <w:tcPr>
            <w:tcW w:type="dxa" w:w="2304"/>
            <w:vAlign w:val="top"/>
          </w:tcPr>
          <w:p>
            <w:pPr>
              <w:spacing w:after="0"/>
            </w:pPr>
            <w:r/>
            <w:r>
              <w:rPr>
                <w:rFonts w:ascii="Arial" w:hAnsi="Arial"/>
                <w:b w:val="0"/>
                <w:sz w:val="17"/>
              </w:rPr>
              <w:t>Demand and capacity</w:t>
            </w:r>
          </w:p>
        </w:tc>
        <w:tc>
          <w:tcPr>
            <w:tcW w:type="dxa" w:w="7776"/>
            <w:vAlign w:val="top"/>
          </w:tcPr>
          <w:p>
            <w:pPr>
              <w:spacing w:after="0"/>
            </w:pPr>
            <w:r/>
            <w:r>
              <w:rPr>
                <w:rFonts w:ascii="Arial" w:hAnsi="Arial"/>
                <w:b w:val="0"/>
                <w:sz w:val="17"/>
              </w:rPr>
              <w:t>Resident pledges/load confidence for apartments, homeowner load fit, waitlist/expansion demand, projected utilization and sensitivity.</w:t>
            </w:r>
          </w:p>
        </w:tc>
      </w:tr>
      <w:tr>
        <w:tc>
          <w:tcPr>
            <w:tcW w:type="dxa" w:w="2304"/>
            <w:vAlign w:val="top"/>
          </w:tcPr>
          <w:p>
            <w:pPr>
              <w:spacing w:after="0"/>
            </w:pPr>
            <w:r/>
            <w:r>
              <w:rPr>
                <w:rFonts w:ascii="Arial" w:hAnsi="Arial"/>
                <w:b w:val="0"/>
                <w:sz w:val="17"/>
              </w:rPr>
              <w:t>Projected returns</w:t>
            </w:r>
          </w:p>
        </w:tc>
        <w:tc>
          <w:tcPr>
            <w:tcW w:type="dxa" w:w="7776"/>
            <w:vAlign w:val="top"/>
          </w:tcPr>
          <w:p>
            <w:pPr>
              <w:spacing w:after="0"/>
            </w:pPr>
            <w:r/>
            <w:r>
              <w:rPr>
                <w:rFonts w:ascii="Arial" w:hAnsi="Arial"/>
                <w:b w:val="0"/>
                <w:sz w:val="17"/>
              </w:rPr>
              <w:t>Monthly revenue range, payback range, downside/base/upside scenarios, utilization assumptions, downtime assumptions, reserve deductions.</w:t>
            </w:r>
          </w:p>
        </w:tc>
      </w:tr>
      <w:tr>
        <w:tc>
          <w:tcPr>
            <w:tcW w:type="dxa" w:w="2304"/>
            <w:vAlign w:val="top"/>
          </w:tcPr>
          <w:p>
            <w:pPr>
              <w:spacing w:after="0"/>
            </w:pPr>
            <w:r/>
            <w:r>
              <w:rPr>
                <w:rFonts w:ascii="Arial" w:hAnsi="Arial"/>
                <w:b w:val="0"/>
                <w:sz w:val="17"/>
              </w:rPr>
              <w:t>Risk disclosures</w:t>
            </w:r>
          </w:p>
        </w:tc>
        <w:tc>
          <w:tcPr>
            <w:tcW w:type="dxa" w:w="7776"/>
            <w:vAlign w:val="top"/>
          </w:tcPr>
          <w:p>
            <w:pPr>
              <w:spacing w:after="0"/>
            </w:pPr>
            <w:r/>
            <w:r>
              <w:rPr>
                <w:rFonts w:ascii="Arial" w:hAnsi="Arial"/>
                <w:b w:val="0"/>
                <w:sz w:val="17"/>
              </w:rPr>
              <w:t>No guarantee, illiquidity, construction risk, utilization risk, hardware risk, regulatory risk, data risk, currency risk, counterparty risk.</w:t>
            </w:r>
          </w:p>
        </w:tc>
      </w:tr>
      <w:tr>
        <w:tc>
          <w:tcPr>
            <w:tcW w:type="dxa" w:w="2304"/>
            <w:vAlign w:val="top"/>
          </w:tcPr>
          <w:p>
            <w:pPr>
              <w:spacing w:after="0"/>
            </w:pPr>
            <w:r/>
            <w:r>
              <w:rPr>
                <w:rFonts w:ascii="Arial" w:hAnsi="Arial"/>
                <w:b w:val="0"/>
                <w:sz w:val="17"/>
              </w:rPr>
              <w:t>Documents</w:t>
            </w:r>
          </w:p>
        </w:tc>
        <w:tc>
          <w:tcPr>
            <w:tcW w:type="dxa" w:w="7776"/>
            <w:vAlign w:val="top"/>
          </w:tcPr>
          <w:p>
            <w:pPr>
              <w:spacing w:after="0"/>
            </w:pPr>
            <w:r/>
            <w:r>
              <w:rPr>
                <w:rFonts w:ascii="Arial" w:hAnsi="Arial"/>
                <w:b w:val="0"/>
                <w:sz w:val="17"/>
              </w:rPr>
              <w:t>Term sheet, waterfall, valuation, project budget, contracts, warranties, inspection reports, disclosures, legal entity/SPV info if used.</w:t>
            </w:r>
          </w:p>
        </w:tc>
      </w:tr>
      <w:tr>
        <w:tc>
          <w:tcPr>
            <w:tcW w:type="dxa" w:w="2304"/>
            <w:vAlign w:val="top"/>
          </w:tcPr>
          <w:p>
            <w:pPr>
              <w:spacing w:after="0"/>
            </w:pPr>
            <w:r/>
            <w:r>
              <w:rPr>
                <w:rFonts w:ascii="Arial" w:hAnsi="Arial"/>
                <w:b w:val="0"/>
                <w:sz w:val="17"/>
              </w:rPr>
              <w:t>Commit CTA</w:t>
            </w:r>
          </w:p>
        </w:tc>
        <w:tc>
          <w:tcPr>
            <w:tcW w:type="dxa" w:w="7776"/>
            <w:vAlign w:val="top"/>
          </w:tcPr>
          <w:p>
            <w:pPr>
              <w:spacing w:after="0"/>
            </w:pPr>
            <w:r/>
            <w:r>
              <w:rPr>
                <w:rFonts w:ascii="Arial" w:hAnsi="Arial"/>
                <w:b w:val="0"/>
                <w:sz w:val="17"/>
              </w:rPr>
              <w:t>Invest / commit / reserve / buy out claim / join waitlist / watch only, based on eligibility.</w:t>
            </w:r>
          </w:p>
        </w:tc>
      </w:tr>
    </w:tbl>
    <w:p/>
    <w:p>
      <w:pPr>
        <w:pStyle w:val="Heading1"/>
      </w:pPr>
      <w:r>
        <w:rPr>
          <w:rFonts w:ascii="Arial" w:hAnsi="Arial"/>
          <w:sz w:val="20"/>
        </w:rPr>
        <w:t>9. Commit Flow</w:t>
      </w:r>
    </w:p>
    <w:p>
      <w:pPr>
        <w:spacing w:after="120"/>
      </w:pPr>
      <w:r>
        <w:rPr>
          <w:rFonts w:ascii="Arial" w:hAnsi="Arial"/>
          <w:sz w:val="20"/>
        </w:rPr>
        <w:t>Commitment must not be a casual tap. It should create legal, economic, and operational consequences. A soft expression of interest can help e.mappa measure investor demand, but it should not increase DRS. DRS should increase only when the capital is actually committed under binding terms and release rules.</w:t>
      </w:r>
    </w:p>
    <w:p>
      <w:pPr>
        <w:pStyle w:val="ListNumber"/>
        <w:spacing w:after="40"/>
      </w:pPr>
      <w:r>
        <w:rPr>
          <w:rFonts w:ascii="Arial" w:hAnsi="Arial"/>
          <w:sz w:val="20"/>
        </w:rPr>
        <w:t>Tap Invest, Commit, or Buy Out Claim from an eligible project detail page.</w:t>
      </w:r>
    </w:p>
    <w:p>
      <w:pPr>
        <w:pStyle w:val="ListNumber"/>
        <w:spacing w:after="40"/>
      </w:pPr>
      <w:r>
        <w:rPr>
          <w:rFonts w:ascii="Arial" w:hAnsi="Arial"/>
          <w:sz w:val="20"/>
        </w:rPr>
        <w:t>Select instrument: infrastructure share, array/generation share, supplier-as-a-service buyout, electrician labor-as-capital buyout, expansion tranche, or portfolio allocation.</w:t>
      </w:r>
    </w:p>
    <w:p>
      <w:pPr>
        <w:pStyle w:val="ListNumber"/>
        <w:spacing w:after="40"/>
      </w:pPr>
      <w:r>
        <w:rPr>
          <w:rFonts w:ascii="Arial" w:hAnsi="Arial"/>
          <w:sz w:val="20"/>
        </w:rPr>
        <w:t>Enter amount or select full funding gap. The app checks user limits, project limits, jurisdiction, concentration risk, and minimum/maximum ticket size.</w:t>
      </w:r>
    </w:p>
    <w:p>
      <w:pPr>
        <w:pStyle w:val="ListNumber"/>
        <w:spacing w:after="40"/>
      </w:pPr>
      <w:r>
        <w:rPr>
          <w:rFonts w:ascii="Arial" w:hAnsi="Arial"/>
          <w:sz w:val="20"/>
        </w:rPr>
        <w:t>Review use of funds, asset claim, payout pool, waterfall priority, projected returns, payback scenarios, fees, reserve, and risk factors.</w:t>
      </w:r>
    </w:p>
    <w:p>
      <w:pPr>
        <w:pStyle w:val="ListNumber"/>
        <w:spacing w:after="40"/>
      </w:pPr>
      <w:r>
        <w:rPr>
          <w:rFonts w:ascii="Arial" w:hAnsi="Arial"/>
          <w:sz w:val="20"/>
        </w:rPr>
        <w:t>Review project documents, subscription/participation agreement, disclosures, conflicts, transfer restrictions, and no-guarantee acknowledgement.</w:t>
      </w:r>
    </w:p>
    <w:p>
      <w:pPr>
        <w:pStyle w:val="ListNumber"/>
        <w:spacing w:after="40"/>
      </w:pPr>
      <w:r>
        <w:rPr>
          <w:rFonts w:ascii="Arial" w:hAnsi="Arial"/>
          <w:sz w:val="20"/>
        </w:rPr>
        <w:t>Complete knowledge check for retail users or complex products: what creates payout, what does not, what happens if utilization drops, what happens if LBRS fails.</w:t>
      </w:r>
    </w:p>
    <w:p>
      <w:pPr>
        <w:pStyle w:val="ListNumber"/>
        <w:spacing w:after="40"/>
      </w:pPr>
      <w:r>
        <w:rPr>
          <w:rFonts w:ascii="Arial" w:hAnsi="Arial"/>
          <w:sz w:val="20"/>
        </w:rPr>
        <w:t>Authorize payment to escrow/custody or approved settlement account. Funds are marked reserved/escrowed, not yet released to project spending unless release conditions are met.</w:t>
      </w:r>
    </w:p>
    <w:p>
      <w:pPr>
        <w:pStyle w:val="ListNumber"/>
        <w:spacing w:after="40"/>
      </w:pPr>
      <w:r>
        <w:rPr>
          <w:rFonts w:ascii="Arial" w:hAnsi="Arial"/>
          <w:sz w:val="20"/>
        </w:rPr>
        <w:t>Commitment becomes valid after payment confirmation, compliance checks, cooling-off/withdrawal window if applicable, and project acceptance.</w:t>
      </w:r>
    </w:p>
    <w:p>
      <w:pPr>
        <w:pStyle w:val="ListNumber"/>
        <w:spacing w:after="40"/>
      </w:pPr>
      <w:r>
        <w:rPr>
          <w:rFonts w:ascii="Arial" w:hAnsi="Arial"/>
          <w:sz w:val="20"/>
        </w:rPr>
        <w:t>DRS updates only when the commitment is legally valid and available for project deployment. Soft interest, failed payments, or pending KYC do not count.</w:t>
      </w:r>
    </w:p>
    <w:p>
      <w:pPr>
        <w:pStyle w:val="ListNumber"/>
        <w:spacing w:after="40"/>
      </w:pPr>
      <w:r>
        <w:rPr>
          <w:rFonts w:ascii="Arial" w:hAnsi="Arial"/>
          <w:sz w:val="20"/>
        </w:rPr>
        <w:t>Project appears in Project Status with capital status, DRS effect, release schedule, rights, and next milestones.</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Capital effect rule</w:t>
            </w:r>
          </w:p>
          <w:p>
            <w:pPr>
              <w:spacing w:after="0"/>
            </w:pPr>
            <w:r>
              <w:rPr>
                <w:rFonts w:ascii="Arial" w:hAnsi="Arial"/>
                <w:sz w:val="18"/>
              </w:rPr>
              <w:t>A financier commitment should move DRS only to the extent it solves a real readiness gate. Example: funding the missing battery and labor escrow may move hardware and electrician-payment gates; investing in a project whose demand proof is still weak should not make DRS 100%.</w:t>
            </w:r>
          </w:p>
        </w:tc>
      </w:tr>
    </w:tbl>
    <w:p/>
    <w:p>
      <w:pPr>
        <w:pStyle w:val="Heading1"/>
      </w:pPr>
      <w:r>
        <w:rPr>
          <w:rFonts w:ascii="Arial" w:hAnsi="Arial"/>
          <w:sz w:val="20"/>
        </w:rPr>
        <w:t>10. DRS Responsibilities and Capital Readiness</w:t>
      </w:r>
    </w:p>
    <w:p>
      <w:pPr>
        <w:spacing w:after="120"/>
      </w:pPr>
      <w:r>
        <w:rPr>
          <w:rFonts w:ascii="Arial" w:hAnsi="Arial"/>
          <w:sz w:val="20"/>
        </w:rPr>
        <w:t>Financier capital is one DRS input, not the whole DRS. A project can be fully funded but still not deployment-ready if owner access, demand proof, electrician availability, hardware package, compliance, or contracts are incomplete.</w:t>
      </w:r>
    </w:p>
    <w:tbl>
      <w:tblPr>
        <w:tblStyle w:val="TableGrid"/>
        <w:tblW w:type="auto" w:w="0"/>
        <w:jc w:val="center"/>
        <w:tblLook w:firstColumn="1" w:firstRow="1" w:lastColumn="0" w:lastRow="0" w:noHBand="0" w:noVBand="1" w:val="04A0"/>
      </w:tblPr>
      <w:tblGrid>
        <w:gridCol w:w="3408"/>
        <w:gridCol w:w="3408"/>
        <w:gridCol w:w="3408"/>
      </w:tblGrid>
      <w:tr>
        <w:tc>
          <w:tcPr>
            <w:tcW w:type="dxa" w:w="2304"/>
            <w:shd w:fill="EDEDED"/>
            <w:vAlign w:val="center"/>
          </w:tcPr>
          <w:p>
            <w:pPr>
              <w:spacing w:after="0"/>
            </w:pPr>
            <w:r/>
            <w:r>
              <w:rPr>
                <w:rFonts w:ascii="Arial" w:hAnsi="Arial"/>
                <w:b/>
                <w:sz w:val="17"/>
              </w:rPr>
              <w:t>DRS area</w:t>
            </w:r>
          </w:p>
        </w:tc>
        <w:tc>
          <w:tcPr>
            <w:tcW w:type="dxa" w:w="3888"/>
            <w:shd w:fill="EDEDED"/>
            <w:vAlign w:val="center"/>
          </w:tcPr>
          <w:p>
            <w:pPr>
              <w:spacing w:after="0"/>
            </w:pPr>
            <w:r/>
            <w:r>
              <w:rPr>
                <w:rFonts w:ascii="Arial" w:hAnsi="Arial"/>
                <w:b/>
                <w:sz w:val="17"/>
              </w:rPr>
              <w:t>What financier can improve</w:t>
            </w:r>
          </w:p>
        </w:tc>
        <w:tc>
          <w:tcPr>
            <w:tcW w:type="dxa" w:w="3888"/>
            <w:shd w:fill="EDEDED"/>
            <w:vAlign w:val="center"/>
          </w:tcPr>
          <w:p>
            <w:pPr>
              <w:spacing w:after="0"/>
            </w:pPr>
            <w:r/>
            <w:r>
              <w:rPr>
                <w:rFonts w:ascii="Arial" w:hAnsi="Arial"/>
                <w:b/>
                <w:sz w:val="17"/>
              </w:rPr>
              <w:t>What financier cannot bypass</w:t>
            </w:r>
          </w:p>
        </w:tc>
      </w:tr>
      <w:tr>
        <w:tc>
          <w:tcPr>
            <w:tcW w:type="dxa" w:w="2304"/>
            <w:vAlign w:val="top"/>
          </w:tcPr>
          <w:p>
            <w:pPr>
              <w:spacing w:after="0"/>
            </w:pPr>
            <w:r/>
            <w:r>
              <w:rPr>
                <w:rFonts w:ascii="Arial" w:hAnsi="Arial"/>
                <w:b w:val="0"/>
                <w:sz w:val="17"/>
              </w:rPr>
              <w:t>Hardware package</w:t>
            </w:r>
          </w:p>
        </w:tc>
        <w:tc>
          <w:tcPr>
            <w:tcW w:type="dxa" w:w="3888"/>
            <w:vAlign w:val="top"/>
          </w:tcPr>
          <w:p>
            <w:pPr>
              <w:spacing w:after="0"/>
            </w:pPr>
            <w:r/>
            <w:r>
              <w:rPr>
                <w:rFonts w:ascii="Arial" w:hAnsi="Arial"/>
                <w:b w:val="0"/>
                <w:sz w:val="17"/>
              </w:rPr>
              <w:t>Fund missing inverter, battery, ATS, meters, Solar DB, cables, panels, monitoring, logistics.</w:t>
            </w:r>
          </w:p>
        </w:tc>
        <w:tc>
          <w:tcPr>
            <w:tcW w:type="dxa" w:w="3888"/>
            <w:vAlign w:val="top"/>
          </w:tcPr>
          <w:p>
            <w:pPr>
              <w:spacing w:after="0"/>
            </w:pPr>
            <w:r/>
            <w:r>
              <w:rPr>
                <w:rFonts w:ascii="Arial" w:hAnsi="Arial"/>
                <w:b w:val="0"/>
                <w:sz w:val="17"/>
              </w:rPr>
              <w:t>Component compatibility, e.mappa-approved specs, electrician verification.</w:t>
            </w:r>
          </w:p>
        </w:tc>
      </w:tr>
      <w:tr>
        <w:tc>
          <w:tcPr>
            <w:tcW w:type="dxa" w:w="2304"/>
            <w:vAlign w:val="top"/>
          </w:tcPr>
          <w:p>
            <w:pPr>
              <w:spacing w:after="0"/>
            </w:pPr>
            <w:r/>
            <w:r>
              <w:rPr>
                <w:rFonts w:ascii="Arial" w:hAnsi="Arial"/>
                <w:b w:val="0"/>
                <w:sz w:val="17"/>
              </w:rPr>
              <w:t>Stakeholder availability</w:t>
            </w:r>
          </w:p>
        </w:tc>
        <w:tc>
          <w:tcPr>
            <w:tcW w:type="dxa" w:w="3888"/>
            <w:vAlign w:val="top"/>
          </w:tcPr>
          <w:p>
            <w:pPr>
              <w:spacing w:after="0"/>
            </w:pPr>
            <w:r/>
            <w:r>
              <w:rPr>
                <w:rFonts w:ascii="Arial" w:hAnsi="Arial"/>
                <w:b w:val="0"/>
                <w:sz w:val="17"/>
              </w:rPr>
              <w:t>Buy out supplier/provider/electrician-as-a-service claims or fund upfront payments.</w:t>
            </w:r>
          </w:p>
        </w:tc>
        <w:tc>
          <w:tcPr>
            <w:tcW w:type="dxa" w:w="3888"/>
            <w:vAlign w:val="top"/>
          </w:tcPr>
          <w:p>
            <w:pPr>
              <w:spacing w:after="0"/>
            </w:pPr>
            <w:r/>
            <w:r>
              <w:rPr>
                <w:rFonts w:ascii="Arial" w:hAnsi="Arial"/>
                <w:b w:val="0"/>
                <w:sz w:val="17"/>
              </w:rPr>
              <w:t>Verification of those stakeholders or quality of their work.</w:t>
            </w:r>
          </w:p>
        </w:tc>
      </w:tr>
      <w:tr>
        <w:tc>
          <w:tcPr>
            <w:tcW w:type="dxa" w:w="2304"/>
            <w:vAlign w:val="top"/>
          </w:tcPr>
          <w:p>
            <w:pPr>
              <w:spacing w:after="0"/>
            </w:pPr>
            <w:r/>
            <w:r>
              <w:rPr>
                <w:rFonts w:ascii="Arial" w:hAnsi="Arial"/>
                <w:b w:val="0"/>
                <w:sz w:val="17"/>
              </w:rPr>
              <w:t>Capital completeness</w:t>
            </w:r>
          </w:p>
        </w:tc>
        <w:tc>
          <w:tcPr>
            <w:tcW w:type="dxa" w:w="3888"/>
            <w:vAlign w:val="top"/>
          </w:tcPr>
          <w:p>
            <w:pPr>
              <w:spacing w:after="0"/>
            </w:pPr>
            <w:r/>
            <w:r>
              <w:rPr>
                <w:rFonts w:ascii="Arial" w:hAnsi="Arial"/>
                <w:b w:val="0"/>
                <w:sz w:val="17"/>
              </w:rPr>
              <w:t>Close project budget gap and reserve escrow.</w:t>
            </w:r>
          </w:p>
        </w:tc>
        <w:tc>
          <w:tcPr>
            <w:tcW w:type="dxa" w:w="3888"/>
            <w:vAlign w:val="top"/>
          </w:tcPr>
          <w:p>
            <w:pPr>
              <w:spacing w:after="0"/>
            </w:pPr>
            <w:r/>
            <w:r>
              <w:rPr>
                <w:rFonts w:ascii="Arial" w:hAnsi="Arial"/>
                <w:b w:val="0"/>
                <w:sz w:val="17"/>
              </w:rPr>
              <w:t>Owner authority, site inspection, resident demand proof, safety review.</w:t>
            </w:r>
          </w:p>
        </w:tc>
      </w:tr>
      <w:tr>
        <w:tc>
          <w:tcPr>
            <w:tcW w:type="dxa" w:w="2304"/>
            <w:vAlign w:val="top"/>
          </w:tcPr>
          <w:p>
            <w:pPr>
              <w:spacing w:after="0"/>
            </w:pPr>
            <w:r/>
            <w:r>
              <w:rPr>
                <w:rFonts w:ascii="Arial" w:hAnsi="Arial"/>
                <w:b w:val="0"/>
                <w:sz w:val="17"/>
              </w:rPr>
              <w:t>Contracts and waterfall</w:t>
            </w:r>
          </w:p>
        </w:tc>
        <w:tc>
          <w:tcPr>
            <w:tcW w:type="dxa" w:w="3888"/>
            <w:vAlign w:val="top"/>
          </w:tcPr>
          <w:p>
            <w:pPr>
              <w:spacing w:after="0"/>
            </w:pPr>
            <w:r/>
            <w:r>
              <w:rPr>
                <w:rFonts w:ascii="Arial" w:hAnsi="Arial"/>
                <w:b w:val="0"/>
                <w:sz w:val="17"/>
              </w:rPr>
              <w:t>Accept terms, sign documents, establish payout pool and priority.</w:t>
            </w:r>
          </w:p>
        </w:tc>
        <w:tc>
          <w:tcPr>
            <w:tcW w:type="dxa" w:w="3888"/>
            <w:vAlign w:val="top"/>
          </w:tcPr>
          <w:p>
            <w:pPr>
              <w:spacing w:after="0"/>
            </w:pPr>
            <w:r/>
            <w:r>
              <w:rPr>
                <w:rFonts w:ascii="Arial" w:hAnsi="Arial"/>
                <w:b w:val="0"/>
                <w:sz w:val="17"/>
              </w:rPr>
              <w:t>Legal review, regulatory eligibility, proper disclosures.</w:t>
            </w:r>
          </w:p>
        </w:tc>
      </w:tr>
      <w:tr>
        <w:tc>
          <w:tcPr>
            <w:tcW w:type="dxa" w:w="2304"/>
            <w:vAlign w:val="top"/>
          </w:tcPr>
          <w:p>
            <w:pPr>
              <w:spacing w:after="0"/>
            </w:pPr>
            <w:r/>
            <w:r>
              <w:rPr>
                <w:rFonts w:ascii="Arial" w:hAnsi="Arial"/>
                <w:b w:val="0"/>
                <w:sz w:val="17"/>
              </w:rPr>
              <w:t>Demand readiness</w:t>
            </w:r>
          </w:p>
        </w:tc>
        <w:tc>
          <w:tcPr>
            <w:tcW w:type="dxa" w:w="3888"/>
            <w:vAlign w:val="top"/>
          </w:tcPr>
          <w:p>
            <w:pPr>
              <w:spacing w:after="0"/>
            </w:pPr>
            <w:r/>
            <w:r>
              <w:rPr>
                <w:rFonts w:ascii="Arial" w:hAnsi="Arial"/>
                <w:b w:val="0"/>
                <w:sz w:val="17"/>
              </w:rPr>
              <w:t>Fund expansion only when demand exists or help finance smaller phased system.</w:t>
            </w:r>
          </w:p>
        </w:tc>
        <w:tc>
          <w:tcPr>
            <w:tcW w:type="dxa" w:w="3888"/>
            <w:vAlign w:val="top"/>
          </w:tcPr>
          <w:p>
            <w:pPr>
              <w:spacing w:after="0"/>
            </w:pPr>
            <w:r/>
            <w:r>
              <w:rPr>
                <w:rFonts w:ascii="Arial" w:hAnsi="Arial"/>
                <w:b w:val="0"/>
                <w:sz w:val="17"/>
              </w:rPr>
              <w:t>Cannot make weak demand economically viable by adding more money.</w:t>
            </w:r>
          </w:p>
        </w:tc>
      </w:tr>
      <w:tr>
        <w:tc>
          <w:tcPr>
            <w:tcW w:type="dxa" w:w="2304"/>
            <w:vAlign w:val="top"/>
          </w:tcPr>
          <w:p>
            <w:pPr>
              <w:spacing w:after="0"/>
            </w:pPr>
            <w:r/>
            <w:r>
              <w:rPr>
                <w:rFonts w:ascii="Arial" w:hAnsi="Arial"/>
                <w:b w:val="0"/>
                <w:sz w:val="17"/>
              </w:rPr>
              <w:t>Compliance readiness</w:t>
            </w:r>
          </w:p>
        </w:tc>
        <w:tc>
          <w:tcPr>
            <w:tcW w:type="dxa" w:w="3888"/>
            <w:vAlign w:val="top"/>
          </w:tcPr>
          <w:p>
            <w:pPr>
              <w:spacing w:after="0"/>
            </w:pPr>
            <w:r/>
            <w:r>
              <w:rPr>
                <w:rFonts w:ascii="Arial" w:hAnsi="Arial"/>
                <w:b w:val="0"/>
                <w:sz w:val="17"/>
              </w:rPr>
              <w:t>Fund required meters, monitoring, safety upgrades, or audits.</w:t>
            </w:r>
          </w:p>
        </w:tc>
        <w:tc>
          <w:tcPr>
            <w:tcW w:type="dxa" w:w="3888"/>
            <w:vAlign w:val="top"/>
          </w:tcPr>
          <w:p>
            <w:pPr>
              <w:spacing w:after="0"/>
            </w:pPr>
            <w:r/>
            <w:r>
              <w:rPr>
                <w:rFonts w:ascii="Arial" w:hAnsi="Arial"/>
                <w:b w:val="0"/>
                <w:sz w:val="17"/>
              </w:rPr>
              <w:t>Cannot bypass regulatory, electrical, export/backfeed, or investor protection requirements.</w:t>
            </w:r>
          </w:p>
        </w:tc>
      </w:tr>
    </w:tbl>
    <w:p/>
    <w:p>
      <w:pPr>
        <w:pStyle w:val="Heading1"/>
      </w:pPr>
      <w:r>
        <w:rPr>
          <w:rFonts w:ascii="Arial" w:hAnsi="Arial"/>
          <w:sz w:val="20"/>
        </w:rPr>
        <w:t>11. LBRS and Go-Live Tracking for Financiers</w:t>
      </w:r>
    </w:p>
    <w:p>
      <w:pPr>
        <w:spacing w:after="120"/>
      </w:pPr>
      <w:r>
        <w:rPr>
          <w:rFonts w:ascii="Arial" w:hAnsi="Arial"/>
          <w:sz w:val="20"/>
        </w:rPr>
        <w:t>After installation, financiers need visibility into LBRS because their returns begin only after the project is live and monetized kWh flows through settlement. The financier does not need electrician-level controls, but they do need transparent launch blockers.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EDEDED"/>
            <w:vAlign w:val="center"/>
          </w:tcPr>
          <w:p>
            <w:pPr>
              <w:spacing w:after="0"/>
            </w:pPr>
            <w:r/>
            <w:r>
              <w:rPr>
                <w:rFonts w:ascii="Arial" w:hAnsi="Arial"/>
                <w:b/>
                <w:sz w:val="17"/>
              </w:rPr>
              <w:t>LBRS item</w:t>
            </w:r>
          </w:p>
        </w:tc>
        <w:tc>
          <w:tcPr>
            <w:tcW w:type="dxa" w:w="3744"/>
            <w:shd w:fill="EDEDED"/>
            <w:vAlign w:val="center"/>
          </w:tcPr>
          <w:p>
            <w:pPr>
              <w:spacing w:after="0"/>
            </w:pPr>
            <w:r/>
            <w:r>
              <w:rPr>
                <w:rFonts w:ascii="Arial" w:hAnsi="Arial"/>
                <w:b/>
                <w:sz w:val="17"/>
              </w:rPr>
              <w:t>Financier view</w:t>
            </w:r>
          </w:p>
        </w:tc>
        <w:tc>
          <w:tcPr>
            <w:tcW w:type="dxa" w:w="3744"/>
            <w:shd w:fill="EDEDED"/>
            <w:vAlign w:val="center"/>
          </w:tcPr>
          <w:p>
            <w:pPr>
              <w:spacing w:after="0"/>
            </w:pPr>
            <w:r/>
            <w:r>
              <w:rPr>
                <w:rFonts w:ascii="Arial" w:hAnsi="Arial"/>
                <w:b/>
                <w:sz w:val="17"/>
              </w:rPr>
              <w:t>Why it matters</w:t>
            </w:r>
          </w:p>
        </w:tc>
      </w:tr>
      <w:tr>
        <w:tc>
          <w:tcPr>
            <w:tcW w:type="dxa" w:w="2592"/>
            <w:vAlign w:val="top"/>
          </w:tcPr>
          <w:p>
            <w:pPr>
              <w:spacing w:after="0"/>
            </w:pPr>
            <w:r/>
            <w:r>
              <w:rPr>
                <w:rFonts w:ascii="Arial" w:hAnsi="Arial"/>
                <w:b w:val="0"/>
                <w:sz w:val="17"/>
              </w:rPr>
              <w:t>As-built/BOM verification</w:t>
            </w:r>
          </w:p>
        </w:tc>
        <w:tc>
          <w:tcPr>
            <w:tcW w:type="dxa" w:w="3744"/>
            <w:vAlign w:val="top"/>
          </w:tcPr>
          <w:p>
            <w:pPr>
              <w:spacing w:after="0"/>
            </w:pPr>
            <w:r/>
            <w:r>
              <w:rPr>
                <w:rFonts w:ascii="Arial" w:hAnsi="Arial"/>
                <w:b w:val="0"/>
                <w:sz w:val="17"/>
              </w:rPr>
              <w:t>Installed assets match the financed assets, serial numbers, quantities, warranty records, and approved design.</w:t>
            </w:r>
          </w:p>
        </w:tc>
        <w:tc>
          <w:tcPr>
            <w:tcW w:type="dxa" w:w="3744"/>
            <w:vAlign w:val="top"/>
          </w:tcPr>
          <w:p>
            <w:pPr>
              <w:spacing w:after="0"/>
            </w:pPr>
            <w:r/>
            <w:r>
              <w:rPr>
                <w:rFonts w:ascii="Arial" w:hAnsi="Arial"/>
                <w:b w:val="0"/>
                <w:sz w:val="17"/>
              </w:rPr>
              <w:t>Protects against misallocation of financed capital.</w:t>
            </w:r>
          </w:p>
        </w:tc>
      </w:tr>
      <w:tr>
        <w:tc>
          <w:tcPr>
            <w:tcW w:type="dxa" w:w="2592"/>
            <w:vAlign w:val="top"/>
          </w:tcPr>
          <w:p>
            <w:pPr>
              <w:spacing w:after="0"/>
            </w:pPr>
            <w:r/>
            <w:r>
              <w:rPr>
                <w:rFonts w:ascii="Arial" w:hAnsi="Arial"/>
                <w:b w:val="0"/>
                <w:sz w:val="17"/>
              </w:rPr>
              <w:t>Electrical safety</w:t>
            </w:r>
          </w:p>
        </w:tc>
        <w:tc>
          <w:tcPr>
            <w:tcW w:type="dxa" w:w="3744"/>
            <w:vAlign w:val="top"/>
          </w:tcPr>
          <w:p>
            <w:pPr>
              <w:spacing w:after="0"/>
            </w:pPr>
            <w:r/>
            <w:r>
              <w:rPr>
                <w:rFonts w:ascii="Arial" w:hAnsi="Arial"/>
                <w:b w:val="0"/>
                <w:sz w:val="17"/>
              </w:rPr>
              <w:t>Pass/fail state, not raw technical detail unless relevant.</w:t>
            </w:r>
          </w:p>
        </w:tc>
        <w:tc>
          <w:tcPr>
            <w:tcW w:type="dxa" w:w="3744"/>
            <w:vAlign w:val="top"/>
          </w:tcPr>
          <w:p>
            <w:pPr>
              <w:spacing w:after="0"/>
            </w:pPr>
            <w:r/>
            <w:r>
              <w:rPr>
                <w:rFonts w:ascii="Arial" w:hAnsi="Arial"/>
                <w:b w:val="0"/>
                <w:sz w:val="17"/>
              </w:rPr>
              <w:t>No safe system means no live revenue.</w:t>
            </w:r>
          </w:p>
        </w:tc>
      </w:tr>
      <w:tr>
        <w:tc>
          <w:tcPr>
            <w:tcW w:type="dxa" w:w="2592"/>
            <w:vAlign w:val="top"/>
          </w:tcPr>
          <w:p>
            <w:pPr>
              <w:spacing w:after="0"/>
            </w:pPr>
            <w:r/>
            <w:r>
              <w:rPr>
                <w:rFonts w:ascii="Arial" w:hAnsi="Arial"/>
                <w:b w:val="0"/>
                <w:sz w:val="17"/>
              </w:rPr>
              <w:t>ATS/switching and metering</w:t>
            </w:r>
          </w:p>
        </w:tc>
        <w:tc>
          <w:tcPr>
            <w:tcW w:type="dxa" w:w="3744"/>
            <w:vAlign w:val="top"/>
          </w:tcPr>
          <w:p>
            <w:pPr>
              <w:spacing w:after="0"/>
            </w:pPr>
            <w:r/>
            <w:r>
              <w:rPr>
                <w:rFonts w:ascii="Arial" w:hAnsi="Arial"/>
                <w:b w:val="0"/>
                <w:sz w:val="17"/>
              </w:rPr>
              <w:t>Apartment/home connection status, meter mapping status, data reliability.</w:t>
            </w:r>
          </w:p>
        </w:tc>
        <w:tc>
          <w:tcPr>
            <w:tcW w:type="dxa" w:w="3744"/>
            <w:vAlign w:val="top"/>
          </w:tcPr>
          <w:p>
            <w:pPr>
              <w:spacing w:after="0"/>
            </w:pPr>
            <w:r/>
            <w:r>
              <w:rPr>
                <w:rFonts w:ascii="Arial" w:hAnsi="Arial"/>
                <w:b w:val="0"/>
                <w:sz w:val="17"/>
              </w:rPr>
              <w:t>Settlement depends on measured delivered solar.</w:t>
            </w:r>
          </w:p>
        </w:tc>
      </w:tr>
      <w:tr>
        <w:tc>
          <w:tcPr>
            <w:tcW w:type="dxa" w:w="2592"/>
            <w:vAlign w:val="top"/>
          </w:tcPr>
          <w:p>
            <w:pPr>
              <w:spacing w:after="0"/>
            </w:pPr>
            <w:r/>
            <w:r>
              <w:rPr>
                <w:rFonts w:ascii="Arial" w:hAnsi="Arial"/>
                <w:b w:val="0"/>
                <w:sz w:val="17"/>
              </w:rPr>
              <w:t>Inverter/battery operation</w:t>
            </w:r>
          </w:p>
        </w:tc>
        <w:tc>
          <w:tcPr>
            <w:tcW w:type="dxa" w:w="3744"/>
            <w:vAlign w:val="top"/>
          </w:tcPr>
          <w:p>
            <w:pPr>
              <w:spacing w:after="0"/>
            </w:pPr>
            <w:r/>
            <w:r>
              <w:rPr>
                <w:rFonts w:ascii="Arial" w:hAnsi="Arial"/>
                <w:b w:val="0"/>
                <w:sz w:val="17"/>
              </w:rPr>
              <w:t>Commissioned, monitoring active, battery behavior verified, faults cleared.</w:t>
            </w:r>
          </w:p>
        </w:tc>
        <w:tc>
          <w:tcPr>
            <w:tcW w:type="dxa" w:w="3744"/>
            <w:vAlign w:val="top"/>
          </w:tcPr>
          <w:p>
            <w:pPr>
              <w:spacing w:after="0"/>
            </w:pPr>
            <w:r/>
            <w:r>
              <w:rPr>
                <w:rFonts w:ascii="Arial" w:hAnsi="Arial"/>
                <w:b w:val="0"/>
                <w:sz w:val="17"/>
              </w:rPr>
              <w:t>Hardware must perform for revenue to exist.</w:t>
            </w:r>
          </w:p>
        </w:tc>
      </w:tr>
      <w:tr>
        <w:tc>
          <w:tcPr>
            <w:tcW w:type="dxa" w:w="2592"/>
            <w:vAlign w:val="top"/>
          </w:tcPr>
          <w:p>
            <w:pPr>
              <w:spacing w:after="0"/>
            </w:pPr>
            <w:r/>
            <w:r>
              <w:rPr>
                <w:rFonts w:ascii="Arial" w:hAnsi="Arial"/>
                <w:b w:val="0"/>
                <w:sz w:val="17"/>
              </w:rPr>
              <w:t>Token-state and settlement dry run</w:t>
            </w:r>
          </w:p>
        </w:tc>
        <w:tc>
          <w:tcPr>
            <w:tcW w:type="dxa" w:w="3744"/>
            <w:vAlign w:val="top"/>
          </w:tcPr>
          <w:p>
            <w:pPr>
              <w:spacing w:after="0"/>
            </w:pPr>
            <w:r/>
            <w:r>
              <w:rPr>
                <w:rFonts w:ascii="Arial" w:hAnsi="Arial"/>
                <w:b w:val="0"/>
                <w:sz w:val="17"/>
              </w:rPr>
              <w:t>Test settlement passed, no payout from unmonetized solar, data quality sufficient.</w:t>
            </w:r>
          </w:p>
        </w:tc>
        <w:tc>
          <w:tcPr>
            <w:tcW w:type="dxa" w:w="3744"/>
            <w:vAlign w:val="top"/>
          </w:tcPr>
          <w:p>
            <w:pPr>
              <w:spacing w:after="0"/>
            </w:pPr>
            <w:r/>
            <w:r>
              <w:rPr>
                <w:rFonts w:ascii="Arial" w:hAnsi="Arial"/>
                <w:b w:val="0"/>
                <w:sz w:val="17"/>
              </w:rPr>
              <w:t>Prevents broken investor statements at launch.</w:t>
            </w:r>
          </w:p>
        </w:tc>
      </w:tr>
      <w:tr>
        <w:tc>
          <w:tcPr>
            <w:tcW w:type="dxa" w:w="2592"/>
            <w:vAlign w:val="top"/>
          </w:tcPr>
          <w:p>
            <w:pPr>
              <w:spacing w:after="0"/>
            </w:pPr>
            <w:r/>
            <w:r>
              <w:rPr>
                <w:rFonts w:ascii="Arial" w:hAnsi="Arial"/>
                <w:b w:val="0"/>
                <w:sz w:val="17"/>
              </w:rPr>
              <w:t>Go-live signoffs</w:t>
            </w:r>
          </w:p>
        </w:tc>
        <w:tc>
          <w:tcPr>
            <w:tcW w:type="dxa" w:w="3744"/>
            <w:vAlign w:val="top"/>
          </w:tcPr>
          <w:p>
            <w:pPr>
              <w:spacing w:after="0"/>
            </w:pPr>
            <w:r/>
            <w:r>
              <w:rPr>
                <w:rFonts w:ascii="Arial" w:hAnsi="Arial"/>
                <w:b w:val="0"/>
                <w:sz w:val="17"/>
              </w:rPr>
              <w:t>Electrician, e.mappa ops, owner/homeowner, and required stakeholder signoff status.</w:t>
            </w:r>
          </w:p>
        </w:tc>
        <w:tc>
          <w:tcPr>
            <w:tcW w:type="dxa" w:w="3744"/>
            <w:vAlign w:val="top"/>
          </w:tcPr>
          <w:p>
            <w:pPr>
              <w:spacing w:after="0"/>
            </w:pPr>
            <w:r/>
            <w:r>
              <w:rPr>
                <w:rFonts w:ascii="Arial" w:hAnsi="Arial"/>
                <w:b w:val="0"/>
                <w:sz w:val="17"/>
              </w:rPr>
              <w:t>A missing signoff can delay returns.</w:t>
            </w:r>
          </w:p>
        </w:tc>
      </w:tr>
    </w:tbl>
    <w:p/>
    <w:p>
      <w:pPr>
        <w:pStyle w:val="Heading1"/>
      </w:pPr>
      <w:r>
        <w:rPr>
          <w:rFonts w:ascii="Arial" w:hAnsi="Arial"/>
          <w:sz w:val="20"/>
        </w:rPr>
        <w:t>12. Project Status Screen</w:t>
      </w:r>
    </w:p>
    <w:tbl>
      <w:tblPr>
        <w:tblStyle w:val="TableGrid"/>
        <w:tblW w:type="auto" w:w="0"/>
        <w:jc w:val="center"/>
        <w:tblLook w:firstColumn="1" w:firstRow="1" w:lastColumn="0" w:lastRow="0" w:noHBand="0" w:noVBand="1" w:val="04A0"/>
      </w:tblPr>
      <w:tblGrid>
        <w:gridCol w:w="3408"/>
        <w:gridCol w:w="3408"/>
        <w:gridCol w:w="3408"/>
      </w:tblGrid>
      <w:tr>
        <w:tc>
          <w:tcPr>
            <w:tcW w:type="dxa" w:w="2016"/>
            <w:shd w:fill="EDEDED"/>
            <w:vAlign w:val="center"/>
          </w:tcPr>
          <w:p>
            <w:pPr>
              <w:spacing w:after="0"/>
            </w:pPr>
            <w:r/>
            <w:r>
              <w:rPr>
                <w:rFonts w:ascii="Arial" w:hAnsi="Arial"/>
                <w:b/>
                <w:sz w:val="17"/>
              </w:rPr>
              <w:t>Project state</w:t>
            </w:r>
          </w:p>
        </w:tc>
        <w:tc>
          <w:tcPr>
            <w:tcW w:type="dxa" w:w="3312"/>
            <w:shd w:fill="EDEDED"/>
            <w:vAlign w:val="center"/>
          </w:tcPr>
          <w:p>
            <w:pPr>
              <w:spacing w:after="0"/>
            </w:pPr>
            <w:r/>
            <w:r>
              <w:rPr>
                <w:rFonts w:ascii="Arial" w:hAnsi="Arial"/>
                <w:b/>
                <w:sz w:val="17"/>
              </w:rPr>
              <w:t>Reality</w:t>
            </w:r>
          </w:p>
        </w:tc>
        <w:tc>
          <w:tcPr>
            <w:tcW w:type="dxa" w:w="3744"/>
            <w:shd w:fill="EDEDED"/>
            <w:vAlign w:val="center"/>
          </w:tcPr>
          <w:p>
            <w:pPr>
              <w:spacing w:after="0"/>
            </w:pPr>
            <w:r/>
            <w:r>
              <w:rPr>
                <w:rFonts w:ascii="Arial" w:hAnsi="Arial"/>
                <w:b/>
                <w:sz w:val="17"/>
              </w:rPr>
              <w:t>Financier UI</w:t>
            </w:r>
          </w:p>
        </w:tc>
      </w:tr>
      <w:tr>
        <w:tc>
          <w:tcPr>
            <w:tcW w:type="dxa" w:w="2016"/>
            <w:vAlign w:val="top"/>
          </w:tcPr>
          <w:p>
            <w:pPr>
              <w:spacing w:after="0"/>
            </w:pPr>
            <w:r/>
            <w:r>
              <w:rPr>
                <w:rFonts w:ascii="Arial" w:hAnsi="Arial"/>
                <w:b w:val="0"/>
                <w:sz w:val="17"/>
              </w:rPr>
              <w:t>F0: Watchlisted</w:t>
            </w:r>
          </w:p>
        </w:tc>
        <w:tc>
          <w:tcPr>
            <w:tcW w:type="dxa" w:w="3312"/>
            <w:vAlign w:val="top"/>
          </w:tcPr>
          <w:p>
            <w:pPr>
              <w:spacing w:after="0"/>
            </w:pPr>
            <w:r/>
            <w:r>
              <w:rPr>
                <w:rFonts w:ascii="Arial" w:hAnsi="Arial"/>
                <w:b w:val="0"/>
                <w:sz w:val="17"/>
              </w:rPr>
              <w:t>User is interested but no capital committed.</w:t>
            </w:r>
          </w:p>
        </w:tc>
        <w:tc>
          <w:tcPr>
            <w:tcW w:type="dxa" w:w="3744"/>
            <w:vAlign w:val="top"/>
          </w:tcPr>
          <w:p>
            <w:pPr>
              <w:spacing w:after="0"/>
            </w:pPr>
            <w:r/>
            <w:r>
              <w:rPr>
                <w:rFonts w:ascii="Arial" w:hAnsi="Arial"/>
                <w:b w:val="0"/>
                <w:sz w:val="17"/>
              </w:rPr>
              <w:t>Watchlist card, eligibility status, update alerts, no economic claim.</w:t>
            </w:r>
          </w:p>
        </w:tc>
      </w:tr>
      <w:tr>
        <w:tc>
          <w:tcPr>
            <w:tcW w:type="dxa" w:w="2016"/>
            <w:vAlign w:val="top"/>
          </w:tcPr>
          <w:p>
            <w:pPr>
              <w:spacing w:after="0"/>
            </w:pPr>
            <w:r/>
            <w:r>
              <w:rPr>
                <w:rFonts w:ascii="Arial" w:hAnsi="Arial"/>
                <w:b w:val="0"/>
                <w:sz w:val="17"/>
              </w:rPr>
              <w:t>F1: Commitment pending</w:t>
            </w:r>
          </w:p>
        </w:tc>
        <w:tc>
          <w:tcPr>
            <w:tcW w:type="dxa" w:w="3312"/>
            <w:vAlign w:val="top"/>
          </w:tcPr>
          <w:p>
            <w:pPr>
              <w:spacing w:after="0"/>
            </w:pPr>
            <w:r/>
            <w:r>
              <w:rPr>
                <w:rFonts w:ascii="Arial" w:hAnsi="Arial"/>
                <w:b w:val="0"/>
                <w:sz w:val="17"/>
              </w:rPr>
              <w:t>User selected investment but KYC/payment/legal acceptance incomplete.</w:t>
            </w:r>
          </w:p>
        </w:tc>
        <w:tc>
          <w:tcPr>
            <w:tcW w:type="dxa" w:w="3744"/>
            <w:vAlign w:val="top"/>
          </w:tcPr>
          <w:p>
            <w:pPr>
              <w:spacing w:after="0"/>
            </w:pPr>
            <w:r/>
            <w:r>
              <w:rPr>
                <w:rFonts w:ascii="Arial" w:hAnsi="Arial"/>
                <w:b w:val="0"/>
                <w:sz w:val="17"/>
              </w:rPr>
              <w:t>Checklist: documents, payment, disclosures, limits, cooling-off if applicable.</w:t>
            </w:r>
          </w:p>
        </w:tc>
      </w:tr>
      <w:tr>
        <w:tc>
          <w:tcPr>
            <w:tcW w:type="dxa" w:w="2016"/>
            <w:vAlign w:val="top"/>
          </w:tcPr>
          <w:p>
            <w:pPr>
              <w:spacing w:after="0"/>
            </w:pPr>
            <w:r/>
            <w:r>
              <w:rPr>
                <w:rFonts w:ascii="Arial" w:hAnsi="Arial"/>
                <w:b w:val="0"/>
                <w:sz w:val="17"/>
              </w:rPr>
              <w:t>F2: Escrowed / reserved</w:t>
            </w:r>
          </w:p>
        </w:tc>
        <w:tc>
          <w:tcPr>
            <w:tcW w:type="dxa" w:w="3312"/>
            <w:vAlign w:val="top"/>
          </w:tcPr>
          <w:p>
            <w:pPr>
              <w:spacing w:after="0"/>
            </w:pPr>
            <w:r/>
            <w:r>
              <w:rPr>
                <w:rFonts w:ascii="Arial" w:hAnsi="Arial"/>
                <w:b w:val="0"/>
                <w:sz w:val="17"/>
              </w:rPr>
              <w:t>Funds are held but not released.</w:t>
            </w:r>
          </w:p>
        </w:tc>
        <w:tc>
          <w:tcPr>
            <w:tcW w:type="dxa" w:w="3744"/>
            <w:vAlign w:val="top"/>
          </w:tcPr>
          <w:p>
            <w:pPr>
              <w:spacing w:after="0"/>
            </w:pPr>
            <w:r/>
            <w:r>
              <w:rPr>
                <w:rFonts w:ascii="Arial" w:hAnsi="Arial"/>
                <w:b w:val="0"/>
                <w:sz w:val="17"/>
              </w:rPr>
              <w:t>Escrow status, release conditions, DRS effect, cancellation/refund rules.</w:t>
            </w:r>
          </w:p>
        </w:tc>
      </w:tr>
      <w:tr>
        <w:tc>
          <w:tcPr>
            <w:tcW w:type="dxa" w:w="2016"/>
            <w:vAlign w:val="top"/>
          </w:tcPr>
          <w:p>
            <w:pPr>
              <w:spacing w:after="0"/>
            </w:pPr>
            <w:r/>
            <w:r>
              <w:rPr>
                <w:rFonts w:ascii="Arial" w:hAnsi="Arial"/>
                <w:b w:val="0"/>
                <w:sz w:val="17"/>
              </w:rPr>
              <w:t>F3: DRS active</w:t>
            </w:r>
          </w:p>
        </w:tc>
        <w:tc>
          <w:tcPr>
            <w:tcW w:type="dxa" w:w="3312"/>
            <w:vAlign w:val="top"/>
          </w:tcPr>
          <w:p>
            <w:pPr>
              <w:spacing w:after="0"/>
            </w:pPr>
            <w:r/>
            <w:r>
              <w:rPr>
                <w:rFonts w:ascii="Arial" w:hAnsi="Arial"/>
                <w:b w:val="0"/>
                <w:sz w:val="17"/>
              </w:rPr>
              <w:t>Capital helps project readiness but project is not installation-ready.</w:t>
            </w:r>
          </w:p>
        </w:tc>
        <w:tc>
          <w:tcPr>
            <w:tcW w:type="dxa" w:w="3744"/>
            <w:vAlign w:val="top"/>
          </w:tcPr>
          <w:p>
            <w:pPr>
              <w:spacing w:after="0"/>
            </w:pPr>
            <w:r/>
            <w:r>
              <w:rPr>
                <w:rFonts w:ascii="Arial" w:hAnsi="Arial"/>
                <w:b w:val="0"/>
                <w:sz w:val="17"/>
              </w:rPr>
              <w:t>DRS timeline, blockers, stakeholder commitments, remaining gaps.</w:t>
            </w:r>
          </w:p>
        </w:tc>
      </w:tr>
      <w:tr>
        <w:tc>
          <w:tcPr>
            <w:tcW w:type="dxa" w:w="2016"/>
            <w:vAlign w:val="top"/>
          </w:tcPr>
          <w:p>
            <w:pPr>
              <w:spacing w:after="0"/>
            </w:pPr>
            <w:r/>
            <w:r>
              <w:rPr>
                <w:rFonts w:ascii="Arial" w:hAnsi="Arial"/>
                <w:b w:val="0"/>
                <w:sz w:val="17"/>
              </w:rPr>
              <w:t>F4: Deployment-ready</w:t>
            </w:r>
          </w:p>
        </w:tc>
        <w:tc>
          <w:tcPr>
            <w:tcW w:type="dxa" w:w="3312"/>
            <w:vAlign w:val="top"/>
          </w:tcPr>
          <w:p>
            <w:pPr>
              <w:spacing w:after="0"/>
            </w:pPr>
            <w:r/>
            <w:r>
              <w:rPr>
                <w:rFonts w:ascii="Arial" w:hAnsi="Arial"/>
                <w:b w:val="0"/>
                <w:sz w:val="17"/>
              </w:rPr>
              <w:t>DRS = 100%; installation can be scheduled.</w:t>
            </w:r>
          </w:p>
        </w:tc>
        <w:tc>
          <w:tcPr>
            <w:tcW w:type="dxa" w:w="3744"/>
            <w:vAlign w:val="top"/>
          </w:tcPr>
          <w:p>
            <w:pPr>
              <w:spacing w:after="0"/>
            </w:pPr>
            <w:r/>
            <w:r>
              <w:rPr>
                <w:rFonts w:ascii="Arial" w:hAnsi="Arial"/>
                <w:b w:val="0"/>
                <w:sz w:val="17"/>
              </w:rPr>
              <w:t>Installation schedule, funded assets, release schedule, expected go-live window.</w:t>
            </w:r>
          </w:p>
        </w:tc>
      </w:tr>
      <w:tr>
        <w:tc>
          <w:tcPr>
            <w:tcW w:type="dxa" w:w="2016"/>
            <w:vAlign w:val="top"/>
          </w:tcPr>
          <w:p>
            <w:pPr>
              <w:spacing w:after="0"/>
            </w:pPr>
            <w:r/>
            <w:r>
              <w:rPr>
                <w:rFonts w:ascii="Arial" w:hAnsi="Arial"/>
                <w:b w:val="0"/>
                <w:sz w:val="17"/>
              </w:rPr>
              <w:t>F5: Installation in progress</w:t>
            </w:r>
          </w:p>
        </w:tc>
        <w:tc>
          <w:tcPr>
            <w:tcW w:type="dxa" w:w="3312"/>
            <w:vAlign w:val="top"/>
          </w:tcPr>
          <w:p>
            <w:pPr>
              <w:spacing w:after="0"/>
            </w:pPr>
            <w:r/>
            <w:r>
              <w:rPr>
                <w:rFonts w:ascii="Arial" w:hAnsi="Arial"/>
                <w:b w:val="0"/>
                <w:sz w:val="17"/>
              </w:rPr>
              <w:t>Funds released by milestone and hardware/labor is being deployed.</w:t>
            </w:r>
          </w:p>
        </w:tc>
        <w:tc>
          <w:tcPr>
            <w:tcW w:type="dxa" w:w="3744"/>
            <w:vAlign w:val="top"/>
          </w:tcPr>
          <w:p>
            <w:pPr>
              <w:spacing w:after="0"/>
            </w:pPr>
            <w:r/>
            <w:r>
              <w:rPr>
                <w:rFonts w:ascii="Arial" w:hAnsi="Arial"/>
                <w:b w:val="0"/>
                <w:sz w:val="17"/>
              </w:rPr>
              <w:t>Milestone tracker, evidence acceptance, issues, budget changes.</w:t>
            </w:r>
          </w:p>
        </w:tc>
      </w:tr>
      <w:tr>
        <w:tc>
          <w:tcPr>
            <w:tcW w:type="dxa" w:w="2016"/>
            <w:vAlign w:val="top"/>
          </w:tcPr>
          <w:p>
            <w:pPr>
              <w:spacing w:after="0"/>
            </w:pPr>
            <w:r/>
            <w:r>
              <w:rPr>
                <w:rFonts w:ascii="Arial" w:hAnsi="Arial"/>
                <w:b w:val="0"/>
                <w:sz w:val="17"/>
              </w:rPr>
              <w:t>F6: LBRS testing</w:t>
            </w:r>
          </w:p>
        </w:tc>
        <w:tc>
          <w:tcPr>
            <w:tcW w:type="dxa" w:w="3312"/>
            <w:vAlign w:val="top"/>
          </w:tcPr>
          <w:p>
            <w:pPr>
              <w:spacing w:after="0"/>
            </w:pPr>
            <w:r/>
            <w:r>
              <w:rPr>
                <w:rFonts w:ascii="Arial" w:hAnsi="Arial"/>
                <w:b w:val="0"/>
                <w:sz w:val="17"/>
              </w:rPr>
              <w:t>Physical install complete but not live.</w:t>
            </w:r>
          </w:p>
        </w:tc>
        <w:tc>
          <w:tcPr>
            <w:tcW w:type="dxa" w:w="3744"/>
            <w:vAlign w:val="top"/>
          </w:tcPr>
          <w:p>
            <w:pPr>
              <w:spacing w:after="0"/>
            </w:pPr>
            <w:r/>
            <w:r>
              <w:rPr>
                <w:rFonts w:ascii="Arial" w:hAnsi="Arial"/>
                <w:b w:val="0"/>
                <w:sz w:val="17"/>
              </w:rPr>
              <w:t>LBRS checklist, failed tests, retests, go-live blockers.</w:t>
            </w:r>
          </w:p>
        </w:tc>
      </w:tr>
      <w:tr>
        <w:tc>
          <w:tcPr>
            <w:tcW w:type="dxa" w:w="2016"/>
            <w:vAlign w:val="top"/>
          </w:tcPr>
          <w:p>
            <w:pPr>
              <w:spacing w:after="0"/>
            </w:pPr>
            <w:r/>
            <w:r>
              <w:rPr>
                <w:rFonts w:ascii="Arial" w:hAnsi="Arial"/>
                <w:b w:val="0"/>
                <w:sz w:val="17"/>
              </w:rPr>
              <w:t>F7: Live and earning</w:t>
            </w:r>
          </w:p>
        </w:tc>
        <w:tc>
          <w:tcPr>
            <w:tcW w:type="dxa" w:w="3312"/>
            <w:vAlign w:val="top"/>
          </w:tcPr>
          <w:p>
            <w:pPr>
              <w:spacing w:after="0"/>
            </w:pPr>
            <w:r/>
            <w:r>
              <w:rPr>
                <w:rFonts w:ascii="Arial" w:hAnsi="Arial"/>
                <w:b w:val="0"/>
                <w:sz w:val="17"/>
              </w:rPr>
              <w:t>System is live and prepaid solar is being consumed.</w:t>
            </w:r>
          </w:p>
        </w:tc>
        <w:tc>
          <w:tcPr>
            <w:tcW w:type="dxa" w:w="3744"/>
            <w:vAlign w:val="top"/>
          </w:tcPr>
          <w:p>
            <w:pPr>
              <w:spacing w:after="0"/>
            </w:pPr>
            <w:r/>
            <w:r>
              <w:rPr>
                <w:rFonts w:ascii="Arial" w:hAnsi="Arial"/>
                <w:b w:val="0"/>
                <w:sz w:val="17"/>
              </w:rPr>
              <w:t>Energy performance, settlement statements, cashflow, payback progress.</w:t>
            </w:r>
          </w:p>
        </w:tc>
      </w:tr>
      <w:tr>
        <w:tc>
          <w:tcPr>
            <w:tcW w:type="dxa" w:w="2016"/>
            <w:vAlign w:val="top"/>
          </w:tcPr>
          <w:p>
            <w:pPr>
              <w:spacing w:after="0"/>
            </w:pPr>
            <w:r/>
            <w:r>
              <w:rPr>
                <w:rFonts w:ascii="Arial" w:hAnsi="Arial"/>
                <w:b w:val="0"/>
                <w:sz w:val="17"/>
              </w:rPr>
              <w:t>F8: Live with issue</w:t>
            </w:r>
          </w:p>
        </w:tc>
        <w:tc>
          <w:tcPr>
            <w:tcW w:type="dxa" w:w="3312"/>
            <w:vAlign w:val="top"/>
          </w:tcPr>
          <w:p>
            <w:pPr>
              <w:spacing w:after="0"/>
            </w:pPr>
            <w:r/>
            <w:r>
              <w:rPr>
                <w:rFonts w:ascii="Arial" w:hAnsi="Arial"/>
                <w:b w:val="0"/>
                <w:sz w:val="17"/>
              </w:rPr>
              <w:t>System is live but degraded or partially suspended.</w:t>
            </w:r>
          </w:p>
        </w:tc>
        <w:tc>
          <w:tcPr>
            <w:tcW w:type="dxa" w:w="3744"/>
            <w:vAlign w:val="top"/>
          </w:tcPr>
          <w:p>
            <w:pPr>
              <w:spacing w:after="0"/>
            </w:pPr>
            <w:r/>
            <w:r>
              <w:rPr>
                <w:rFonts w:ascii="Arial" w:hAnsi="Arial"/>
                <w:b w:val="0"/>
                <w:sz w:val="17"/>
              </w:rPr>
              <w:t>Incident status, affected revenue, reserve action, expected remediation steps.</w:t>
            </w:r>
          </w:p>
        </w:tc>
      </w:tr>
      <w:tr>
        <w:tc>
          <w:tcPr>
            <w:tcW w:type="dxa" w:w="2016"/>
            <w:vAlign w:val="top"/>
          </w:tcPr>
          <w:p>
            <w:pPr>
              <w:spacing w:after="0"/>
            </w:pPr>
            <w:r/>
            <w:r>
              <w:rPr>
                <w:rFonts w:ascii="Arial" w:hAnsi="Arial"/>
                <w:b w:val="0"/>
                <w:sz w:val="17"/>
              </w:rPr>
              <w:t>F9: Exited / bought out</w:t>
            </w:r>
          </w:p>
        </w:tc>
        <w:tc>
          <w:tcPr>
            <w:tcW w:type="dxa" w:w="3312"/>
            <w:vAlign w:val="top"/>
          </w:tcPr>
          <w:p>
            <w:pPr>
              <w:spacing w:after="0"/>
            </w:pPr>
            <w:r/>
            <w:r>
              <w:rPr>
                <w:rFonts w:ascii="Arial" w:hAnsi="Arial"/>
                <w:b w:val="0"/>
                <w:sz w:val="17"/>
              </w:rPr>
              <w:t>Financier sold claim or was repaid/bought out under terms.</w:t>
            </w:r>
          </w:p>
        </w:tc>
        <w:tc>
          <w:tcPr>
            <w:tcW w:type="dxa" w:w="3744"/>
            <w:vAlign w:val="top"/>
          </w:tcPr>
          <w:p>
            <w:pPr>
              <w:spacing w:after="0"/>
            </w:pPr>
            <w:r/>
            <w:r>
              <w:rPr>
                <w:rFonts w:ascii="Arial" w:hAnsi="Arial"/>
                <w:b w:val="0"/>
                <w:sz w:val="17"/>
              </w:rPr>
              <w:t>Exit statement, realized return, tax/export report, history preserved.</w:t>
            </w:r>
          </w:p>
        </w:tc>
      </w:tr>
      <w:tr>
        <w:tc>
          <w:tcPr>
            <w:tcW w:type="dxa" w:w="2016"/>
            <w:vAlign w:val="top"/>
          </w:tcPr>
          <w:p>
            <w:pPr>
              <w:spacing w:after="0"/>
            </w:pPr>
            <w:r/>
            <w:r>
              <w:rPr>
                <w:rFonts w:ascii="Arial" w:hAnsi="Arial"/>
                <w:b w:val="0"/>
                <w:sz w:val="17"/>
              </w:rPr>
              <w:t>F10: Suspended/defaulted</w:t>
            </w:r>
          </w:p>
        </w:tc>
        <w:tc>
          <w:tcPr>
            <w:tcW w:type="dxa" w:w="3312"/>
            <w:vAlign w:val="top"/>
          </w:tcPr>
          <w:p>
            <w:pPr>
              <w:spacing w:after="0"/>
            </w:pPr>
            <w:r/>
            <w:r>
              <w:rPr>
                <w:rFonts w:ascii="Arial" w:hAnsi="Arial"/>
                <w:b w:val="0"/>
                <w:sz w:val="17"/>
              </w:rPr>
              <w:t>Critical compliance, safety, data, demand, or contract issue.</w:t>
            </w:r>
          </w:p>
        </w:tc>
        <w:tc>
          <w:tcPr>
            <w:tcW w:type="dxa" w:w="3744"/>
            <w:vAlign w:val="top"/>
          </w:tcPr>
          <w:p>
            <w:pPr>
              <w:spacing w:after="0"/>
            </w:pPr>
            <w:r/>
            <w:r>
              <w:rPr>
                <w:rFonts w:ascii="Arial" w:hAnsi="Arial"/>
                <w:b w:val="0"/>
                <w:sz w:val="17"/>
              </w:rPr>
              <w:t>Capital at risk notice, recovery plan, dispute/cure process.</w:t>
            </w:r>
          </w:p>
        </w:tc>
      </w:tr>
    </w:tbl>
    <w:p/>
    <w:p>
      <w:pPr>
        <w:pStyle w:val="Heading1"/>
      </w:pPr>
      <w:r>
        <w:rPr>
          <w:rFonts w:ascii="Arial" w:hAnsi="Arial"/>
          <w:sz w:val="20"/>
        </w:rPr>
        <w:t>13. Energy Generation Screen</w:t>
      </w:r>
    </w:p>
    <w:p>
      <w:pPr>
        <w:spacing w:after="120"/>
      </w:pPr>
      <w:r>
        <w:rPr>
          <w:rFonts w:ascii="Arial" w:hAnsi="Arial"/>
          <w:sz w:val="20"/>
        </w:rPr>
        <w:t>Financiers should have an Energy Generation screen because project cashflows depend on physical energy performance. But the screen must avoid misleading ownership language. A financier who owns infrastructure does not necessarily own generation; generation data is a performance driver. A financier who bought provider/array shares does own a portion of the provider/array pool. The UI should show the difference.</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rFonts w:ascii="Arial" w:hAnsi="Arial"/>
                <w:b/>
                <w:sz w:val="17"/>
              </w:rPr>
              <w:t>Metric</w:t>
            </w:r>
          </w:p>
        </w:tc>
        <w:tc>
          <w:tcPr>
            <w:tcW w:type="dxa" w:w="3024"/>
            <w:shd w:fill="EDEDED"/>
            <w:vAlign w:val="center"/>
          </w:tcPr>
          <w:p>
            <w:pPr>
              <w:spacing w:after="0"/>
            </w:pPr>
            <w:r/>
            <w:r>
              <w:rPr>
                <w:rFonts w:ascii="Arial" w:hAnsi="Arial"/>
                <w:b/>
                <w:sz w:val="17"/>
              </w:rPr>
              <w:t>Meaning</w:t>
            </w:r>
          </w:p>
        </w:tc>
        <w:tc>
          <w:tcPr>
            <w:tcW w:type="dxa" w:w="4032"/>
            <w:shd w:fill="EDEDED"/>
            <w:vAlign w:val="center"/>
          </w:tcPr>
          <w:p>
            <w:pPr>
              <w:spacing w:after="0"/>
            </w:pPr>
            <w:r/>
            <w:r>
              <w:rPr>
                <w:rFonts w:ascii="Arial" w:hAnsi="Arial"/>
                <w:b/>
                <w:sz w:val="17"/>
              </w:rPr>
              <w:t>Financier interpretation</w:t>
            </w:r>
          </w:p>
        </w:tc>
      </w:tr>
      <w:tr>
        <w:tc>
          <w:tcPr>
            <w:tcW w:type="dxa" w:w="2160"/>
            <w:vAlign w:val="top"/>
          </w:tcPr>
          <w:p>
            <w:pPr>
              <w:spacing w:after="0"/>
            </w:pPr>
            <w:r/>
            <w:r>
              <w:rPr>
                <w:rFonts w:ascii="Arial" w:hAnsi="Arial"/>
                <w:b w:val="0"/>
                <w:sz w:val="17"/>
              </w:rPr>
              <w:t>E_gen</w:t>
            </w:r>
          </w:p>
        </w:tc>
        <w:tc>
          <w:tcPr>
            <w:tcW w:type="dxa" w:w="3024"/>
            <w:vAlign w:val="top"/>
          </w:tcPr>
          <w:p>
            <w:pPr>
              <w:spacing w:after="0"/>
            </w:pPr>
            <w:r/>
            <w:r>
              <w:rPr>
                <w:rFonts w:ascii="Arial" w:hAnsi="Arial"/>
                <w:b w:val="0"/>
                <w:sz w:val="17"/>
              </w:rPr>
              <w:t>Total solar generated by project.</w:t>
            </w:r>
          </w:p>
        </w:tc>
        <w:tc>
          <w:tcPr>
            <w:tcW w:type="dxa" w:w="4032"/>
            <w:vAlign w:val="top"/>
          </w:tcPr>
          <w:p>
            <w:pPr>
              <w:spacing w:after="0"/>
            </w:pPr>
            <w:r/>
            <w:r>
              <w:rPr>
                <w:rFonts w:ascii="Arial" w:hAnsi="Arial"/>
                <w:b w:val="0"/>
                <w:sz w:val="17"/>
              </w:rPr>
              <w:t>Operational production signal; not the payout base by itself.</w:t>
            </w:r>
          </w:p>
        </w:tc>
      </w:tr>
      <w:tr>
        <w:tc>
          <w:tcPr>
            <w:tcW w:type="dxa" w:w="2160"/>
            <w:vAlign w:val="top"/>
          </w:tcPr>
          <w:p>
            <w:pPr>
              <w:spacing w:after="0"/>
            </w:pPr>
            <w:r/>
            <w:r>
              <w:rPr>
                <w:rFonts w:ascii="Arial" w:hAnsi="Arial"/>
                <w:b w:val="0"/>
                <w:sz w:val="17"/>
              </w:rPr>
              <w:t>E_direct</w:t>
            </w:r>
          </w:p>
        </w:tc>
        <w:tc>
          <w:tcPr>
            <w:tcW w:type="dxa" w:w="3024"/>
            <w:vAlign w:val="top"/>
          </w:tcPr>
          <w:p>
            <w:pPr>
              <w:spacing w:after="0"/>
            </w:pPr>
            <w:r/>
            <w:r>
              <w:rPr>
                <w:rFonts w:ascii="Arial" w:hAnsi="Arial"/>
                <w:b w:val="0"/>
                <w:sz w:val="17"/>
              </w:rPr>
              <w:t>Solar consumed immediately by eligible load.</w:t>
            </w:r>
          </w:p>
        </w:tc>
        <w:tc>
          <w:tcPr>
            <w:tcW w:type="dxa" w:w="4032"/>
            <w:vAlign w:val="top"/>
          </w:tcPr>
          <w:p>
            <w:pPr>
              <w:spacing w:after="0"/>
            </w:pPr>
            <w:r/>
            <w:r>
              <w:rPr>
                <w:rFonts w:ascii="Arial" w:hAnsi="Arial"/>
                <w:b w:val="0"/>
                <w:sz w:val="17"/>
              </w:rPr>
              <w:t>Part of monetized solar if prepaid and measured.</w:t>
            </w:r>
          </w:p>
        </w:tc>
      </w:tr>
      <w:tr>
        <w:tc>
          <w:tcPr>
            <w:tcW w:type="dxa" w:w="2160"/>
            <w:vAlign w:val="top"/>
          </w:tcPr>
          <w:p>
            <w:pPr>
              <w:spacing w:after="0"/>
            </w:pPr>
            <w:r/>
            <w:r>
              <w:rPr>
                <w:rFonts w:ascii="Arial" w:hAnsi="Arial"/>
                <w:b w:val="0"/>
                <w:sz w:val="17"/>
              </w:rPr>
              <w:t>E_charge</w:t>
            </w:r>
          </w:p>
        </w:tc>
        <w:tc>
          <w:tcPr>
            <w:tcW w:type="dxa" w:w="3024"/>
            <w:vAlign w:val="top"/>
          </w:tcPr>
          <w:p>
            <w:pPr>
              <w:spacing w:after="0"/>
            </w:pPr>
            <w:r/>
            <w:r>
              <w:rPr>
                <w:rFonts w:ascii="Arial" w:hAnsi="Arial"/>
                <w:b w:val="0"/>
                <w:sz w:val="17"/>
              </w:rPr>
              <w:t>Solar sent into battery.</w:t>
            </w:r>
          </w:p>
        </w:tc>
        <w:tc>
          <w:tcPr>
            <w:tcW w:type="dxa" w:w="4032"/>
            <w:vAlign w:val="top"/>
          </w:tcPr>
          <w:p>
            <w:pPr>
              <w:spacing w:after="0"/>
            </w:pPr>
            <w:r/>
            <w:r>
              <w:rPr>
                <w:rFonts w:ascii="Arial" w:hAnsi="Arial"/>
                <w:b w:val="0"/>
                <w:sz w:val="17"/>
              </w:rPr>
              <w:t>Potential future monetized solar after battery losses if later consumed.</w:t>
            </w:r>
          </w:p>
        </w:tc>
      </w:tr>
      <w:tr>
        <w:tc>
          <w:tcPr>
            <w:tcW w:type="dxa" w:w="2160"/>
            <w:vAlign w:val="top"/>
          </w:tcPr>
          <w:p>
            <w:pPr>
              <w:spacing w:after="0"/>
            </w:pPr>
            <w:r/>
            <w:r>
              <w:rPr>
                <w:rFonts w:ascii="Arial" w:hAnsi="Arial"/>
                <w:b w:val="0"/>
                <w:sz w:val="17"/>
              </w:rPr>
              <w:t>E_battery_used</w:t>
            </w:r>
          </w:p>
        </w:tc>
        <w:tc>
          <w:tcPr>
            <w:tcW w:type="dxa" w:w="3024"/>
            <w:vAlign w:val="top"/>
          </w:tcPr>
          <w:p>
            <w:pPr>
              <w:spacing w:after="0"/>
            </w:pPr>
            <w:r/>
            <w:r>
              <w:rPr>
                <w:rFonts w:ascii="Arial" w:hAnsi="Arial"/>
                <w:b w:val="0"/>
                <w:sz w:val="17"/>
              </w:rPr>
              <w:t>Stored solar later delivered to eligible load.</w:t>
            </w:r>
          </w:p>
        </w:tc>
        <w:tc>
          <w:tcPr>
            <w:tcW w:type="dxa" w:w="4032"/>
            <w:vAlign w:val="top"/>
          </w:tcPr>
          <w:p>
            <w:pPr>
              <w:spacing w:after="0"/>
            </w:pPr>
            <w:r/>
            <w:r>
              <w:rPr>
                <w:rFonts w:ascii="Arial" w:hAnsi="Arial"/>
                <w:b w:val="0"/>
                <w:sz w:val="17"/>
              </w:rPr>
              <w:t>Part of monetized solar after efficiency losses.</w:t>
            </w:r>
          </w:p>
        </w:tc>
      </w:tr>
      <w:tr>
        <w:tc>
          <w:tcPr>
            <w:tcW w:type="dxa" w:w="2160"/>
            <w:vAlign w:val="top"/>
          </w:tcPr>
          <w:p>
            <w:pPr>
              <w:spacing w:after="0"/>
            </w:pPr>
            <w:r/>
            <w:r>
              <w:rPr>
                <w:rFonts w:ascii="Arial" w:hAnsi="Arial"/>
                <w:b w:val="0"/>
                <w:sz w:val="17"/>
              </w:rPr>
              <w:t>E_sold</w:t>
            </w:r>
          </w:p>
        </w:tc>
        <w:tc>
          <w:tcPr>
            <w:tcW w:type="dxa" w:w="3024"/>
            <w:vAlign w:val="top"/>
          </w:tcPr>
          <w:p>
            <w:pPr>
              <w:spacing w:after="0"/>
            </w:pPr>
            <w:r/>
            <w:r>
              <w:rPr>
                <w:rFonts w:ascii="Arial" w:hAnsi="Arial"/>
                <w:b w:val="0"/>
                <w:sz w:val="17"/>
              </w:rPr>
              <w:t>Prepaid, delivered, measured solar consumed by eligible users.</w:t>
            </w:r>
          </w:p>
        </w:tc>
        <w:tc>
          <w:tcPr>
            <w:tcW w:type="dxa" w:w="4032"/>
            <w:vAlign w:val="top"/>
          </w:tcPr>
          <w:p>
            <w:pPr>
              <w:spacing w:after="0"/>
            </w:pPr>
            <w:r/>
            <w:r>
              <w:rPr>
                <w:rFonts w:ascii="Arial" w:hAnsi="Arial"/>
                <w:b w:val="0"/>
                <w:sz w:val="17"/>
              </w:rPr>
              <w:t>Economic base for provider/infrastructure payouts.</w:t>
            </w:r>
          </w:p>
        </w:tc>
      </w:tr>
      <w:tr>
        <w:tc>
          <w:tcPr>
            <w:tcW w:type="dxa" w:w="2160"/>
            <w:vAlign w:val="top"/>
          </w:tcPr>
          <w:p>
            <w:pPr>
              <w:spacing w:after="0"/>
            </w:pPr>
            <w:r/>
            <w:r>
              <w:rPr>
                <w:rFonts w:ascii="Arial" w:hAnsi="Arial"/>
                <w:b w:val="0"/>
                <w:sz w:val="17"/>
              </w:rPr>
              <w:t>E_waste</w:t>
            </w:r>
          </w:p>
        </w:tc>
        <w:tc>
          <w:tcPr>
            <w:tcW w:type="dxa" w:w="3024"/>
            <w:vAlign w:val="top"/>
          </w:tcPr>
          <w:p>
            <w:pPr>
              <w:spacing w:after="0"/>
            </w:pPr>
            <w:r/>
            <w:r>
              <w:rPr>
                <w:rFonts w:ascii="Arial" w:hAnsi="Arial"/>
                <w:b w:val="0"/>
                <w:sz w:val="17"/>
              </w:rPr>
              <w:t>Generated but not consumed/stored/monetized.</w:t>
            </w:r>
          </w:p>
        </w:tc>
        <w:tc>
          <w:tcPr>
            <w:tcW w:type="dxa" w:w="4032"/>
            <w:vAlign w:val="top"/>
          </w:tcPr>
          <w:p>
            <w:pPr>
              <w:spacing w:after="0"/>
            </w:pPr>
            <w:r/>
            <w:r>
              <w:rPr>
                <w:rFonts w:ascii="Arial" w:hAnsi="Arial"/>
                <w:b w:val="0"/>
                <w:sz w:val="17"/>
              </w:rPr>
              <w:t>No payout unless legally exported/traded for value.</w:t>
            </w:r>
          </w:p>
        </w:tc>
      </w:tr>
      <w:tr>
        <w:tc>
          <w:tcPr>
            <w:tcW w:type="dxa" w:w="2160"/>
            <w:vAlign w:val="top"/>
          </w:tcPr>
          <w:p>
            <w:pPr>
              <w:spacing w:after="0"/>
            </w:pPr>
            <w:r/>
            <w:r>
              <w:rPr>
                <w:rFonts w:ascii="Arial" w:hAnsi="Arial"/>
                <w:b w:val="0"/>
                <w:sz w:val="17"/>
              </w:rPr>
              <w:t>E_grid</w:t>
            </w:r>
          </w:p>
        </w:tc>
        <w:tc>
          <w:tcPr>
            <w:tcW w:type="dxa" w:w="3024"/>
            <w:vAlign w:val="top"/>
          </w:tcPr>
          <w:p>
            <w:pPr>
              <w:spacing w:after="0"/>
            </w:pPr>
            <w:r/>
            <w:r>
              <w:rPr>
                <w:rFonts w:ascii="Arial" w:hAnsi="Arial"/>
                <w:b w:val="0"/>
                <w:sz w:val="17"/>
              </w:rPr>
              <w:t>Demand served by KPLC/grid fallback.</w:t>
            </w:r>
          </w:p>
        </w:tc>
        <w:tc>
          <w:tcPr>
            <w:tcW w:type="dxa" w:w="4032"/>
            <w:vAlign w:val="top"/>
          </w:tcPr>
          <w:p>
            <w:pPr>
              <w:spacing w:after="0"/>
            </w:pPr>
            <w:r/>
            <w:r>
              <w:rPr>
                <w:rFonts w:ascii="Arial" w:hAnsi="Arial"/>
                <w:b w:val="0"/>
                <w:sz w:val="17"/>
              </w:rPr>
              <w:t>Service continuity but not e.mappa solar revenue.</w:t>
            </w:r>
          </w:p>
        </w:tc>
      </w:tr>
      <w:tr>
        <w:tc>
          <w:tcPr>
            <w:tcW w:type="dxa" w:w="2160"/>
            <w:vAlign w:val="top"/>
          </w:tcPr>
          <w:p>
            <w:pPr>
              <w:spacing w:after="0"/>
            </w:pPr>
            <w:r/>
            <w:r>
              <w:rPr>
                <w:rFonts w:ascii="Arial" w:hAnsi="Arial"/>
                <w:b w:val="0"/>
                <w:sz w:val="17"/>
              </w:rPr>
              <w:t>Utilization</w:t>
            </w:r>
          </w:p>
        </w:tc>
        <w:tc>
          <w:tcPr>
            <w:tcW w:type="dxa" w:w="3024"/>
            <w:vAlign w:val="top"/>
          </w:tcPr>
          <w:p>
            <w:pPr>
              <w:spacing w:after="0"/>
            </w:pPr>
            <w:r/>
            <w:r>
              <w:rPr>
                <w:rFonts w:ascii="Arial" w:hAnsi="Arial"/>
                <w:b w:val="0"/>
                <w:sz w:val="17"/>
              </w:rPr>
              <w:t>E_sold / E_gen.</w:t>
            </w:r>
          </w:p>
        </w:tc>
        <w:tc>
          <w:tcPr>
            <w:tcW w:type="dxa" w:w="4032"/>
            <w:vAlign w:val="top"/>
          </w:tcPr>
          <w:p>
            <w:pPr>
              <w:spacing w:after="0"/>
            </w:pPr>
            <w:r/>
            <w:r>
              <w:rPr>
                <w:rFonts w:ascii="Arial" w:hAnsi="Arial"/>
                <w:b w:val="0"/>
                <w:sz w:val="17"/>
              </w:rPr>
              <w:t>Main driver of payback speed.</w:t>
            </w:r>
          </w:p>
        </w:tc>
      </w:tr>
      <w:tr>
        <w:tc>
          <w:tcPr>
            <w:tcW w:type="dxa" w:w="2160"/>
            <w:vAlign w:val="top"/>
          </w:tcPr>
          <w:p>
            <w:pPr>
              <w:spacing w:after="0"/>
            </w:pPr>
            <w:r/>
            <w:r>
              <w:rPr>
                <w:rFonts w:ascii="Arial" w:hAnsi="Arial"/>
                <w:b w:val="0"/>
                <w:sz w:val="17"/>
              </w:rPr>
              <w:t>Coverage</w:t>
            </w:r>
          </w:p>
        </w:tc>
        <w:tc>
          <w:tcPr>
            <w:tcW w:type="dxa" w:w="3024"/>
            <w:vAlign w:val="top"/>
          </w:tcPr>
          <w:p>
            <w:pPr>
              <w:spacing w:after="0"/>
            </w:pPr>
            <w:r/>
            <w:r>
              <w:rPr>
                <w:rFonts w:ascii="Arial" w:hAnsi="Arial"/>
                <w:b w:val="0"/>
                <w:sz w:val="17"/>
              </w:rPr>
              <w:t>E_sold / total demand.</w:t>
            </w:r>
          </w:p>
        </w:tc>
        <w:tc>
          <w:tcPr>
            <w:tcW w:type="dxa" w:w="4032"/>
            <w:vAlign w:val="top"/>
          </w:tcPr>
          <w:p>
            <w:pPr>
              <w:spacing w:after="0"/>
            </w:pPr>
            <w:r/>
            <w:r>
              <w:rPr>
                <w:rFonts w:ascii="Arial" w:hAnsi="Arial"/>
                <w:b w:val="0"/>
                <w:sz w:val="17"/>
              </w:rPr>
              <w:t>Shows how much local demand e.mappa served.</w:t>
            </w:r>
          </w:p>
        </w:tc>
      </w:tr>
      <w:tr>
        <w:tc>
          <w:tcPr>
            <w:tcW w:type="dxa" w:w="2160"/>
            <w:vAlign w:val="top"/>
          </w:tcPr>
          <w:p>
            <w:pPr>
              <w:spacing w:after="0"/>
            </w:pPr>
            <w:r/>
            <w:r>
              <w:rPr>
                <w:rFonts w:ascii="Arial" w:hAnsi="Arial"/>
                <w:b w:val="0"/>
                <w:sz w:val="17"/>
              </w:rPr>
              <w:t>Data quality</w:t>
            </w:r>
          </w:p>
        </w:tc>
        <w:tc>
          <w:tcPr>
            <w:tcW w:type="dxa" w:w="3024"/>
            <w:vAlign w:val="top"/>
          </w:tcPr>
          <w:p>
            <w:pPr>
              <w:spacing w:after="0"/>
            </w:pPr>
            <w:r/>
            <w:r>
              <w:rPr>
                <w:rFonts w:ascii="Arial" w:hAnsi="Arial"/>
                <w:b w:val="0"/>
                <w:sz w:val="17"/>
              </w:rPr>
              <w:t>Verified, estimated, missing, disputed, or conservative.</w:t>
            </w:r>
          </w:p>
        </w:tc>
        <w:tc>
          <w:tcPr>
            <w:tcW w:type="dxa" w:w="4032"/>
            <w:vAlign w:val="top"/>
          </w:tcPr>
          <w:p>
            <w:pPr>
              <w:spacing w:after="0"/>
            </w:pPr>
            <w:r/>
            <w:r>
              <w:rPr>
                <w:rFonts w:ascii="Arial" w:hAnsi="Arial"/>
                <w:b w:val="0"/>
                <w:sz w:val="17"/>
              </w:rPr>
              <w:t>Settlement should depend on verified readings.</w:t>
            </w:r>
          </w:p>
        </w:tc>
      </w:tr>
    </w:tbl>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Energy screen rule</w:t>
            </w:r>
          </w:p>
          <w:p>
            <w:pPr>
              <w:spacing w:after="0"/>
            </w:pPr>
            <w:r>
              <w:rPr>
                <w:rFonts w:ascii="Arial" w:hAnsi="Arial"/>
                <w:sz w:val="18"/>
              </w:rPr>
              <w:t>Before LBRS and go-live, show projections only. After go-live, show actual measured data. Do not show projected generation as if it is cashflow. Do not show E_gen as investor revenue. The investor earns from the payout pool tied to monetized solar and external monetization, not from sunlight alone.</w:t>
            </w:r>
          </w:p>
        </w:tc>
      </w:tr>
    </w:tbl>
    <w:p/>
    <w:p>
      <w:pPr>
        <w:pStyle w:val="Heading1"/>
      </w:pPr>
      <w:r>
        <w:rPr>
          <w:rFonts w:ascii="Arial" w:hAnsi="Arial"/>
          <w:sz w:val="20"/>
        </w:rPr>
        <w:t>14. Ownership and Claim Math</w:t>
      </w:r>
    </w:p>
    <w:p>
      <w:pPr>
        <w:spacing w:after="120"/>
      </w:pPr>
      <w:r>
        <w:rPr>
          <w:rFonts w:ascii="Arial" w:hAnsi="Arial"/>
          <w:sz w:val="20"/>
        </w:rPr>
        <w:t>Financiers need simple UI, but the math must be explicit. The app should calculate ownership/claim percentages based on contribution value, asset pool, valuation method, and the project waterfall.</w:t>
      </w:r>
    </w:p>
    <w:tbl>
      <w:tblPr>
        <w:tblStyle w:val="TableGrid"/>
        <w:tblW w:type="auto" w:w="0"/>
        <w:jc w:val="center"/>
        <w:tblLook w:firstColumn="1" w:firstRow="1" w:lastColumn="0" w:lastRow="0" w:noHBand="0" w:noVBand="1" w:val="04A0"/>
      </w:tblPr>
      <w:tblGrid>
        <w:gridCol w:w="3408"/>
        <w:gridCol w:w="3408"/>
        <w:gridCol w:w="3408"/>
      </w:tblGrid>
      <w:tr>
        <w:tc>
          <w:tcPr>
            <w:tcW w:type="dxa" w:w="2448"/>
            <w:shd w:fill="EDEDED"/>
            <w:vAlign w:val="center"/>
          </w:tcPr>
          <w:p>
            <w:pPr>
              <w:spacing w:after="0"/>
            </w:pPr>
            <w:r/>
            <w:r>
              <w:rPr>
                <w:rFonts w:ascii="Arial" w:hAnsi="Arial"/>
                <w:b/>
                <w:sz w:val="17"/>
              </w:rPr>
              <w:t>Claim type</w:t>
            </w:r>
          </w:p>
        </w:tc>
        <w:tc>
          <w:tcPr>
            <w:tcW w:type="dxa" w:w="4320"/>
            <w:shd w:fill="EDEDED"/>
            <w:vAlign w:val="center"/>
          </w:tcPr>
          <w:p>
            <w:pPr>
              <w:spacing w:after="0"/>
            </w:pPr>
            <w:r/>
            <w:r>
              <w:rPr>
                <w:rFonts w:ascii="Arial" w:hAnsi="Arial"/>
                <w:b/>
                <w:sz w:val="17"/>
              </w:rPr>
              <w:t>Formula / logic</w:t>
            </w:r>
          </w:p>
        </w:tc>
        <w:tc>
          <w:tcPr>
            <w:tcW w:type="dxa" w:w="2880"/>
            <w:shd w:fill="EDEDED"/>
            <w:vAlign w:val="center"/>
          </w:tcPr>
          <w:p>
            <w:pPr>
              <w:spacing w:after="0"/>
            </w:pPr>
            <w:r/>
            <w:r>
              <w:rPr>
                <w:rFonts w:ascii="Arial" w:hAnsi="Arial"/>
                <w:b/>
                <w:sz w:val="17"/>
              </w:rPr>
              <w:t>Example interpretation</w:t>
            </w:r>
          </w:p>
        </w:tc>
      </w:tr>
      <w:tr>
        <w:tc>
          <w:tcPr>
            <w:tcW w:type="dxa" w:w="2448"/>
            <w:vAlign w:val="top"/>
          </w:tcPr>
          <w:p>
            <w:pPr>
              <w:spacing w:after="0"/>
            </w:pPr>
            <w:r/>
            <w:r>
              <w:rPr>
                <w:rFonts w:ascii="Arial" w:hAnsi="Arial"/>
                <w:b w:val="0"/>
                <w:sz w:val="17"/>
              </w:rPr>
              <w:t>Infrastructure pool share</w:t>
            </w:r>
          </w:p>
        </w:tc>
        <w:tc>
          <w:tcPr>
            <w:tcW w:type="dxa" w:w="4320"/>
            <w:vAlign w:val="top"/>
          </w:tcPr>
          <w:p>
            <w:pPr>
              <w:spacing w:after="0"/>
            </w:pPr>
            <w:r/>
            <w:r>
              <w:rPr>
                <w:rFonts w:ascii="Arial" w:hAnsi="Arial"/>
                <w:b w:val="0"/>
                <w:sz w:val="17"/>
              </w:rPr>
              <w:t>Financier infrastructure claim = financier contribution to infrastructure stack / total infrastructure stack.</w:t>
            </w:r>
          </w:p>
        </w:tc>
        <w:tc>
          <w:tcPr>
            <w:tcW w:type="dxa" w:w="2880"/>
            <w:vAlign w:val="top"/>
          </w:tcPr>
          <w:p>
            <w:pPr>
              <w:spacing w:after="0"/>
            </w:pPr>
            <w:r/>
            <w:r>
              <w:rPr>
                <w:rFonts w:ascii="Arial" w:hAnsi="Arial"/>
                <w:b w:val="0"/>
                <w:sz w:val="17"/>
              </w:rPr>
              <w:t>If financier funds KSh 100,000 of a KSh 500,000 infra stack, they own 20% of the infra pool.</w:t>
            </w:r>
          </w:p>
        </w:tc>
      </w:tr>
      <w:tr>
        <w:tc>
          <w:tcPr>
            <w:tcW w:type="dxa" w:w="2448"/>
            <w:vAlign w:val="top"/>
          </w:tcPr>
          <w:p>
            <w:pPr>
              <w:spacing w:after="0"/>
            </w:pPr>
            <w:r/>
            <w:r>
              <w:rPr>
                <w:rFonts w:ascii="Arial" w:hAnsi="Arial"/>
                <w:b w:val="0"/>
                <w:sz w:val="17"/>
              </w:rPr>
              <w:t>Provider/array pool share</w:t>
            </w:r>
          </w:p>
        </w:tc>
        <w:tc>
          <w:tcPr>
            <w:tcW w:type="dxa" w:w="4320"/>
            <w:vAlign w:val="top"/>
          </w:tcPr>
          <w:p>
            <w:pPr>
              <w:spacing w:after="0"/>
            </w:pPr>
            <w:r/>
            <w:r>
              <w:rPr>
                <w:rFonts w:ascii="Arial" w:hAnsi="Arial"/>
                <w:b w:val="0"/>
                <w:sz w:val="17"/>
              </w:rPr>
              <w:t>Array claim = purchased provider share / total provider array value.</w:t>
            </w:r>
          </w:p>
        </w:tc>
        <w:tc>
          <w:tcPr>
            <w:tcW w:type="dxa" w:w="2880"/>
            <w:vAlign w:val="top"/>
          </w:tcPr>
          <w:p>
            <w:pPr>
              <w:spacing w:after="0"/>
            </w:pPr>
            <w:r/>
            <w:r>
              <w:rPr>
                <w:rFonts w:ascii="Arial" w:hAnsi="Arial"/>
                <w:b w:val="0"/>
                <w:sz w:val="17"/>
              </w:rPr>
              <w:t>If financier buys KSh 30,000 of a KSh 300,000 array, they own 10% of provider/array pool.</w:t>
            </w:r>
          </w:p>
        </w:tc>
      </w:tr>
      <w:tr>
        <w:tc>
          <w:tcPr>
            <w:tcW w:type="dxa" w:w="2448"/>
            <w:vAlign w:val="top"/>
          </w:tcPr>
          <w:p>
            <w:pPr>
              <w:spacing w:after="0"/>
            </w:pPr>
            <w:r/>
            <w:r>
              <w:rPr>
                <w:rFonts w:ascii="Arial" w:hAnsi="Arial"/>
                <w:b w:val="0"/>
                <w:sz w:val="17"/>
              </w:rPr>
              <w:t>Supplier-as-service buyout</w:t>
            </w:r>
          </w:p>
        </w:tc>
        <w:tc>
          <w:tcPr>
            <w:tcW w:type="dxa" w:w="4320"/>
            <w:vAlign w:val="top"/>
          </w:tcPr>
          <w:p>
            <w:pPr>
              <w:spacing w:after="0"/>
            </w:pPr>
            <w:r/>
            <w:r>
              <w:rPr>
                <w:rFonts w:ascii="Arial" w:hAnsi="Arial"/>
                <w:b w:val="0"/>
                <w:sz w:val="17"/>
              </w:rPr>
              <w:t>Claim acquired = supplier’s existing claim percentage or value under contract.</w:t>
            </w:r>
          </w:p>
        </w:tc>
        <w:tc>
          <w:tcPr>
            <w:tcW w:type="dxa" w:w="2880"/>
            <w:vAlign w:val="top"/>
          </w:tcPr>
          <w:p>
            <w:pPr>
              <w:spacing w:after="0"/>
            </w:pPr>
            <w:r/>
            <w:r>
              <w:rPr>
                <w:rFonts w:ascii="Arial" w:hAnsi="Arial"/>
                <w:b w:val="0"/>
                <w:sz w:val="17"/>
              </w:rPr>
              <w:t>If supplier had 15% infra-pool claim and financier buys all of it, financier receives that 15% claim.</w:t>
            </w:r>
          </w:p>
        </w:tc>
      </w:tr>
      <w:tr>
        <w:tc>
          <w:tcPr>
            <w:tcW w:type="dxa" w:w="2448"/>
            <w:vAlign w:val="top"/>
          </w:tcPr>
          <w:p>
            <w:pPr>
              <w:spacing w:after="0"/>
            </w:pPr>
            <w:r/>
            <w:r>
              <w:rPr>
                <w:rFonts w:ascii="Arial" w:hAnsi="Arial"/>
                <w:b w:val="0"/>
                <w:sz w:val="17"/>
              </w:rPr>
              <w:t>Labor-as-capital buyout</w:t>
            </w:r>
          </w:p>
        </w:tc>
        <w:tc>
          <w:tcPr>
            <w:tcW w:type="dxa" w:w="4320"/>
            <w:vAlign w:val="top"/>
          </w:tcPr>
          <w:p>
            <w:pPr>
              <w:spacing w:after="0"/>
            </w:pPr>
            <w:r/>
            <w:r>
              <w:rPr>
                <w:rFonts w:ascii="Arial" w:hAnsi="Arial"/>
                <w:b w:val="0"/>
                <w:sz w:val="17"/>
              </w:rPr>
              <w:t>Claim acquired = electrician’s infrastructure-pool claim, unless contract says otherwise.</w:t>
            </w:r>
          </w:p>
        </w:tc>
        <w:tc>
          <w:tcPr>
            <w:tcW w:type="dxa" w:w="2880"/>
            <w:vAlign w:val="top"/>
          </w:tcPr>
          <w:p>
            <w:pPr>
              <w:spacing w:after="0"/>
            </w:pPr>
            <w:r/>
            <w:r>
              <w:rPr>
                <w:rFonts w:ascii="Arial" w:hAnsi="Arial"/>
                <w:b w:val="0"/>
                <w:sz w:val="17"/>
              </w:rPr>
              <w:t>If labor claim is 8% of infra pool, buyout transfers that claim, not 8% of gross revenue.</w:t>
            </w:r>
          </w:p>
        </w:tc>
      </w:tr>
      <w:tr>
        <w:tc>
          <w:tcPr>
            <w:tcW w:type="dxa" w:w="2448"/>
            <w:vAlign w:val="top"/>
          </w:tcPr>
          <w:p>
            <w:pPr>
              <w:spacing w:after="0"/>
            </w:pPr>
            <w:r/>
            <w:r>
              <w:rPr>
                <w:rFonts w:ascii="Arial" w:hAnsi="Arial"/>
                <w:b w:val="0"/>
                <w:sz w:val="17"/>
              </w:rPr>
              <w:t>Recovery phase payout</w:t>
            </w:r>
          </w:p>
        </w:tc>
        <w:tc>
          <w:tcPr>
            <w:tcW w:type="dxa" w:w="4320"/>
            <w:vAlign w:val="top"/>
          </w:tcPr>
          <w:p>
            <w:pPr>
              <w:spacing w:after="0"/>
            </w:pPr>
            <w:r/>
            <w:r>
              <w:rPr>
                <w:rFonts w:ascii="Arial" w:hAnsi="Arial"/>
                <w:b w:val="0"/>
                <w:sz w:val="17"/>
              </w:rPr>
              <w:t>Investor payout = E_sold x assigned KSh/kWh pool rate x investor share, after reserves and according to priority.</w:t>
            </w:r>
          </w:p>
        </w:tc>
        <w:tc>
          <w:tcPr>
            <w:tcW w:type="dxa" w:w="2880"/>
            <w:vAlign w:val="top"/>
          </w:tcPr>
          <w:p>
            <w:pPr>
              <w:spacing w:after="0"/>
            </w:pPr>
            <w:r/>
            <w:r>
              <w:rPr>
                <w:rFonts w:ascii="Arial" w:hAnsi="Arial"/>
                <w:b w:val="0"/>
                <w:sz w:val="17"/>
              </w:rPr>
              <w:t>At KSh 10/kWh infra pool and 20% claim, investor receives KSh 2/kWh sold before fees/taxes if no shortfall.</w:t>
            </w:r>
          </w:p>
        </w:tc>
      </w:tr>
      <w:tr>
        <w:tc>
          <w:tcPr>
            <w:tcW w:type="dxa" w:w="2448"/>
            <w:vAlign w:val="top"/>
          </w:tcPr>
          <w:p>
            <w:pPr>
              <w:spacing w:after="0"/>
            </w:pPr>
            <w:r/>
            <w:r>
              <w:rPr>
                <w:rFonts w:ascii="Arial" w:hAnsi="Arial"/>
                <w:b w:val="0"/>
                <w:sz w:val="17"/>
              </w:rPr>
              <w:t>Royalty phase payout</w:t>
            </w:r>
          </w:p>
        </w:tc>
        <w:tc>
          <w:tcPr>
            <w:tcW w:type="dxa" w:w="4320"/>
            <w:vAlign w:val="top"/>
          </w:tcPr>
          <w:p>
            <w:pPr>
              <w:spacing w:after="0"/>
            </w:pPr>
            <w:r/>
            <w:r>
              <w:rPr>
                <w:rFonts w:ascii="Arial" w:hAnsi="Arial"/>
                <w:b w:val="0"/>
                <w:sz w:val="17"/>
              </w:rPr>
              <w:t>After target recovery, investor may receive smaller lifetime stream or stop, depending on terms.</w:t>
            </w:r>
          </w:p>
        </w:tc>
        <w:tc>
          <w:tcPr>
            <w:tcW w:type="dxa" w:w="2880"/>
            <w:vAlign w:val="top"/>
          </w:tcPr>
          <w:p>
            <w:pPr>
              <w:spacing w:after="0"/>
            </w:pPr>
            <w:r/>
            <w:r>
              <w:rPr>
                <w:rFonts w:ascii="Arial" w:hAnsi="Arial"/>
                <w:b w:val="0"/>
                <w:sz w:val="17"/>
              </w:rPr>
              <w:t>Terms must state whether royalties continue, step down, expire, or convert.</w:t>
            </w:r>
          </w:p>
        </w:tc>
      </w:tr>
    </w:tbl>
    <w:p/>
    <w:p>
      <w:pPr>
        <w:pStyle w:val="Heading1"/>
      </w:pPr>
      <w:r>
        <w:rPr>
          <w:rFonts w:ascii="Arial" w:hAnsi="Arial"/>
          <w:sz w:val="20"/>
        </w:rPr>
        <w:t>15. Settlement Doctrine for Financiers</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One-line rule</w:t>
            </w:r>
          </w:p>
          <w:p>
            <w:pPr>
              <w:spacing w:after="0"/>
            </w:pPr>
            <w:r>
              <w:rPr>
                <w:rFonts w:ascii="Arial" w:hAnsi="Arial"/>
                <w:sz w:val="18"/>
              </w:rPr>
              <w:t>Pay on monetized solar, not generated solar. If solar is wasted, curtailed, exported for free, unpaid, uncollected, or unsupported by verified data, it does not create financier payout.</w:t>
            </w:r>
          </w:p>
        </w:tc>
      </w:tr>
    </w:tbl>
    <w:p/>
    <w:tbl>
      <w:tblPr>
        <w:tblStyle w:val="TableGrid"/>
        <w:tblW w:type="auto" w:w="0"/>
        <w:jc w:val="center"/>
        <w:tblLook w:firstColumn="1" w:firstRow="1" w:lastColumn="0" w:lastRow="0" w:noHBand="0" w:noVBand="1" w:val="04A0"/>
      </w:tblPr>
      <w:tblGrid>
        <w:gridCol w:w="5112"/>
        <w:gridCol w:w="5112"/>
      </w:tblGrid>
      <w:tr>
        <w:tc>
          <w:tcPr>
            <w:tcW w:type="dxa" w:w="2880"/>
            <w:shd w:fill="EDEDED"/>
            <w:vAlign w:val="center"/>
          </w:tcPr>
          <w:p>
            <w:pPr>
              <w:spacing w:after="0"/>
            </w:pPr>
            <w:r/>
            <w:r>
              <w:rPr>
                <w:rFonts w:ascii="Arial" w:hAnsi="Arial"/>
                <w:b/>
                <w:sz w:val="17"/>
              </w:rPr>
              <w:t>Event</w:t>
            </w:r>
          </w:p>
        </w:tc>
        <w:tc>
          <w:tcPr>
            <w:tcW w:type="dxa" w:w="7200"/>
            <w:shd w:fill="EDEDED"/>
            <w:vAlign w:val="center"/>
          </w:tcPr>
          <w:p>
            <w:pPr>
              <w:spacing w:after="0"/>
            </w:pPr>
            <w:r/>
            <w:r>
              <w:rPr>
                <w:rFonts w:ascii="Arial" w:hAnsi="Arial"/>
                <w:b/>
                <w:sz w:val="17"/>
              </w:rPr>
              <w:t>Financier settlement result</w:t>
            </w:r>
          </w:p>
        </w:tc>
      </w:tr>
      <w:tr>
        <w:tc>
          <w:tcPr>
            <w:tcW w:type="dxa" w:w="2880"/>
            <w:vAlign w:val="top"/>
          </w:tcPr>
          <w:p>
            <w:pPr>
              <w:spacing w:after="0"/>
            </w:pPr>
            <w:r/>
            <w:r>
              <w:rPr>
                <w:rFonts w:ascii="Arial" w:hAnsi="Arial"/>
                <w:b w:val="0"/>
                <w:sz w:val="17"/>
              </w:rPr>
              <w:t>Financier commits capital but project not live</w:t>
            </w:r>
          </w:p>
        </w:tc>
        <w:tc>
          <w:tcPr>
            <w:tcW w:type="dxa" w:w="7200"/>
            <w:vAlign w:val="top"/>
          </w:tcPr>
          <w:p>
            <w:pPr>
              <w:spacing w:after="0"/>
            </w:pPr>
            <w:r/>
            <w:r>
              <w:rPr>
                <w:rFonts w:ascii="Arial" w:hAnsi="Arial"/>
                <w:b w:val="0"/>
                <w:sz w:val="17"/>
              </w:rPr>
              <w:t>No usage-linked return yet. Funds are pending, escrowed, or deployed according to milestone terms.</w:t>
            </w:r>
          </w:p>
        </w:tc>
      </w:tr>
      <w:tr>
        <w:tc>
          <w:tcPr>
            <w:tcW w:type="dxa" w:w="2880"/>
            <w:vAlign w:val="top"/>
          </w:tcPr>
          <w:p>
            <w:pPr>
              <w:spacing w:after="0"/>
            </w:pPr>
            <w:r/>
            <w:r>
              <w:rPr>
                <w:rFonts w:ascii="Arial" w:hAnsi="Arial"/>
                <w:b w:val="0"/>
                <w:sz w:val="17"/>
              </w:rPr>
              <w:t>DRS reaches 100%</w:t>
            </w:r>
          </w:p>
        </w:tc>
        <w:tc>
          <w:tcPr>
            <w:tcW w:type="dxa" w:w="7200"/>
            <w:vAlign w:val="top"/>
          </w:tcPr>
          <w:p>
            <w:pPr>
              <w:spacing w:after="0"/>
            </w:pPr>
            <w:r/>
            <w:r>
              <w:rPr>
                <w:rFonts w:ascii="Arial" w:hAnsi="Arial"/>
                <w:b w:val="0"/>
                <w:sz w:val="17"/>
              </w:rPr>
              <w:t>Project may schedule installation; still no usage-linked return.</w:t>
            </w:r>
          </w:p>
        </w:tc>
      </w:tr>
      <w:tr>
        <w:tc>
          <w:tcPr>
            <w:tcW w:type="dxa" w:w="2880"/>
            <w:vAlign w:val="top"/>
          </w:tcPr>
          <w:p>
            <w:pPr>
              <w:spacing w:after="0"/>
            </w:pPr>
            <w:r/>
            <w:r>
              <w:rPr>
                <w:rFonts w:ascii="Arial" w:hAnsi="Arial"/>
                <w:b w:val="0"/>
                <w:sz w:val="17"/>
              </w:rPr>
              <w:t>LBRS reaches 100% and project goes live</w:t>
            </w:r>
          </w:p>
        </w:tc>
        <w:tc>
          <w:tcPr>
            <w:tcW w:type="dxa" w:w="7200"/>
            <w:vAlign w:val="top"/>
          </w:tcPr>
          <w:p>
            <w:pPr>
              <w:spacing w:after="0"/>
            </w:pPr>
            <w:r/>
            <w:r>
              <w:rPr>
                <w:rFonts w:ascii="Arial" w:hAnsi="Arial"/>
                <w:b w:val="0"/>
                <w:sz w:val="17"/>
              </w:rPr>
              <w:t>Eligible for settlement once prepaid solar is actually consumed and verified.</w:t>
            </w:r>
          </w:p>
        </w:tc>
      </w:tr>
      <w:tr>
        <w:tc>
          <w:tcPr>
            <w:tcW w:type="dxa" w:w="2880"/>
            <w:vAlign w:val="top"/>
          </w:tcPr>
          <w:p>
            <w:pPr>
              <w:spacing w:after="0"/>
            </w:pPr>
            <w:r/>
            <w:r>
              <w:rPr>
                <w:rFonts w:ascii="Arial" w:hAnsi="Arial"/>
                <w:b w:val="0"/>
                <w:sz w:val="17"/>
              </w:rPr>
              <w:t>Solar generated and consumed by prepaid users</w:t>
            </w:r>
          </w:p>
        </w:tc>
        <w:tc>
          <w:tcPr>
            <w:tcW w:type="dxa" w:w="7200"/>
            <w:vAlign w:val="top"/>
          </w:tcPr>
          <w:p>
            <w:pPr>
              <w:spacing w:after="0"/>
            </w:pPr>
            <w:r/>
            <w:r>
              <w:rPr>
                <w:rFonts w:ascii="Arial" w:hAnsi="Arial"/>
                <w:b w:val="0"/>
                <w:sz w:val="17"/>
              </w:rPr>
              <w:t>Revenue enters settlement pool; financier receives their configured share of relevant pool.</w:t>
            </w:r>
          </w:p>
        </w:tc>
      </w:tr>
      <w:tr>
        <w:tc>
          <w:tcPr>
            <w:tcW w:type="dxa" w:w="2880"/>
            <w:vAlign w:val="top"/>
          </w:tcPr>
          <w:p>
            <w:pPr>
              <w:spacing w:after="0"/>
            </w:pPr>
            <w:r/>
            <w:r>
              <w:rPr>
                <w:rFonts w:ascii="Arial" w:hAnsi="Arial"/>
                <w:b w:val="0"/>
                <w:sz w:val="17"/>
              </w:rPr>
              <w:t>Solar generated but wasted/curtailed/free exported</w:t>
            </w:r>
          </w:p>
        </w:tc>
        <w:tc>
          <w:tcPr>
            <w:tcW w:type="dxa" w:w="7200"/>
            <w:vAlign w:val="top"/>
          </w:tcPr>
          <w:p>
            <w:pPr>
              <w:spacing w:after="0"/>
            </w:pPr>
            <w:r/>
            <w:r>
              <w:rPr>
                <w:rFonts w:ascii="Arial" w:hAnsi="Arial"/>
                <w:b w:val="0"/>
                <w:sz w:val="17"/>
              </w:rPr>
              <w:t>No payout unless separately monetized by approved export/trading settlement.</w:t>
            </w:r>
          </w:p>
        </w:tc>
      </w:tr>
      <w:tr>
        <w:tc>
          <w:tcPr>
            <w:tcW w:type="dxa" w:w="2880"/>
            <w:vAlign w:val="top"/>
          </w:tcPr>
          <w:p>
            <w:pPr>
              <w:spacing w:after="0"/>
            </w:pPr>
            <w:r/>
            <w:r>
              <w:rPr>
                <w:rFonts w:ascii="Arial" w:hAnsi="Arial"/>
                <w:b w:val="0"/>
                <w:sz w:val="17"/>
              </w:rPr>
              <w:t>Resident demand spikes beyond solar</w:t>
            </w:r>
          </w:p>
        </w:tc>
        <w:tc>
          <w:tcPr>
            <w:tcW w:type="dxa" w:w="7200"/>
            <w:vAlign w:val="top"/>
          </w:tcPr>
          <w:p>
            <w:pPr>
              <w:spacing w:after="0"/>
            </w:pPr>
            <w:r/>
            <w:r>
              <w:rPr>
                <w:rFonts w:ascii="Arial" w:hAnsi="Arial"/>
                <w:b w:val="0"/>
                <w:sz w:val="17"/>
              </w:rPr>
              <w:t>Grid fallback serves shortfall; financier earns only on e.mappa solar delivered and paid.</w:t>
            </w:r>
          </w:p>
        </w:tc>
      </w:tr>
      <w:tr>
        <w:tc>
          <w:tcPr>
            <w:tcW w:type="dxa" w:w="2880"/>
            <w:vAlign w:val="top"/>
          </w:tcPr>
          <w:p>
            <w:pPr>
              <w:spacing w:after="0"/>
            </w:pPr>
            <w:r/>
            <w:r>
              <w:rPr>
                <w:rFonts w:ascii="Arial" w:hAnsi="Arial"/>
                <w:b w:val="0"/>
                <w:sz w:val="17"/>
              </w:rPr>
              <w:t>Resident demand drops</w:t>
            </w:r>
          </w:p>
        </w:tc>
        <w:tc>
          <w:tcPr>
            <w:tcW w:type="dxa" w:w="7200"/>
            <w:vAlign w:val="top"/>
          </w:tcPr>
          <w:p>
            <w:pPr>
              <w:spacing w:after="0"/>
            </w:pPr>
            <w:r/>
            <w:r>
              <w:rPr>
                <w:rFonts w:ascii="Arial" w:hAnsi="Arial"/>
                <w:b w:val="0"/>
                <w:sz w:val="17"/>
              </w:rPr>
              <w:t>E_sold falls; revenue falls; payback stretches. No hidden debt should be created.</w:t>
            </w:r>
          </w:p>
        </w:tc>
      </w:tr>
      <w:tr>
        <w:tc>
          <w:tcPr>
            <w:tcW w:type="dxa" w:w="2880"/>
            <w:vAlign w:val="top"/>
          </w:tcPr>
          <w:p>
            <w:pPr>
              <w:spacing w:after="0"/>
            </w:pPr>
            <w:r/>
            <w:r>
              <w:rPr>
                <w:rFonts w:ascii="Arial" w:hAnsi="Arial"/>
                <w:b w:val="0"/>
                <w:sz w:val="17"/>
              </w:rPr>
              <w:t>Monitoring data missing</w:t>
            </w:r>
          </w:p>
        </w:tc>
        <w:tc>
          <w:tcPr>
            <w:tcW w:type="dxa" w:w="7200"/>
            <w:vAlign w:val="top"/>
          </w:tcPr>
          <w:p>
            <w:pPr>
              <w:spacing w:after="0"/>
            </w:pPr>
            <w:r/>
            <w:r>
              <w:rPr>
                <w:rFonts w:ascii="Arial" w:hAnsi="Arial"/>
                <w:b w:val="0"/>
                <w:sz w:val="17"/>
              </w:rPr>
              <w:t>Settlement pauses or uses conservative rules until data is verified.</w:t>
            </w:r>
          </w:p>
        </w:tc>
      </w:tr>
      <w:tr>
        <w:tc>
          <w:tcPr>
            <w:tcW w:type="dxa" w:w="2880"/>
            <w:vAlign w:val="top"/>
          </w:tcPr>
          <w:p>
            <w:pPr>
              <w:spacing w:after="0"/>
            </w:pPr>
            <w:r/>
            <w:r>
              <w:rPr>
                <w:rFonts w:ascii="Arial" w:hAnsi="Arial"/>
                <w:b w:val="0"/>
                <w:sz w:val="17"/>
              </w:rPr>
              <w:t>Asset is bought out by another party</w:t>
            </w:r>
          </w:p>
        </w:tc>
        <w:tc>
          <w:tcPr>
            <w:tcW w:type="dxa" w:w="7200"/>
            <w:vAlign w:val="top"/>
          </w:tcPr>
          <w:p>
            <w:pPr>
              <w:spacing w:after="0"/>
            </w:pPr>
            <w:r/>
            <w:r>
              <w:rPr>
                <w:rFonts w:ascii="Arial" w:hAnsi="Arial"/>
                <w:b w:val="0"/>
                <w:sz w:val="17"/>
              </w:rPr>
              <w:t>Financier receives buyout proceeds according to transfer rules and any required platform/legal approvals.</w:t>
            </w:r>
          </w:p>
        </w:tc>
      </w:tr>
      <w:tr>
        <w:tc>
          <w:tcPr>
            <w:tcW w:type="dxa" w:w="2880"/>
            <w:vAlign w:val="top"/>
          </w:tcPr>
          <w:p>
            <w:pPr>
              <w:spacing w:after="0"/>
            </w:pPr>
            <w:r/>
            <w:r>
              <w:rPr>
                <w:rFonts w:ascii="Arial" w:hAnsi="Arial"/>
                <w:b w:val="0"/>
                <w:sz w:val="17"/>
              </w:rPr>
              <w:t>Project suspended for safety/compliance</w:t>
            </w:r>
          </w:p>
        </w:tc>
        <w:tc>
          <w:tcPr>
            <w:tcW w:type="dxa" w:w="7200"/>
            <w:vAlign w:val="top"/>
          </w:tcPr>
          <w:p>
            <w:pPr>
              <w:spacing w:after="0"/>
            </w:pPr>
            <w:r/>
            <w:r>
              <w:rPr>
                <w:rFonts w:ascii="Arial" w:hAnsi="Arial"/>
                <w:b w:val="0"/>
                <w:sz w:val="17"/>
              </w:rPr>
              <w:t>Usage-linked settlement pauses; reserve/warranty/recovery process begins.</w:t>
            </w:r>
          </w:p>
        </w:tc>
      </w:tr>
    </w:tbl>
    <w:p/>
    <w:p>
      <w:pPr>
        <w:pStyle w:val="Heading1"/>
      </w:pPr>
      <w:r>
        <w:rPr>
          <w:rFonts w:ascii="Arial" w:hAnsi="Arial"/>
          <w:sz w:val="20"/>
        </w:rPr>
        <w:t>16. Wallet Screen</w:t>
      </w:r>
    </w:p>
    <w:p>
      <w:pPr>
        <w:spacing w:after="120"/>
      </w:pPr>
      <w:r>
        <w:rPr>
          <w:rFonts w:ascii="Arial" w:hAnsi="Arial"/>
          <w:sz w:val="20"/>
        </w:rPr>
        <w:t>The Wallet should feel like a transparent investment dashboard, not a black-box balance. It must separate committed capital, deployed capital, realized cashflow, projected cashflow, principal recovery, royalty income, fees, reserves, taxes, and withdrawals.</w:t>
      </w:r>
    </w:p>
    <w:tbl>
      <w:tblPr>
        <w:tblStyle w:val="TableGrid"/>
        <w:tblW w:type="auto" w:w="0"/>
        <w:jc w:val="center"/>
        <w:tblLook w:firstColumn="1" w:firstRow="1" w:lastColumn="0" w:lastRow="0" w:noHBand="0" w:noVBand="1" w:val="04A0"/>
      </w:tblPr>
      <w:tblGrid>
        <w:gridCol w:w="5112"/>
        <w:gridCol w:w="5112"/>
      </w:tblGrid>
      <w:tr>
        <w:tc>
          <w:tcPr>
            <w:tcW w:type="dxa" w:w="2448"/>
            <w:shd w:fill="EDEDED"/>
            <w:vAlign w:val="center"/>
          </w:tcPr>
          <w:p>
            <w:pPr>
              <w:spacing w:after="0"/>
            </w:pPr>
            <w:r/>
            <w:r>
              <w:rPr>
                <w:rFonts w:ascii="Arial" w:hAnsi="Arial"/>
                <w:b/>
                <w:sz w:val="17"/>
              </w:rPr>
              <w:t>Wallet section</w:t>
            </w:r>
          </w:p>
        </w:tc>
        <w:tc>
          <w:tcPr>
            <w:tcW w:type="dxa" w:w="7488"/>
            <w:shd w:fill="EDEDED"/>
            <w:vAlign w:val="center"/>
          </w:tcPr>
          <w:p>
            <w:pPr>
              <w:spacing w:after="0"/>
            </w:pPr>
            <w:r/>
            <w:r>
              <w:rPr>
                <w:rFonts w:ascii="Arial" w:hAnsi="Arial"/>
                <w:b/>
                <w:sz w:val="17"/>
              </w:rPr>
              <w:t>Contents</w:t>
            </w:r>
          </w:p>
        </w:tc>
      </w:tr>
      <w:tr>
        <w:tc>
          <w:tcPr>
            <w:tcW w:type="dxa" w:w="2448"/>
            <w:vAlign w:val="top"/>
          </w:tcPr>
          <w:p>
            <w:pPr>
              <w:spacing w:after="0"/>
            </w:pPr>
            <w:r/>
            <w:r>
              <w:rPr>
                <w:rFonts w:ascii="Arial" w:hAnsi="Arial"/>
                <w:b w:val="0"/>
                <w:sz w:val="17"/>
              </w:rPr>
              <w:t>Available balance</w:t>
            </w:r>
          </w:p>
        </w:tc>
        <w:tc>
          <w:tcPr>
            <w:tcW w:type="dxa" w:w="7488"/>
            <w:vAlign w:val="top"/>
          </w:tcPr>
          <w:p>
            <w:pPr>
              <w:spacing w:after="0"/>
            </w:pPr>
            <w:r/>
            <w:r>
              <w:rPr>
                <w:rFonts w:ascii="Arial" w:hAnsi="Arial"/>
                <w:b w:val="0"/>
                <w:sz w:val="17"/>
              </w:rPr>
              <w:t>Cash available for eligible commitments or withdrawal, subject to payment rail and compliance rules.</w:t>
            </w:r>
          </w:p>
        </w:tc>
      </w:tr>
      <w:tr>
        <w:tc>
          <w:tcPr>
            <w:tcW w:type="dxa" w:w="2448"/>
            <w:vAlign w:val="top"/>
          </w:tcPr>
          <w:p>
            <w:pPr>
              <w:spacing w:after="0"/>
            </w:pPr>
            <w:r/>
            <w:r>
              <w:rPr>
                <w:rFonts w:ascii="Arial" w:hAnsi="Arial"/>
                <w:b w:val="0"/>
                <w:sz w:val="17"/>
              </w:rPr>
              <w:t>Pending commitments</w:t>
            </w:r>
          </w:p>
        </w:tc>
        <w:tc>
          <w:tcPr>
            <w:tcW w:type="dxa" w:w="7488"/>
            <w:vAlign w:val="top"/>
          </w:tcPr>
          <w:p>
            <w:pPr>
              <w:spacing w:after="0"/>
            </w:pPr>
            <w:r/>
            <w:r>
              <w:rPr>
                <w:rFonts w:ascii="Arial" w:hAnsi="Arial"/>
                <w:b w:val="0"/>
                <w:sz w:val="17"/>
              </w:rPr>
              <w:t>Investments selected but not yet accepted, paid, escrowed, or approved.</w:t>
            </w:r>
          </w:p>
        </w:tc>
      </w:tr>
      <w:tr>
        <w:tc>
          <w:tcPr>
            <w:tcW w:type="dxa" w:w="2448"/>
            <w:vAlign w:val="top"/>
          </w:tcPr>
          <w:p>
            <w:pPr>
              <w:spacing w:after="0"/>
            </w:pPr>
            <w:r/>
            <w:r>
              <w:rPr>
                <w:rFonts w:ascii="Arial" w:hAnsi="Arial"/>
                <w:b w:val="0"/>
                <w:sz w:val="17"/>
              </w:rPr>
              <w:t>Escrowed funds</w:t>
            </w:r>
          </w:p>
        </w:tc>
        <w:tc>
          <w:tcPr>
            <w:tcW w:type="dxa" w:w="7488"/>
            <w:vAlign w:val="top"/>
          </w:tcPr>
          <w:p>
            <w:pPr>
              <w:spacing w:after="0"/>
            </w:pPr>
            <w:r/>
            <w:r>
              <w:rPr>
                <w:rFonts w:ascii="Arial" w:hAnsi="Arial"/>
                <w:b w:val="0"/>
                <w:sz w:val="17"/>
              </w:rPr>
              <w:t>Funds held pending DRS, contracts, milestone release, or cancellation window.</w:t>
            </w:r>
          </w:p>
        </w:tc>
      </w:tr>
      <w:tr>
        <w:tc>
          <w:tcPr>
            <w:tcW w:type="dxa" w:w="2448"/>
            <w:vAlign w:val="top"/>
          </w:tcPr>
          <w:p>
            <w:pPr>
              <w:spacing w:after="0"/>
            </w:pPr>
            <w:r/>
            <w:r>
              <w:rPr>
                <w:rFonts w:ascii="Arial" w:hAnsi="Arial"/>
                <w:b w:val="0"/>
                <w:sz w:val="17"/>
              </w:rPr>
              <w:t>Deployed principal</w:t>
            </w:r>
          </w:p>
        </w:tc>
        <w:tc>
          <w:tcPr>
            <w:tcW w:type="dxa" w:w="7488"/>
            <w:vAlign w:val="top"/>
          </w:tcPr>
          <w:p>
            <w:pPr>
              <w:spacing w:after="0"/>
            </w:pPr>
            <w:r/>
            <w:r>
              <w:rPr>
                <w:rFonts w:ascii="Arial" w:hAnsi="Arial"/>
                <w:b w:val="0"/>
                <w:sz w:val="17"/>
              </w:rPr>
              <w:t>Capital released to project or asset buyout. Show by project, asset, pool, tranche, and currency.</w:t>
            </w:r>
          </w:p>
        </w:tc>
      </w:tr>
      <w:tr>
        <w:tc>
          <w:tcPr>
            <w:tcW w:type="dxa" w:w="2448"/>
            <w:vAlign w:val="top"/>
          </w:tcPr>
          <w:p>
            <w:pPr>
              <w:spacing w:after="0"/>
            </w:pPr>
            <w:r/>
            <w:r>
              <w:rPr>
                <w:rFonts w:ascii="Arial" w:hAnsi="Arial"/>
                <w:b w:val="0"/>
                <w:sz w:val="17"/>
              </w:rPr>
              <w:t>Cashflow received</w:t>
            </w:r>
          </w:p>
        </w:tc>
        <w:tc>
          <w:tcPr>
            <w:tcW w:type="dxa" w:w="7488"/>
            <w:vAlign w:val="top"/>
          </w:tcPr>
          <w:p>
            <w:pPr>
              <w:spacing w:after="0"/>
            </w:pPr>
            <w:r/>
            <w:r>
              <w:rPr>
                <w:rFonts w:ascii="Arial" w:hAnsi="Arial"/>
                <w:b w:val="0"/>
                <w:sz w:val="17"/>
              </w:rPr>
              <w:t>Settlement payouts from infrastructure pool, provider/array pool, buyouts, royalties, export/trading if enabled.</w:t>
            </w:r>
          </w:p>
        </w:tc>
      </w:tr>
      <w:tr>
        <w:tc>
          <w:tcPr>
            <w:tcW w:type="dxa" w:w="2448"/>
            <w:vAlign w:val="top"/>
          </w:tcPr>
          <w:p>
            <w:pPr>
              <w:spacing w:after="0"/>
            </w:pPr>
            <w:r/>
            <w:r>
              <w:rPr>
                <w:rFonts w:ascii="Arial" w:hAnsi="Arial"/>
                <w:b w:val="0"/>
                <w:sz w:val="17"/>
              </w:rPr>
              <w:t>Projected income</w:t>
            </w:r>
          </w:p>
        </w:tc>
        <w:tc>
          <w:tcPr>
            <w:tcW w:type="dxa" w:w="7488"/>
            <w:vAlign w:val="top"/>
          </w:tcPr>
          <w:p>
            <w:pPr>
              <w:spacing w:after="0"/>
            </w:pPr>
            <w:r/>
            <w:r>
              <w:rPr>
                <w:rFonts w:ascii="Arial" w:hAnsi="Arial"/>
                <w:b w:val="0"/>
                <w:sz w:val="17"/>
              </w:rPr>
              <w:t>Base/downside/upside modeled cashflow, clearly labeled estimates. Include assumptions.</w:t>
            </w:r>
          </w:p>
        </w:tc>
      </w:tr>
      <w:tr>
        <w:tc>
          <w:tcPr>
            <w:tcW w:type="dxa" w:w="2448"/>
            <w:vAlign w:val="top"/>
          </w:tcPr>
          <w:p>
            <w:pPr>
              <w:spacing w:after="0"/>
            </w:pPr>
            <w:r/>
            <w:r>
              <w:rPr>
                <w:rFonts w:ascii="Arial" w:hAnsi="Arial"/>
                <w:b w:val="0"/>
                <w:sz w:val="17"/>
              </w:rPr>
              <w:t>Payback tracker</w:t>
            </w:r>
          </w:p>
        </w:tc>
        <w:tc>
          <w:tcPr>
            <w:tcW w:type="dxa" w:w="7488"/>
            <w:vAlign w:val="top"/>
          </w:tcPr>
          <w:p>
            <w:pPr>
              <w:spacing w:after="0"/>
            </w:pPr>
            <w:r/>
            <w:r>
              <w:rPr>
                <w:rFonts w:ascii="Arial" w:hAnsi="Arial"/>
                <w:b w:val="0"/>
                <w:sz w:val="17"/>
              </w:rPr>
              <w:t>Principal recovered, remaining principal, projected payback period, actual payback velocity, scenario-adjusted payback.</w:t>
            </w:r>
          </w:p>
        </w:tc>
      </w:tr>
      <w:tr>
        <w:tc>
          <w:tcPr>
            <w:tcW w:type="dxa" w:w="2448"/>
            <w:vAlign w:val="top"/>
          </w:tcPr>
          <w:p>
            <w:pPr>
              <w:spacing w:after="0"/>
            </w:pPr>
            <w:r/>
            <w:r>
              <w:rPr>
                <w:rFonts w:ascii="Arial" w:hAnsi="Arial"/>
                <w:b w:val="0"/>
                <w:sz w:val="17"/>
              </w:rPr>
              <w:t>Fees and reserves</w:t>
            </w:r>
          </w:p>
        </w:tc>
        <w:tc>
          <w:tcPr>
            <w:tcW w:type="dxa" w:w="7488"/>
            <w:vAlign w:val="top"/>
          </w:tcPr>
          <w:p>
            <w:pPr>
              <w:spacing w:after="0"/>
            </w:pPr>
            <w:r/>
            <w:r>
              <w:rPr>
                <w:rFonts w:ascii="Arial" w:hAnsi="Arial"/>
                <w:b w:val="0"/>
                <w:sz w:val="17"/>
              </w:rPr>
              <w:t>Platform fees, maintenance reserve deductions, utility/wheeling fees where enabled, custody/payment fees, taxes withheld if applicable.</w:t>
            </w:r>
          </w:p>
        </w:tc>
      </w:tr>
      <w:tr>
        <w:tc>
          <w:tcPr>
            <w:tcW w:type="dxa" w:w="2448"/>
            <w:vAlign w:val="top"/>
          </w:tcPr>
          <w:p>
            <w:pPr>
              <w:spacing w:after="0"/>
            </w:pPr>
            <w:r/>
            <w:r>
              <w:rPr>
                <w:rFonts w:ascii="Arial" w:hAnsi="Arial"/>
                <w:b w:val="0"/>
                <w:sz w:val="17"/>
              </w:rPr>
              <w:t>Risk and performance alerts</w:t>
            </w:r>
          </w:p>
        </w:tc>
        <w:tc>
          <w:tcPr>
            <w:tcW w:type="dxa" w:w="7488"/>
            <w:vAlign w:val="top"/>
          </w:tcPr>
          <w:p>
            <w:pPr>
              <w:spacing w:after="0"/>
            </w:pPr>
            <w:r/>
            <w:r>
              <w:rPr>
                <w:rFonts w:ascii="Arial" w:hAnsi="Arial"/>
                <w:b w:val="0"/>
                <w:sz w:val="17"/>
              </w:rPr>
              <w:t>Low utilization, data missing, downtime, maintenance event, LBRS delay, stakeholder dispute, regulatory hold.</w:t>
            </w:r>
          </w:p>
        </w:tc>
      </w:tr>
      <w:tr>
        <w:tc>
          <w:tcPr>
            <w:tcW w:type="dxa" w:w="2448"/>
            <w:vAlign w:val="top"/>
          </w:tcPr>
          <w:p>
            <w:pPr>
              <w:spacing w:after="0"/>
            </w:pPr>
            <w:r/>
            <w:r>
              <w:rPr>
                <w:rFonts w:ascii="Arial" w:hAnsi="Arial"/>
                <w:b w:val="0"/>
                <w:sz w:val="17"/>
              </w:rPr>
              <w:t>Statements and exports</w:t>
            </w:r>
          </w:p>
        </w:tc>
        <w:tc>
          <w:tcPr>
            <w:tcW w:type="dxa" w:w="7488"/>
            <w:vAlign w:val="top"/>
          </w:tcPr>
          <w:p>
            <w:pPr>
              <w:spacing w:after="0"/>
            </w:pPr>
            <w:r/>
            <w:r>
              <w:rPr>
                <w:rFonts w:ascii="Arial" w:hAnsi="Arial"/>
                <w:b w:val="0"/>
                <w:sz w:val="17"/>
              </w:rPr>
              <w:t>Monthly statements, project-level ledger, tax docs, contract copies, audit trail, CSV/PDF export.</w:t>
            </w:r>
          </w:p>
        </w:tc>
      </w:tr>
    </w:tbl>
    <w:p/>
    <w:p>
      <w:pPr>
        <w:pStyle w:val="Heading1"/>
      </w:pPr>
      <w:r>
        <w:rPr>
          <w:rFonts w:ascii="Arial" w:hAnsi="Arial"/>
          <w:sz w:val="20"/>
        </w:rPr>
        <w:t>17. Projected Returns and Payback Period</w:t>
      </w:r>
    </w:p>
    <w:p>
      <w:pPr>
        <w:spacing w:after="120"/>
      </w:pPr>
      <w:r>
        <w:rPr>
          <w:rFonts w:ascii="Arial" w:hAnsi="Arial"/>
          <w:sz w:val="20"/>
        </w:rPr>
        <w:t>Projected returns are necessary for financiers, but they are also the easiest way to destroy trust if handled carelessly. The app should show conservative ranges and the assumptions behind them. Payback should update as measured utilization replaces projections.</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Projection rule</w:t>
            </w:r>
          </w:p>
          <w:p>
            <w:pPr>
              <w:spacing w:after="0"/>
            </w:pPr>
            <w:r>
              <w:rPr>
                <w:rFonts w:ascii="Arial" w:hAnsi="Arial"/>
                <w:sz w:val="18"/>
              </w:rPr>
              <w:t>Never show a single guaranteed payback. Show downside, base, and upside cases. The base case should not be the most optimistic case. Use measured data after go-live and progressively replace assumptions with actuals.</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448"/>
            <w:shd w:fill="EDEDED"/>
            <w:vAlign w:val="center"/>
          </w:tcPr>
          <w:p>
            <w:pPr>
              <w:spacing w:after="0"/>
            </w:pPr>
            <w:r/>
            <w:r>
              <w:rPr>
                <w:rFonts w:ascii="Arial" w:hAnsi="Arial"/>
                <w:b/>
                <w:sz w:val="17"/>
              </w:rPr>
              <w:t>Projection input</w:t>
            </w:r>
          </w:p>
        </w:tc>
        <w:tc>
          <w:tcPr>
            <w:tcW w:type="dxa" w:w="3456"/>
            <w:shd w:fill="EDEDED"/>
            <w:vAlign w:val="center"/>
          </w:tcPr>
          <w:p>
            <w:pPr>
              <w:spacing w:after="0"/>
            </w:pPr>
            <w:r/>
            <w:r>
              <w:rPr>
                <w:rFonts w:ascii="Arial" w:hAnsi="Arial"/>
                <w:b/>
                <w:sz w:val="17"/>
              </w:rPr>
              <w:t>Use in model</w:t>
            </w:r>
          </w:p>
        </w:tc>
        <w:tc>
          <w:tcPr>
            <w:tcW w:type="dxa" w:w="4176"/>
            <w:shd w:fill="EDEDED"/>
            <w:vAlign w:val="center"/>
          </w:tcPr>
          <w:p>
            <w:pPr>
              <w:spacing w:after="0"/>
            </w:pPr>
            <w:r/>
            <w:r>
              <w:rPr>
                <w:rFonts w:ascii="Arial" w:hAnsi="Arial"/>
                <w:b/>
                <w:sz w:val="17"/>
              </w:rPr>
              <w:t>Required display</w:t>
            </w:r>
          </w:p>
        </w:tc>
      </w:tr>
      <w:tr>
        <w:tc>
          <w:tcPr>
            <w:tcW w:type="dxa" w:w="2448"/>
            <w:vAlign w:val="top"/>
          </w:tcPr>
          <w:p>
            <w:pPr>
              <w:spacing w:after="0"/>
            </w:pPr>
            <w:r/>
            <w:r>
              <w:rPr>
                <w:rFonts w:ascii="Arial" w:hAnsi="Arial"/>
                <w:b w:val="0"/>
                <w:sz w:val="17"/>
              </w:rPr>
              <w:t>Investment amount</w:t>
            </w:r>
          </w:p>
        </w:tc>
        <w:tc>
          <w:tcPr>
            <w:tcW w:type="dxa" w:w="3456"/>
            <w:vAlign w:val="top"/>
          </w:tcPr>
          <w:p>
            <w:pPr>
              <w:spacing w:after="0"/>
            </w:pPr>
            <w:r/>
            <w:r>
              <w:rPr>
                <w:rFonts w:ascii="Arial" w:hAnsi="Arial"/>
                <w:b w:val="0"/>
                <w:sz w:val="17"/>
              </w:rPr>
              <w:t>Numerator of payback calculation.</w:t>
            </w:r>
          </w:p>
        </w:tc>
        <w:tc>
          <w:tcPr>
            <w:tcW w:type="dxa" w:w="4176"/>
            <w:vAlign w:val="top"/>
          </w:tcPr>
          <w:p>
            <w:pPr>
              <w:spacing w:after="0"/>
            </w:pPr>
            <w:r/>
            <w:r>
              <w:rPr>
                <w:rFonts w:ascii="Arial" w:hAnsi="Arial"/>
                <w:b w:val="0"/>
                <w:sz w:val="17"/>
              </w:rPr>
              <w:t>Amount deployed, fees, escrow status, currency.</w:t>
            </w:r>
          </w:p>
        </w:tc>
      </w:tr>
      <w:tr>
        <w:tc>
          <w:tcPr>
            <w:tcW w:type="dxa" w:w="2448"/>
            <w:vAlign w:val="top"/>
          </w:tcPr>
          <w:p>
            <w:pPr>
              <w:spacing w:after="0"/>
            </w:pPr>
            <w:r/>
            <w:r>
              <w:rPr>
                <w:rFonts w:ascii="Arial" w:hAnsi="Arial"/>
                <w:b w:val="0"/>
                <w:sz w:val="17"/>
              </w:rPr>
              <w:t>Payout pool rate</w:t>
            </w:r>
          </w:p>
        </w:tc>
        <w:tc>
          <w:tcPr>
            <w:tcW w:type="dxa" w:w="3456"/>
            <w:vAlign w:val="top"/>
          </w:tcPr>
          <w:p>
            <w:pPr>
              <w:spacing w:after="0"/>
            </w:pPr>
            <w:r/>
            <w:r>
              <w:rPr>
                <w:rFonts w:ascii="Arial" w:hAnsi="Arial"/>
                <w:b w:val="0"/>
                <w:sz w:val="17"/>
              </w:rPr>
              <w:t>KSh/kWh allocated to infrastructure or provider pool.</w:t>
            </w:r>
          </w:p>
        </w:tc>
        <w:tc>
          <w:tcPr>
            <w:tcW w:type="dxa" w:w="4176"/>
            <w:vAlign w:val="top"/>
          </w:tcPr>
          <w:p>
            <w:pPr>
              <w:spacing w:after="0"/>
            </w:pPr>
            <w:r/>
            <w:r>
              <w:rPr>
                <w:rFonts w:ascii="Arial" w:hAnsi="Arial"/>
                <w:b w:val="0"/>
                <w:sz w:val="17"/>
              </w:rPr>
              <w:t>Recovery phase and royalty phase separately.</w:t>
            </w:r>
          </w:p>
        </w:tc>
      </w:tr>
      <w:tr>
        <w:tc>
          <w:tcPr>
            <w:tcW w:type="dxa" w:w="2448"/>
            <w:vAlign w:val="top"/>
          </w:tcPr>
          <w:p>
            <w:pPr>
              <w:spacing w:after="0"/>
            </w:pPr>
            <w:r/>
            <w:r>
              <w:rPr>
                <w:rFonts w:ascii="Arial" w:hAnsi="Arial"/>
                <w:b w:val="0"/>
                <w:sz w:val="17"/>
              </w:rPr>
              <w:t>Investor claim percentage</w:t>
            </w:r>
          </w:p>
        </w:tc>
        <w:tc>
          <w:tcPr>
            <w:tcW w:type="dxa" w:w="3456"/>
            <w:vAlign w:val="top"/>
          </w:tcPr>
          <w:p>
            <w:pPr>
              <w:spacing w:after="0"/>
            </w:pPr>
            <w:r/>
            <w:r>
              <w:rPr>
                <w:rFonts w:ascii="Arial" w:hAnsi="Arial"/>
                <w:b w:val="0"/>
                <w:sz w:val="17"/>
              </w:rPr>
              <w:t>Share of relevant payout pool.</w:t>
            </w:r>
          </w:p>
        </w:tc>
        <w:tc>
          <w:tcPr>
            <w:tcW w:type="dxa" w:w="4176"/>
            <w:vAlign w:val="top"/>
          </w:tcPr>
          <w:p>
            <w:pPr>
              <w:spacing w:after="0"/>
            </w:pPr>
            <w:r/>
            <w:r>
              <w:rPr>
                <w:rFonts w:ascii="Arial" w:hAnsi="Arial"/>
                <w:b w:val="0"/>
                <w:sz w:val="17"/>
              </w:rPr>
              <w:t>Asset/pool share, not gross revenue unless explicitly contracted.</w:t>
            </w:r>
          </w:p>
        </w:tc>
      </w:tr>
      <w:tr>
        <w:tc>
          <w:tcPr>
            <w:tcW w:type="dxa" w:w="2448"/>
            <w:vAlign w:val="top"/>
          </w:tcPr>
          <w:p>
            <w:pPr>
              <w:spacing w:after="0"/>
            </w:pPr>
            <w:r/>
            <w:r>
              <w:rPr>
                <w:rFonts w:ascii="Arial" w:hAnsi="Arial"/>
                <w:b w:val="0"/>
                <w:sz w:val="17"/>
              </w:rPr>
              <w:t>E_sold</w:t>
            </w:r>
          </w:p>
        </w:tc>
        <w:tc>
          <w:tcPr>
            <w:tcW w:type="dxa" w:w="3456"/>
            <w:vAlign w:val="top"/>
          </w:tcPr>
          <w:p>
            <w:pPr>
              <w:spacing w:after="0"/>
            </w:pPr>
            <w:r/>
            <w:r>
              <w:rPr>
                <w:rFonts w:ascii="Arial" w:hAnsi="Arial"/>
                <w:b w:val="0"/>
                <w:sz w:val="17"/>
              </w:rPr>
              <w:t>Monthly monetized solar.</w:t>
            </w:r>
          </w:p>
        </w:tc>
        <w:tc>
          <w:tcPr>
            <w:tcW w:type="dxa" w:w="4176"/>
            <w:vAlign w:val="top"/>
          </w:tcPr>
          <w:p>
            <w:pPr>
              <w:spacing w:after="0"/>
            </w:pPr>
            <w:r/>
            <w:r>
              <w:rPr>
                <w:rFonts w:ascii="Arial" w:hAnsi="Arial"/>
                <w:b w:val="0"/>
                <w:sz w:val="17"/>
              </w:rPr>
              <w:t>Actual after live; projected before live.</w:t>
            </w:r>
          </w:p>
        </w:tc>
      </w:tr>
      <w:tr>
        <w:tc>
          <w:tcPr>
            <w:tcW w:type="dxa" w:w="2448"/>
            <w:vAlign w:val="top"/>
          </w:tcPr>
          <w:p>
            <w:pPr>
              <w:spacing w:after="0"/>
            </w:pPr>
            <w:r/>
            <w:r>
              <w:rPr>
                <w:rFonts w:ascii="Arial" w:hAnsi="Arial"/>
                <w:b w:val="0"/>
                <w:sz w:val="17"/>
              </w:rPr>
              <w:t>Utilization</w:t>
            </w:r>
          </w:p>
        </w:tc>
        <w:tc>
          <w:tcPr>
            <w:tcW w:type="dxa" w:w="3456"/>
            <w:vAlign w:val="top"/>
          </w:tcPr>
          <w:p>
            <w:pPr>
              <w:spacing w:after="0"/>
            </w:pPr>
            <w:r/>
            <w:r>
              <w:rPr>
                <w:rFonts w:ascii="Arial" w:hAnsi="Arial"/>
                <w:b w:val="0"/>
                <w:sz w:val="17"/>
              </w:rPr>
              <w:t>E_sold / E_gen.</w:t>
            </w:r>
          </w:p>
        </w:tc>
        <w:tc>
          <w:tcPr>
            <w:tcW w:type="dxa" w:w="4176"/>
            <w:vAlign w:val="top"/>
          </w:tcPr>
          <w:p>
            <w:pPr>
              <w:spacing w:after="0"/>
            </w:pPr>
            <w:r/>
            <w:r>
              <w:rPr>
                <w:rFonts w:ascii="Arial" w:hAnsi="Arial"/>
                <w:b w:val="0"/>
                <w:sz w:val="17"/>
              </w:rPr>
              <w:t>Sensitivity table: 90%, 75%, 60%, 45%, 30% or project-specific bands.</w:t>
            </w:r>
          </w:p>
        </w:tc>
      </w:tr>
      <w:tr>
        <w:tc>
          <w:tcPr>
            <w:tcW w:type="dxa" w:w="2448"/>
            <w:vAlign w:val="top"/>
          </w:tcPr>
          <w:p>
            <w:pPr>
              <w:spacing w:after="0"/>
            </w:pPr>
            <w:r/>
            <w:r>
              <w:rPr>
                <w:rFonts w:ascii="Arial" w:hAnsi="Arial"/>
                <w:b w:val="0"/>
                <w:sz w:val="17"/>
              </w:rPr>
              <w:t>Downtime</w:t>
            </w:r>
          </w:p>
        </w:tc>
        <w:tc>
          <w:tcPr>
            <w:tcW w:type="dxa" w:w="3456"/>
            <w:vAlign w:val="top"/>
          </w:tcPr>
          <w:p>
            <w:pPr>
              <w:spacing w:after="0"/>
            </w:pPr>
            <w:r/>
            <w:r>
              <w:rPr>
                <w:rFonts w:ascii="Arial" w:hAnsi="Arial"/>
                <w:b w:val="0"/>
                <w:sz w:val="17"/>
              </w:rPr>
              <w:t>Days or percent system unavailable.</w:t>
            </w:r>
          </w:p>
        </w:tc>
        <w:tc>
          <w:tcPr>
            <w:tcW w:type="dxa" w:w="4176"/>
            <w:vAlign w:val="top"/>
          </w:tcPr>
          <w:p>
            <w:pPr>
              <w:spacing w:after="0"/>
            </w:pPr>
            <w:r/>
            <w:r>
              <w:rPr>
                <w:rFonts w:ascii="Arial" w:hAnsi="Arial"/>
                <w:b w:val="0"/>
                <w:sz w:val="17"/>
              </w:rPr>
              <w:t>Maintenance and reliability risk.</w:t>
            </w:r>
          </w:p>
        </w:tc>
      </w:tr>
      <w:tr>
        <w:tc>
          <w:tcPr>
            <w:tcW w:type="dxa" w:w="2448"/>
            <w:vAlign w:val="top"/>
          </w:tcPr>
          <w:p>
            <w:pPr>
              <w:spacing w:after="0"/>
            </w:pPr>
            <w:r/>
            <w:r>
              <w:rPr>
                <w:rFonts w:ascii="Arial" w:hAnsi="Arial"/>
                <w:b w:val="0"/>
                <w:sz w:val="17"/>
              </w:rPr>
              <w:t>Degradation</w:t>
            </w:r>
          </w:p>
        </w:tc>
        <w:tc>
          <w:tcPr>
            <w:tcW w:type="dxa" w:w="3456"/>
            <w:vAlign w:val="top"/>
          </w:tcPr>
          <w:p>
            <w:pPr>
              <w:spacing w:after="0"/>
            </w:pPr>
            <w:r/>
            <w:r>
              <w:rPr>
                <w:rFonts w:ascii="Arial" w:hAnsi="Arial"/>
                <w:b w:val="0"/>
                <w:sz w:val="17"/>
              </w:rPr>
              <w:t>Panel/battery performance loss over time.</w:t>
            </w:r>
          </w:p>
        </w:tc>
        <w:tc>
          <w:tcPr>
            <w:tcW w:type="dxa" w:w="4176"/>
            <w:vAlign w:val="top"/>
          </w:tcPr>
          <w:p>
            <w:pPr>
              <w:spacing w:after="0"/>
            </w:pPr>
            <w:r/>
            <w:r>
              <w:rPr>
                <w:rFonts w:ascii="Arial" w:hAnsi="Arial"/>
                <w:b w:val="0"/>
                <w:sz w:val="17"/>
              </w:rPr>
              <w:t>Long-term payback and royalty effect.</w:t>
            </w:r>
          </w:p>
        </w:tc>
      </w:tr>
      <w:tr>
        <w:tc>
          <w:tcPr>
            <w:tcW w:type="dxa" w:w="2448"/>
            <w:vAlign w:val="top"/>
          </w:tcPr>
          <w:p>
            <w:pPr>
              <w:spacing w:after="0"/>
            </w:pPr>
            <w:r/>
            <w:r>
              <w:rPr>
                <w:rFonts w:ascii="Arial" w:hAnsi="Arial"/>
                <w:b w:val="0"/>
                <w:sz w:val="17"/>
              </w:rPr>
              <w:t>Reserve and fees</w:t>
            </w:r>
          </w:p>
        </w:tc>
        <w:tc>
          <w:tcPr>
            <w:tcW w:type="dxa" w:w="3456"/>
            <w:vAlign w:val="top"/>
          </w:tcPr>
          <w:p>
            <w:pPr>
              <w:spacing w:after="0"/>
            </w:pPr>
            <w:r/>
            <w:r>
              <w:rPr>
                <w:rFonts w:ascii="Arial" w:hAnsi="Arial"/>
                <w:b w:val="0"/>
                <w:sz w:val="17"/>
              </w:rPr>
              <w:t>Maintenance reserve, platform, utility, payment/custody, taxes.</w:t>
            </w:r>
          </w:p>
        </w:tc>
        <w:tc>
          <w:tcPr>
            <w:tcW w:type="dxa" w:w="4176"/>
            <w:vAlign w:val="top"/>
          </w:tcPr>
          <w:p>
            <w:pPr>
              <w:spacing w:after="0"/>
            </w:pPr>
            <w:r/>
            <w:r>
              <w:rPr>
                <w:rFonts w:ascii="Arial" w:hAnsi="Arial"/>
                <w:b w:val="0"/>
                <w:sz w:val="17"/>
              </w:rPr>
              <w:t>Net return after deductions.</w:t>
            </w:r>
          </w:p>
        </w:tc>
      </w:tr>
      <w:tr>
        <w:tc>
          <w:tcPr>
            <w:tcW w:type="dxa" w:w="2448"/>
            <w:vAlign w:val="top"/>
          </w:tcPr>
          <w:p>
            <w:pPr>
              <w:spacing w:after="0"/>
            </w:pPr>
            <w:r/>
            <w:r>
              <w:rPr>
                <w:rFonts w:ascii="Arial" w:hAnsi="Arial"/>
                <w:b w:val="0"/>
                <w:sz w:val="17"/>
              </w:rPr>
              <w:t>Currency and inflation</w:t>
            </w:r>
          </w:p>
        </w:tc>
        <w:tc>
          <w:tcPr>
            <w:tcW w:type="dxa" w:w="3456"/>
            <w:vAlign w:val="top"/>
          </w:tcPr>
          <w:p>
            <w:pPr>
              <w:spacing w:after="0"/>
            </w:pPr>
            <w:r/>
            <w:r>
              <w:rPr>
                <w:rFonts w:ascii="Arial" w:hAnsi="Arial"/>
                <w:b w:val="0"/>
                <w:sz w:val="17"/>
              </w:rPr>
              <w:t>If cross-border or multi-currency.</w:t>
            </w:r>
          </w:p>
        </w:tc>
        <w:tc>
          <w:tcPr>
            <w:tcW w:type="dxa" w:w="4176"/>
            <w:vAlign w:val="top"/>
          </w:tcPr>
          <w:p>
            <w:pPr>
              <w:spacing w:after="0"/>
            </w:pPr>
            <w:r/>
            <w:r>
              <w:rPr>
                <w:rFonts w:ascii="Arial" w:hAnsi="Arial"/>
                <w:b w:val="0"/>
                <w:sz w:val="17"/>
              </w:rPr>
              <w:t>FX risk and local currency return vs home currency.</w:t>
            </w:r>
          </w:p>
        </w:tc>
      </w:tr>
    </w:tbl>
    <w:p/>
    <w:p>
      <w:pPr>
        <w:spacing w:after="120"/>
      </w:pPr>
      <w:r>
        <w:rPr>
          <w:rFonts w:ascii="Arial" w:hAnsi="Arial"/>
          <w:sz w:val="20"/>
        </w:rPr>
        <w:t>Generic payback formula: Payback_i = Net investment_i / Monthly net payout_i. Monthly net payout_i should be based on E_sold x pool rate x investor claim, minus relevant fees, reserve deductions, taxes/withholding, downtime, and any priority rules. If monthly payout is low or zero, payback should show “not currently recovering” rather than inventing a date.</w:t>
      </w:r>
    </w:p>
    <w:p>
      <w:pPr>
        <w:pStyle w:val="Heading1"/>
      </w:pPr>
      <w:r>
        <w:rPr>
          <w:rFonts w:ascii="Arial" w:hAnsi="Arial"/>
          <w:sz w:val="20"/>
        </w:rPr>
        <w:t>18. Stress Testing for Financiers</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EDEDED"/>
            <w:vAlign w:val="center"/>
          </w:tcPr>
          <w:p>
            <w:pPr>
              <w:spacing w:after="0"/>
            </w:pPr>
            <w:r/>
            <w:r>
              <w:rPr>
                <w:rFonts w:ascii="Arial" w:hAnsi="Arial"/>
                <w:b/>
                <w:sz w:val="17"/>
              </w:rPr>
              <w:t>Scenario</w:t>
            </w:r>
          </w:p>
        </w:tc>
        <w:tc>
          <w:tcPr>
            <w:tcW w:type="dxa" w:w="3744"/>
            <w:shd w:fill="EDEDED"/>
            <w:vAlign w:val="center"/>
          </w:tcPr>
          <w:p>
            <w:pPr>
              <w:spacing w:after="0"/>
            </w:pPr>
            <w:r/>
            <w:r>
              <w:rPr>
                <w:rFonts w:ascii="Arial" w:hAnsi="Arial"/>
                <w:b/>
                <w:sz w:val="17"/>
              </w:rPr>
              <w:t>What happens</w:t>
            </w:r>
          </w:p>
        </w:tc>
        <w:tc>
          <w:tcPr>
            <w:tcW w:type="dxa" w:w="4032"/>
            <w:shd w:fill="EDEDED"/>
            <w:vAlign w:val="center"/>
          </w:tcPr>
          <w:p>
            <w:pPr>
              <w:spacing w:after="0"/>
            </w:pPr>
            <w:r/>
            <w:r>
              <w:rPr>
                <w:rFonts w:ascii="Arial" w:hAnsi="Arial"/>
                <w:b/>
                <w:sz w:val="17"/>
              </w:rPr>
              <w:t>Investor-facing explanation</w:t>
            </w:r>
          </w:p>
        </w:tc>
      </w:tr>
      <w:tr>
        <w:tc>
          <w:tcPr>
            <w:tcW w:type="dxa" w:w="2160"/>
            <w:vAlign w:val="top"/>
          </w:tcPr>
          <w:p>
            <w:pPr>
              <w:spacing w:after="0"/>
            </w:pPr>
            <w:r/>
            <w:r>
              <w:rPr>
                <w:rFonts w:ascii="Arial" w:hAnsi="Arial"/>
                <w:b w:val="0"/>
                <w:sz w:val="17"/>
              </w:rPr>
              <w:t>High utilization</w:t>
            </w:r>
          </w:p>
        </w:tc>
        <w:tc>
          <w:tcPr>
            <w:tcW w:type="dxa" w:w="3744"/>
            <w:vAlign w:val="top"/>
          </w:tcPr>
          <w:p>
            <w:pPr>
              <w:spacing w:after="0"/>
            </w:pPr>
            <w:r/>
            <w:r>
              <w:rPr>
                <w:rFonts w:ascii="Arial" w:hAnsi="Arial"/>
                <w:b w:val="0"/>
                <w:sz w:val="17"/>
              </w:rPr>
              <w:t>More of generated solar becomes E_sold; revenue is stronger.</w:t>
            </w:r>
          </w:p>
        </w:tc>
        <w:tc>
          <w:tcPr>
            <w:tcW w:type="dxa" w:w="4032"/>
            <w:vAlign w:val="top"/>
          </w:tcPr>
          <w:p>
            <w:pPr>
              <w:spacing w:after="0"/>
            </w:pPr>
            <w:r/>
            <w:r>
              <w:rPr>
                <w:rFonts w:ascii="Arial" w:hAnsi="Arial"/>
                <w:b w:val="0"/>
                <w:sz w:val="17"/>
              </w:rPr>
              <w:t>Payback accelerates, but still no guarantee.</w:t>
            </w:r>
          </w:p>
        </w:tc>
      </w:tr>
      <w:tr>
        <w:tc>
          <w:tcPr>
            <w:tcW w:type="dxa" w:w="2160"/>
            <w:vAlign w:val="top"/>
          </w:tcPr>
          <w:p>
            <w:pPr>
              <w:spacing w:after="0"/>
            </w:pPr>
            <w:r/>
            <w:r>
              <w:rPr>
                <w:rFonts w:ascii="Arial" w:hAnsi="Arial"/>
                <w:b w:val="0"/>
                <w:sz w:val="17"/>
              </w:rPr>
              <w:t>Moderate utilization</w:t>
            </w:r>
          </w:p>
        </w:tc>
        <w:tc>
          <w:tcPr>
            <w:tcW w:type="dxa" w:w="3744"/>
            <w:vAlign w:val="top"/>
          </w:tcPr>
          <w:p>
            <w:pPr>
              <w:spacing w:after="0"/>
            </w:pPr>
            <w:r/>
            <w:r>
              <w:rPr>
                <w:rFonts w:ascii="Arial" w:hAnsi="Arial"/>
                <w:b w:val="0"/>
                <w:sz w:val="17"/>
              </w:rPr>
              <w:t>System performs near model.</w:t>
            </w:r>
          </w:p>
        </w:tc>
        <w:tc>
          <w:tcPr>
            <w:tcW w:type="dxa" w:w="4032"/>
            <w:vAlign w:val="top"/>
          </w:tcPr>
          <w:p>
            <w:pPr>
              <w:spacing w:after="0"/>
            </w:pPr>
            <w:r/>
            <w:r>
              <w:rPr>
                <w:rFonts w:ascii="Arial" w:hAnsi="Arial"/>
                <w:b w:val="0"/>
                <w:sz w:val="17"/>
              </w:rPr>
              <w:t>Base-case recovery remains plausible if costs and downtime stay controlled.</w:t>
            </w:r>
          </w:p>
        </w:tc>
      </w:tr>
      <w:tr>
        <w:tc>
          <w:tcPr>
            <w:tcW w:type="dxa" w:w="2160"/>
            <w:vAlign w:val="top"/>
          </w:tcPr>
          <w:p>
            <w:pPr>
              <w:spacing w:after="0"/>
            </w:pPr>
            <w:r/>
            <w:r>
              <w:rPr>
                <w:rFonts w:ascii="Arial" w:hAnsi="Arial"/>
                <w:b w:val="0"/>
                <w:sz w:val="17"/>
              </w:rPr>
              <w:t>Low utilization</w:t>
            </w:r>
          </w:p>
        </w:tc>
        <w:tc>
          <w:tcPr>
            <w:tcW w:type="dxa" w:w="3744"/>
            <w:vAlign w:val="top"/>
          </w:tcPr>
          <w:p>
            <w:pPr>
              <w:spacing w:after="0"/>
            </w:pPr>
            <w:r/>
            <w:r>
              <w:rPr>
                <w:rFonts w:ascii="Arial" w:hAnsi="Arial"/>
                <w:b w:val="0"/>
                <w:sz w:val="17"/>
              </w:rPr>
              <w:t>Solar is generated but not monetized because demand/battery/storage/trading is insufficient.</w:t>
            </w:r>
          </w:p>
        </w:tc>
        <w:tc>
          <w:tcPr>
            <w:tcW w:type="dxa" w:w="4032"/>
            <w:vAlign w:val="top"/>
          </w:tcPr>
          <w:p>
            <w:pPr>
              <w:spacing w:after="0"/>
            </w:pPr>
            <w:r/>
            <w:r>
              <w:rPr>
                <w:rFonts w:ascii="Arial" w:hAnsi="Arial"/>
                <w:b w:val="0"/>
                <w:sz w:val="17"/>
              </w:rPr>
              <w:t>Revenue falls and payback stretches. No one should be paid from unmonetized energy.</w:t>
            </w:r>
          </w:p>
        </w:tc>
      </w:tr>
      <w:tr>
        <w:tc>
          <w:tcPr>
            <w:tcW w:type="dxa" w:w="2160"/>
            <w:vAlign w:val="top"/>
          </w:tcPr>
          <w:p>
            <w:pPr>
              <w:spacing w:after="0"/>
            </w:pPr>
            <w:r/>
            <w:r>
              <w:rPr>
                <w:rFonts w:ascii="Arial" w:hAnsi="Arial"/>
                <w:b w:val="0"/>
                <w:sz w:val="17"/>
              </w:rPr>
              <w:t>Demand spike</w:t>
            </w:r>
          </w:p>
        </w:tc>
        <w:tc>
          <w:tcPr>
            <w:tcW w:type="dxa" w:w="3744"/>
            <w:vAlign w:val="top"/>
          </w:tcPr>
          <w:p>
            <w:pPr>
              <w:spacing w:after="0"/>
            </w:pPr>
            <w:r/>
            <w:r>
              <w:rPr>
                <w:rFonts w:ascii="Arial" w:hAnsi="Arial"/>
                <w:b w:val="0"/>
                <w:sz w:val="17"/>
              </w:rPr>
              <w:t>Demand exceeds solar/battery; grid fallback serves the rest.</w:t>
            </w:r>
          </w:p>
        </w:tc>
        <w:tc>
          <w:tcPr>
            <w:tcW w:type="dxa" w:w="4032"/>
            <w:vAlign w:val="top"/>
          </w:tcPr>
          <w:p>
            <w:pPr>
              <w:spacing w:after="0"/>
            </w:pPr>
            <w:r/>
            <w:r>
              <w:rPr>
                <w:rFonts w:ascii="Arial" w:hAnsi="Arial"/>
                <w:b w:val="0"/>
                <w:sz w:val="17"/>
              </w:rPr>
              <w:t>Service continues, but investor earns only on the solar portion delivered through e.mappa.</w:t>
            </w:r>
          </w:p>
        </w:tc>
      </w:tr>
      <w:tr>
        <w:tc>
          <w:tcPr>
            <w:tcW w:type="dxa" w:w="2160"/>
            <w:vAlign w:val="top"/>
          </w:tcPr>
          <w:p>
            <w:pPr>
              <w:spacing w:after="0"/>
            </w:pPr>
            <w:r/>
            <w:r>
              <w:rPr>
                <w:rFonts w:ascii="Arial" w:hAnsi="Arial"/>
                <w:b w:val="0"/>
                <w:sz w:val="17"/>
              </w:rPr>
              <w:t>Hardware fault</w:t>
            </w:r>
          </w:p>
        </w:tc>
        <w:tc>
          <w:tcPr>
            <w:tcW w:type="dxa" w:w="3744"/>
            <w:vAlign w:val="top"/>
          </w:tcPr>
          <w:p>
            <w:pPr>
              <w:spacing w:after="0"/>
            </w:pPr>
            <w:r/>
            <w:r>
              <w:rPr>
                <w:rFonts w:ascii="Arial" w:hAnsi="Arial"/>
                <w:b w:val="0"/>
                <w:sz w:val="17"/>
              </w:rPr>
              <w:t>Inverter/battery/ATS/meter/connectivity problem reduces operation or data quality.</w:t>
            </w:r>
          </w:p>
        </w:tc>
        <w:tc>
          <w:tcPr>
            <w:tcW w:type="dxa" w:w="4032"/>
            <w:vAlign w:val="top"/>
          </w:tcPr>
          <w:p>
            <w:pPr>
              <w:spacing w:after="0"/>
            </w:pPr>
            <w:r/>
            <w:r>
              <w:rPr>
                <w:rFonts w:ascii="Arial" w:hAnsi="Arial"/>
                <w:b w:val="0"/>
                <w:sz w:val="17"/>
              </w:rPr>
              <w:t>Cashflow may pause; reserve/warranty process begins.</w:t>
            </w:r>
          </w:p>
        </w:tc>
      </w:tr>
      <w:tr>
        <w:tc>
          <w:tcPr>
            <w:tcW w:type="dxa" w:w="2160"/>
            <w:vAlign w:val="top"/>
          </w:tcPr>
          <w:p>
            <w:pPr>
              <w:spacing w:after="0"/>
            </w:pPr>
            <w:r/>
            <w:r>
              <w:rPr>
                <w:rFonts w:ascii="Arial" w:hAnsi="Arial"/>
                <w:b w:val="0"/>
                <w:sz w:val="17"/>
              </w:rPr>
              <w:t>LBRS delay</w:t>
            </w:r>
          </w:p>
        </w:tc>
        <w:tc>
          <w:tcPr>
            <w:tcW w:type="dxa" w:w="3744"/>
            <w:vAlign w:val="top"/>
          </w:tcPr>
          <w:p>
            <w:pPr>
              <w:spacing w:after="0"/>
            </w:pPr>
            <w:r/>
            <w:r>
              <w:rPr>
                <w:rFonts w:ascii="Arial" w:hAnsi="Arial"/>
                <w:b w:val="0"/>
                <w:sz w:val="17"/>
              </w:rPr>
              <w:t>Installation done but launch tests fail or signoff missing.</w:t>
            </w:r>
          </w:p>
        </w:tc>
        <w:tc>
          <w:tcPr>
            <w:tcW w:type="dxa" w:w="4032"/>
            <w:vAlign w:val="top"/>
          </w:tcPr>
          <w:p>
            <w:pPr>
              <w:spacing w:after="0"/>
            </w:pPr>
            <w:r/>
            <w:r>
              <w:rPr>
                <w:rFonts w:ascii="Arial" w:hAnsi="Arial"/>
                <w:b w:val="0"/>
                <w:sz w:val="17"/>
              </w:rPr>
              <w:t>Usage-linked returns do not begin until live. Project may remediate or refund according to terms.</w:t>
            </w:r>
          </w:p>
        </w:tc>
      </w:tr>
      <w:tr>
        <w:tc>
          <w:tcPr>
            <w:tcW w:type="dxa" w:w="2160"/>
            <w:vAlign w:val="top"/>
          </w:tcPr>
          <w:p>
            <w:pPr>
              <w:spacing w:after="0"/>
            </w:pPr>
            <w:r/>
            <w:r>
              <w:rPr>
                <w:rFonts w:ascii="Arial" w:hAnsi="Arial"/>
                <w:b w:val="0"/>
                <w:sz w:val="17"/>
              </w:rPr>
              <w:t>Regulatory/export delay</w:t>
            </w:r>
          </w:p>
        </w:tc>
        <w:tc>
          <w:tcPr>
            <w:tcW w:type="dxa" w:w="3744"/>
            <w:vAlign w:val="top"/>
          </w:tcPr>
          <w:p>
            <w:pPr>
              <w:spacing w:after="0"/>
            </w:pPr>
            <w:r/>
            <w:r>
              <w:rPr>
                <w:rFonts w:ascii="Arial" w:hAnsi="Arial"/>
                <w:b w:val="0"/>
                <w:sz w:val="17"/>
              </w:rPr>
              <w:t>Net metering/trading/export not enabled.</w:t>
            </w:r>
          </w:p>
        </w:tc>
        <w:tc>
          <w:tcPr>
            <w:tcW w:type="dxa" w:w="4032"/>
            <w:vAlign w:val="top"/>
          </w:tcPr>
          <w:p>
            <w:pPr>
              <w:spacing w:after="0"/>
            </w:pPr>
            <w:r/>
            <w:r>
              <w:rPr>
                <w:rFonts w:ascii="Arial" w:hAnsi="Arial"/>
                <w:b w:val="0"/>
                <w:sz w:val="17"/>
              </w:rPr>
              <w:t>Do not include those revenues in available return. Model only local prepaid consumption.</w:t>
            </w:r>
          </w:p>
        </w:tc>
      </w:tr>
      <w:tr>
        <w:tc>
          <w:tcPr>
            <w:tcW w:type="dxa" w:w="2160"/>
            <w:vAlign w:val="top"/>
          </w:tcPr>
          <w:p>
            <w:pPr>
              <w:spacing w:after="0"/>
            </w:pPr>
            <w:r/>
            <w:r>
              <w:rPr>
                <w:rFonts w:ascii="Arial" w:hAnsi="Arial"/>
                <w:b w:val="0"/>
                <w:sz w:val="17"/>
              </w:rPr>
              <w:t>Currency depreciation</w:t>
            </w:r>
          </w:p>
        </w:tc>
        <w:tc>
          <w:tcPr>
            <w:tcW w:type="dxa" w:w="3744"/>
            <w:vAlign w:val="top"/>
          </w:tcPr>
          <w:p>
            <w:pPr>
              <w:spacing w:after="0"/>
            </w:pPr>
            <w:r/>
            <w:r>
              <w:rPr>
                <w:rFonts w:ascii="Arial" w:hAnsi="Arial"/>
                <w:b w:val="0"/>
                <w:sz w:val="17"/>
              </w:rPr>
              <w:t>Local cashflows lose value in investor home currency.</w:t>
            </w:r>
          </w:p>
        </w:tc>
        <w:tc>
          <w:tcPr>
            <w:tcW w:type="dxa" w:w="4032"/>
            <w:vAlign w:val="top"/>
          </w:tcPr>
          <w:p>
            <w:pPr>
              <w:spacing w:after="0"/>
            </w:pPr>
            <w:r/>
            <w:r>
              <w:rPr>
                <w:rFonts w:ascii="Arial" w:hAnsi="Arial"/>
                <w:b w:val="0"/>
                <w:sz w:val="17"/>
              </w:rPr>
              <w:t>Portfolio view should show local currency and converted estimate separately.</w:t>
            </w:r>
          </w:p>
        </w:tc>
      </w:tr>
    </w:tbl>
    <w:p/>
    <w:p>
      <w:pPr>
        <w:pStyle w:val="Heading1"/>
      </w:pPr>
      <w:r>
        <w:rPr>
          <w:rFonts w:ascii="Arial" w:hAnsi="Arial"/>
          <w:sz w:val="20"/>
        </w:rPr>
        <w:t>19. Buying Out Suppliers, Providers, and Electricians</w:t>
      </w:r>
    </w:p>
    <w:p>
      <w:pPr>
        <w:spacing w:after="120"/>
      </w:pPr>
      <w:r>
        <w:rPr>
          <w:rFonts w:ascii="Arial" w:hAnsi="Arial"/>
          <w:sz w:val="20"/>
        </w:rPr>
        <w:t>The user specifically wants financiers to see how many suppliers/providers or electricians are doing an as-a-service model and choose to buy them out. This is powerful because it gives operating stakeholders liquidity. But the app must prevent confusion about what is being bought.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EDEDED"/>
            <w:vAlign w:val="center"/>
          </w:tcPr>
          <w:p>
            <w:pPr>
              <w:spacing w:after="0"/>
            </w:pPr>
            <w:r/>
            <w:r>
              <w:rPr>
                <w:rFonts w:ascii="Arial" w:hAnsi="Arial"/>
                <w:b/>
                <w:sz w:val="17"/>
              </w:rPr>
              <w:t>Buyout target</w:t>
            </w:r>
          </w:p>
        </w:tc>
        <w:tc>
          <w:tcPr>
            <w:tcW w:type="dxa" w:w="3168"/>
            <w:shd w:fill="EDEDED"/>
            <w:vAlign w:val="center"/>
          </w:tcPr>
          <w:p>
            <w:pPr>
              <w:spacing w:after="0"/>
            </w:pPr>
            <w:r/>
            <w:r>
              <w:rPr>
                <w:rFonts w:ascii="Arial" w:hAnsi="Arial"/>
                <w:b/>
                <w:sz w:val="17"/>
              </w:rPr>
              <w:t>What financier buys</w:t>
            </w:r>
          </w:p>
        </w:tc>
        <w:tc>
          <w:tcPr>
            <w:tcW w:type="dxa" w:w="2880"/>
            <w:shd w:fill="EDEDED"/>
            <w:vAlign w:val="center"/>
          </w:tcPr>
          <w:p>
            <w:pPr>
              <w:spacing w:after="0"/>
            </w:pPr>
            <w:r/>
            <w:r>
              <w:rPr>
                <w:rFonts w:ascii="Arial" w:hAnsi="Arial"/>
                <w:b/>
                <w:sz w:val="17"/>
              </w:rPr>
              <w:t>What stakeholder receives</w:t>
            </w:r>
          </w:p>
        </w:tc>
        <w:tc>
          <w:tcPr>
            <w:tcW w:type="dxa" w:w="2880"/>
            <w:shd w:fill="EDEDED"/>
            <w:vAlign w:val="center"/>
          </w:tcPr>
          <w:p>
            <w:pPr>
              <w:spacing w:after="0"/>
            </w:pPr>
            <w:r/>
            <w:r>
              <w:rPr>
                <w:rFonts w:ascii="Arial" w:hAnsi="Arial"/>
                <w:b/>
                <w:sz w:val="17"/>
              </w:rPr>
              <w:t>What financier receives</w:t>
            </w:r>
          </w:p>
        </w:tc>
      </w:tr>
      <w:tr>
        <w:tc>
          <w:tcPr>
            <w:tcW w:type="dxa" w:w="2160"/>
            <w:vAlign w:val="top"/>
          </w:tcPr>
          <w:p>
            <w:pPr>
              <w:spacing w:after="0"/>
            </w:pPr>
            <w:r/>
            <w:r>
              <w:rPr>
                <w:rFonts w:ascii="Arial" w:hAnsi="Arial"/>
                <w:b w:val="0"/>
                <w:sz w:val="17"/>
              </w:rPr>
              <w:t>Provider panel ownership</w:t>
            </w:r>
          </w:p>
        </w:tc>
        <w:tc>
          <w:tcPr>
            <w:tcW w:type="dxa" w:w="3168"/>
            <w:vAlign w:val="top"/>
          </w:tcPr>
          <w:p>
            <w:pPr>
              <w:spacing w:after="0"/>
            </w:pPr>
            <w:r/>
            <w:r>
              <w:rPr>
                <w:rFonts w:ascii="Arial" w:hAnsi="Arial"/>
                <w:b w:val="0"/>
                <w:sz w:val="17"/>
              </w:rPr>
              <w:t>Provider sells part or all of their retained array claim.</w:t>
            </w:r>
          </w:p>
        </w:tc>
        <w:tc>
          <w:tcPr>
            <w:tcW w:type="dxa" w:w="2880"/>
            <w:vAlign w:val="top"/>
          </w:tcPr>
          <w:p>
            <w:pPr>
              <w:spacing w:after="0"/>
            </w:pPr>
            <w:r/>
            <w:r>
              <w:rPr>
                <w:rFonts w:ascii="Arial" w:hAnsi="Arial"/>
                <w:b w:val="0"/>
                <w:sz w:val="17"/>
              </w:rPr>
              <w:t>Cash buyout for the sold share, subject to valuation and terms.</w:t>
            </w:r>
          </w:p>
        </w:tc>
        <w:tc>
          <w:tcPr>
            <w:tcW w:type="dxa" w:w="2880"/>
            <w:vAlign w:val="top"/>
          </w:tcPr>
          <w:p>
            <w:pPr>
              <w:spacing w:after="0"/>
            </w:pPr>
            <w:r/>
            <w:r>
              <w:rPr>
                <w:rFonts w:ascii="Arial" w:hAnsi="Arial"/>
                <w:b w:val="0"/>
                <w:sz w:val="17"/>
              </w:rPr>
              <w:t>Provider/array pool claim from monetized kWh for the purchased share.</w:t>
            </w:r>
          </w:p>
        </w:tc>
      </w:tr>
      <w:tr>
        <w:tc>
          <w:tcPr>
            <w:tcW w:type="dxa" w:w="2160"/>
            <w:vAlign w:val="top"/>
          </w:tcPr>
          <w:p>
            <w:pPr>
              <w:spacing w:after="0"/>
            </w:pPr>
            <w:r/>
            <w:r>
              <w:rPr>
                <w:rFonts w:ascii="Arial" w:hAnsi="Arial"/>
                <w:b w:val="0"/>
                <w:sz w:val="17"/>
              </w:rPr>
              <w:t>Supplier equipment-as-a-service</w:t>
            </w:r>
          </w:p>
        </w:tc>
        <w:tc>
          <w:tcPr>
            <w:tcW w:type="dxa" w:w="3168"/>
            <w:vAlign w:val="top"/>
          </w:tcPr>
          <w:p>
            <w:pPr>
              <w:spacing w:after="0"/>
            </w:pPr>
            <w:r/>
            <w:r>
              <w:rPr>
                <w:rFonts w:ascii="Arial" w:hAnsi="Arial"/>
                <w:b w:val="0"/>
                <w:sz w:val="17"/>
              </w:rPr>
              <w:t>Supplier sells equipment claim or lease receivable.</w:t>
            </w:r>
          </w:p>
        </w:tc>
        <w:tc>
          <w:tcPr>
            <w:tcW w:type="dxa" w:w="2880"/>
            <w:vAlign w:val="top"/>
          </w:tcPr>
          <w:p>
            <w:pPr>
              <w:spacing w:after="0"/>
            </w:pPr>
            <w:r/>
            <w:r>
              <w:rPr>
                <w:rFonts w:ascii="Arial" w:hAnsi="Arial"/>
                <w:b w:val="0"/>
                <w:sz w:val="17"/>
              </w:rPr>
              <w:t>Cash buyout instead of waiting for kWh-linked recovery.</w:t>
            </w:r>
          </w:p>
        </w:tc>
        <w:tc>
          <w:tcPr>
            <w:tcW w:type="dxa" w:w="2880"/>
            <w:vAlign w:val="top"/>
          </w:tcPr>
          <w:p>
            <w:pPr>
              <w:spacing w:after="0"/>
            </w:pPr>
            <w:r/>
            <w:r>
              <w:rPr>
                <w:rFonts w:ascii="Arial" w:hAnsi="Arial"/>
                <w:b w:val="0"/>
                <w:sz w:val="17"/>
              </w:rPr>
              <w:t>Infrastructure-pool claim or lease payment stream exactly as defined.</w:t>
            </w:r>
          </w:p>
        </w:tc>
      </w:tr>
      <w:tr>
        <w:tc>
          <w:tcPr>
            <w:tcW w:type="dxa" w:w="2160"/>
            <w:vAlign w:val="top"/>
          </w:tcPr>
          <w:p>
            <w:pPr>
              <w:spacing w:after="0"/>
            </w:pPr>
            <w:r/>
            <w:r>
              <w:rPr>
                <w:rFonts w:ascii="Arial" w:hAnsi="Arial"/>
                <w:b w:val="0"/>
                <w:sz w:val="17"/>
              </w:rPr>
              <w:t>Electrician labor-as-capital</w:t>
            </w:r>
          </w:p>
        </w:tc>
        <w:tc>
          <w:tcPr>
            <w:tcW w:type="dxa" w:w="3168"/>
            <w:vAlign w:val="top"/>
          </w:tcPr>
          <w:p>
            <w:pPr>
              <w:spacing w:after="0"/>
            </w:pPr>
            <w:r/>
            <w:r>
              <w:rPr>
                <w:rFonts w:ascii="Arial" w:hAnsi="Arial"/>
                <w:b w:val="0"/>
                <w:sz w:val="17"/>
              </w:rPr>
              <w:t>Electrician sells deferred labor claim.</w:t>
            </w:r>
          </w:p>
        </w:tc>
        <w:tc>
          <w:tcPr>
            <w:tcW w:type="dxa" w:w="2880"/>
            <w:vAlign w:val="top"/>
          </w:tcPr>
          <w:p>
            <w:pPr>
              <w:spacing w:after="0"/>
            </w:pPr>
            <w:r/>
            <w:r>
              <w:rPr>
                <w:rFonts w:ascii="Arial" w:hAnsi="Arial"/>
                <w:b w:val="0"/>
                <w:sz w:val="17"/>
              </w:rPr>
              <w:t>Cash liquidity for labor value they otherwise deferred.</w:t>
            </w:r>
          </w:p>
        </w:tc>
        <w:tc>
          <w:tcPr>
            <w:tcW w:type="dxa" w:w="2880"/>
            <w:vAlign w:val="top"/>
          </w:tcPr>
          <w:p>
            <w:pPr>
              <w:spacing w:after="0"/>
            </w:pPr>
            <w:r/>
            <w:r>
              <w:rPr>
                <w:rFonts w:ascii="Arial" w:hAnsi="Arial"/>
                <w:b w:val="0"/>
                <w:sz w:val="17"/>
              </w:rPr>
              <w:t>Infrastructure-pool claim tied to labor-capital contract.</w:t>
            </w:r>
          </w:p>
        </w:tc>
      </w:tr>
      <w:tr>
        <w:tc>
          <w:tcPr>
            <w:tcW w:type="dxa" w:w="2160"/>
            <w:vAlign w:val="top"/>
          </w:tcPr>
          <w:p>
            <w:pPr>
              <w:spacing w:after="0"/>
            </w:pPr>
            <w:r/>
            <w:r>
              <w:rPr>
                <w:rFonts w:ascii="Arial" w:hAnsi="Arial"/>
                <w:b w:val="0"/>
                <w:sz w:val="17"/>
              </w:rPr>
              <w:t>Hybrid stakeholder bundle</w:t>
            </w:r>
          </w:p>
        </w:tc>
        <w:tc>
          <w:tcPr>
            <w:tcW w:type="dxa" w:w="3168"/>
            <w:vAlign w:val="top"/>
          </w:tcPr>
          <w:p>
            <w:pPr>
              <w:spacing w:after="0"/>
            </w:pPr>
            <w:r/>
            <w:r>
              <w:rPr>
                <w:rFonts w:ascii="Arial" w:hAnsi="Arial"/>
                <w:b w:val="0"/>
                <w:sz w:val="17"/>
              </w:rPr>
              <w:t>Stakeholder sells multiple claim types.</w:t>
            </w:r>
          </w:p>
        </w:tc>
        <w:tc>
          <w:tcPr>
            <w:tcW w:type="dxa" w:w="2880"/>
            <w:vAlign w:val="top"/>
          </w:tcPr>
          <w:p>
            <w:pPr>
              <w:spacing w:after="0"/>
            </w:pPr>
            <w:r/>
            <w:r>
              <w:rPr>
                <w:rFonts w:ascii="Arial" w:hAnsi="Arial"/>
                <w:b w:val="0"/>
                <w:sz w:val="17"/>
              </w:rPr>
              <w:t>Cash for each asset class.</w:t>
            </w:r>
          </w:p>
        </w:tc>
        <w:tc>
          <w:tcPr>
            <w:tcW w:type="dxa" w:w="2880"/>
            <w:vAlign w:val="top"/>
          </w:tcPr>
          <w:p>
            <w:pPr>
              <w:spacing w:after="0"/>
            </w:pPr>
            <w:r/>
            <w:r>
              <w:rPr>
                <w:rFonts w:ascii="Arial" w:hAnsi="Arial"/>
                <w:b w:val="0"/>
                <w:sz w:val="17"/>
              </w:rPr>
              <w:t>Separate claims: provider pool for panels, infra pool for hardware/labor.</w:t>
            </w:r>
          </w:p>
        </w:tc>
      </w:tr>
      <w:tr>
        <w:tc>
          <w:tcPr>
            <w:tcW w:type="dxa" w:w="2160"/>
            <w:vAlign w:val="top"/>
          </w:tcPr>
          <w:p>
            <w:pPr>
              <w:spacing w:after="0"/>
            </w:pPr>
            <w:r/>
            <w:r>
              <w:rPr>
                <w:rFonts w:ascii="Arial" w:hAnsi="Arial"/>
                <w:b w:val="0"/>
                <w:sz w:val="17"/>
              </w:rPr>
              <w:t>Partial buyout</w:t>
            </w:r>
          </w:p>
        </w:tc>
        <w:tc>
          <w:tcPr>
            <w:tcW w:type="dxa" w:w="3168"/>
            <w:vAlign w:val="top"/>
          </w:tcPr>
          <w:p>
            <w:pPr>
              <w:spacing w:after="0"/>
            </w:pPr>
            <w:r/>
            <w:r>
              <w:rPr>
                <w:rFonts w:ascii="Arial" w:hAnsi="Arial"/>
                <w:b w:val="0"/>
                <w:sz w:val="17"/>
              </w:rPr>
              <w:t>Only part of the claim is sold.</w:t>
            </w:r>
          </w:p>
        </w:tc>
        <w:tc>
          <w:tcPr>
            <w:tcW w:type="dxa" w:w="2880"/>
            <w:vAlign w:val="top"/>
          </w:tcPr>
          <w:p>
            <w:pPr>
              <w:spacing w:after="0"/>
            </w:pPr>
            <w:r/>
            <w:r>
              <w:rPr>
                <w:rFonts w:ascii="Arial" w:hAnsi="Arial"/>
                <w:b w:val="0"/>
                <w:sz w:val="17"/>
              </w:rPr>
              <w:t>Immediate partial liquidity, retained remaining claim.</w:t>
            </w:r>
          </w:p>
        </w:tc>
        <w:tc>
          <w:tcPr>
            <w:tcW w:type="dxa" w:w="2880"/>
            <w:vAlign w:val="top"/>
          </w:tcPr>
          <w:p>
            <w:pPr>
              <w:spacing w:after="0"/>
            </w:pPr>
            <w:r/>
            <w:r>
              <w:rPr>
                <w:rFonts w:ascii="Arial" w:hAnsi="Arial"/>
                <w:b w:val="0"/>
                <w:sz w:val="17"/>
              </w:rPr>
              <w:t>Pro-rata claim only for acquired percentage.</w:t>
            </w:r>
          </w:p>
        </w:tc>
      </w:tr>
    </w:tbl>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Ethical liquidity guardrail</w:t>
            </w:r>
          </w:p>
          <w:p>
            <w:pPr>
              <w:spacing w:after="0"/>
            </w:pPr>
            <w:r>
              <w:rPr>
                <w:rFonts w:ascii="Arial" w:hAnsi="Arial"/>
                <w:sz w:val="18"/>
              </w:rPr>
              <w:t>Buying out an electrician or supplier should not exploit urgency. The app should show fair value, expected payback range, discount, risks, and stakeholder consent. A desperate stakeholder should not be tricked into selling a long-term claim for an opaque low price.</w:t>
            </w:r>
          </w:p>
        </w:tc>
      </w:tr>
    </w:tbl>
    <w:p/>
    <w:p>
      <w:pPr>
        <w:pStyle w:val="Heading1"/>
      </w:pPr>
      <w:r>
        <w:rPr>
          <w:rFonts w:ascii="Arial" w:hAnsi="Arial"/>
          <w:sz w:val="20"/>
        </w:rPr>
        <w:t>20. Cross-Border Investing</w:t>
      </w:r>
    </w:p>
    <w:p>
      <w:pPr>
        <w:spacing w:after="120"/>
      </w:pPr>
      <w:r>
        <w:rPr>
          <w:rFonts w:ascii="Arial" w:hAnsi="Arial"/>
          <w:sz w:val="20"/>
        </w:rPr>
        <w:t>Financiers may want to invest in far-away lands and eventually other countries. The product should support the vision, but the rules must be hard. Cross-border investing adds legal offering restrictions, FX risk, tax reporting, payment rails, investor eligibility, capital controls, consumer protection, and dispute complexity.</w:t>
      </w:r>
    </w:p>
    <w:tbl>
      <w:tblPr>
        <w:tblStyle w:val="TableGrid"/>
        <w:tblW w:type="auto" w:w="0"/>
        <w:jc w:val="center"/>
        <w:tblLook w:firstColumn="1" w:firstRow="1" w:lastColumn="0" w:lastRow="0" w:noHBand="0" w:noVBand="1" w:val="04A0"/>
      </w:tblPr>
      <w:tblGrid>
        <w:gridCol w:w="5112"/>
        <w:gridCol w:w="5112"/>
      </w:tblGrid>
      <w:tr>
        <w:tc>
          <w:tcPr>
            <w:tcW w:type="dxa" w:w="2592"/>
            <w:shd w:fill="EDEDED"/>
            <w:vAlign w:val="center"/>
          </w:tcPr>
          <w:p>
            <w:pPr>
              <w:spacing w:after="0"/>
            </w:pPr>
            <w:r/>
            <w:r>
              <w:rPr>
                <w:rFonts w:ascii="Arial" w:hAnsi="Arial"/>
                <w:b/>
                <w:sz w:val="17"/>
              </w:rPr>
              <w:t>Cross-border issue</w:t>
            </w:r>
          </w:p>
        </w:tc>
        <w:tc>
          <w:tcPr>
            <w:tcW w:type="dxa" w:w="7344"/>
            <w:shd w:fill="EDEDED"/>
            <w:vAlign w:val="center"/>
          </w:tcPr>
          <w:p>
            <w:pPr>
              <w:spacing w:after="0"/>
            </w:pPr>
            <w:r/>
            <w:r>
              <w:rPr>
                <w:rFonts w:ascii="Arial" w:hAnsi="Arial"/>
                <w:b/>
                <w:sz w:val="17"/>
              </w:rPr>
              <w:t>Required product behavior</w:t>
            </w:r>
          </w:p>
        </w:tc>
      </w:tr>
      <w:tr>
        <w:tc>
          <w:tcPr>
            <w:tcW w:type="dxa" w:w="2592"/>
            <w:vAlign w:val="top"/>
          </w:tcPr>
          <w:p>
            <w:pPr>
              <w:spacing w:after="0"/>
            </w:pPr>
            <w:r/>
            <w:r>
              <w:rPr>
                <w:rFonts w:ascii="Arial" w:hAnsi="Arial"/>
                <w:b w:val="0"/>
                <w:sz w:val="17"/>
              </w:rPr>
              <w:t>Investor jurisdiction</w:t>
            </w:r>
          </w:p>
        </w:tc>
        <w:tc>
          <w:tcPr>
            <w:tcW w:type="dxa" w:w="7344"/>
            <w:vAlign w:val="top"/>
          </w:tcPr>
          <w:p>
            <w:pPr>
              <w:spacing w:after="0"/>
            </w:pPr>
            <w:r/>
            <w:r>
              <w:rPr>
                <w:rFonts w:ascii="Arial" w:hAnsi="Arial"/>
                <w:b w:val="0"/>
                <w:sz w:val="17"/>
              </w:rPr>
              <w:t>Determine whether the user may legally view, be solicited for, and invest in the offering.</w:t>
            </w:r>
          </w:p>
        </w:tc>
      </w:tr>
      <w:tr>
        <w:tc>
          <w:tcPr>
            <w:tcW w:type="dxa" w:w="2592"/>
            <w:vAlign w:val="top"/>
          </w:tcPr>
          <w:p>
            <w:pPr>
              <w:spacing w:after="0"/>
            </w:pPr>
            <w:r/>
            <w:r>
              <w:rPr>
                <w:rFonts w:ascii="Arial" w:hAnsi="Arial"/>
                <w:b w:val="0"/>
                <w:sz w:val="17"/>
              </w:rPr>
              <w:t>Project jurisdiction</w:t>
            </w:r>
          </w:p>
        </w:tc>
        <w:tc>
          <w:tcPr>
            <w:tcW w:type="dxa" w:w="7344"/>
            <w:vAlign w:val="top"/>
          </w:tcPr>
          <w:p>
            <w:pPr>
              <w:spacing w:after="0"/>
            </w:pPr>
            <w:r/>
            <w:r>
              <w:rPr>
                <w:rFonts w:ascii="Arial" w:hAnsi="Arial"/>
                <w:b w:val="0"/>
                <w:sz w:val="17"/>
              </w:rPr>
              <w:t>Show country/county rules, local utility/regulatory status, currency, tax, and local enforcement risks.</w:t>
            </w:r>
          </w:p>
        </w:tc>
      </w:tr>
      <w:tr>
        <w:tc>
          <w:tcPr>
            <w:tcW w:type="dxa" w:w="2592"/>
            <w:vAlign w:val="top"/>
          </w:tcPr>
          <w:p>
            <w:pPr>
              <w:spacing w:after="0"/>
            </w:pPr>
            <w:r/>
            <w:r>
              <w:rPr>
                <w:rFonts w:ascii="Arial" w:hAnsi="Arial"/>
                <w:b w:val="0"/>
                <w:sz w:val="17"/>
              </w:rPr>
              <w:t>Currency</w:t>
            </w:r>
          </w:p>
        </w:tc>
        <w:tc>
          <w:tcPr>
            <w:tcW w:type="dxa" w:w="7344"/>
            <w:vAlign w:val="top"/>
          </w:tcPr>
          <w:p>
            <w:pPr>
              <w:spacing w:after="0"/>
            </w:pPr>
            <w:r/>
            <w:r>
              <w:rPr>
                <w:rFonts w:ascii="Arial" w:hAnsi="Arial"/>
                <w:b w:val="0"/>
                <w:sz w:val="17"/>
              </w:rPr>
              <w:t>Display local currency return and converted estimate; show FX rate assumptions and potential slippage.</w:t>
            </w:r>
          </w:p>
        </w:tc>
      </w:tr>
      <w:tr>
        <w:tc>
          <w:tcPr>
            <w:tcW w:type="dxa" w:w="2592"/>
            <w:vAlign w:val="top"/>
          </w:tcPr>
          <w:p>
            <w:pPr>
              <w:spacing w:after="0"/>
            </w:pPr>
            <w:r/>
            <w:r>
              <w:rPr>
                <w:rFonts w:ascii="Arial" w:hAnsi="Arial"/>
                <w:b w:val="0"/>
                <w:sz w:val="17"/>
              </w:rPr>
              <w:t>Tax and withholding</w:t>
            </w:r>
          </w:p>
        </w:tc>
        <w:tc>
          <w:tcPr>
            <w:tcW w:type="dxa" w:w="7344"/>
            <w:vAlign w:val="top"/>
          </w:tcPr>
          <w:p>
            <w:pPr>
              <w:spacing w:after="0"/>
            </w:pPr>
            <w:r/>
            <w:r>
              <w:rPr>
                <w:rFonts w:ascii="Arial" w:hAnsi="Arial"/>
                <w:b w:val="0"/>
                <w:sz w:val="17"/>
              </w:rPr>
              <w:t>Collect tax residency where needed; disclose that tax treatment varies; generate statements.</w:t>
            </w:r>
          </w:p>
        </w:tc>
      </w:tr>
      <w:tr>
        <w:tc>
          <w:tcPr>
            <w:tcW w:type="dxa" w:w="2592"/>
            <w:vAlign w:val="top"/>
          </w:tcPr>
          <w:p>
            <w:pPr>
              <w:spacing w:after="0"/>
            </w:pPr>
            <w:r/>
            <w:r>
              <w:rPr>
                <w:rFonts w:ascii="Arial" w:hAnsi="Arial"/>
                <w:b w:val="0"/>
                <w:sz w:val="17"/>
              </w:rPr>
              <w:t>Payment rails</w:t>
            </w:r>
          </w:p>
        </w:tc>
        <w:tc>
          <w:tcPr>
            <w:tcW w:type="dxa" w:w="7344"/>
            <w:vAlign w:val="top"/>
          </w:tcPr>
          <w:p>
            <w:pPr>
              <w:spacing w:after="0"/>
            </w:pPr>
            <w:r/>
            <w:r>
              <w:rPr>
                <w:rFonts w:ascii="Arial" w:hAnsi="Arial"/>
                <w:b w:val="0"/>
                <w:sz w:val="17"/>
              </w:rPr>
              <w:t>Use compliant rails; do not accept unsupported or high-risk payment sources.</w:t>
            </w:r>
          </w:p>
        </w:tc>
      </w:tr>
      <w:tr>
        <w:tc>
          <w:tcPr>
            <w:tcW w:type="dxa" w:w="2592"/>
            <w:vAlign w:val="top"/>
          </w:tcPr>
          <w:p>
            <w:pPr>
              <w:spacing w:after="0"/>
            </w:pPr>
            <w:r/>
            <w:r>
              <w:rPr>
                <w:rFonts w:ascii="Arial" w:hAnsi="Arial"/>
                <w:b w:val="0"/>
                <w:sz w:val="17"/>
              </w:rPr>
              <w:t>Legal vehicle</w:t>
            </w:r>
          </w:p>
        </w:tc>
        <w:tc>
          <w:tcPr>
            <w:tcW w:type="dxa" w:w="7344"/>
            <w:vAlign w:val="top"/>
          </w:tcPr>
          <w:p>
            <w:pPr>
              <w:spacing w:after="0"/>
            </w:pPr>
            <w:r/>
            <w:r>
              <w:rPr>
                <w:rFonts w:ascii="Arial" w:hAnsi="Arial"/>
                <w:b w:val="0"/>
                <w:sz w:val="17"/>
              </w:rPr>
              <w:t>May require project SPV, licensed crowdfunding operator, broker/dealer/funding portal, fund, or private placement structure.</w:t>
            </w:r>
          </w:p>
        </w:tc>
      </w:tr>
      <w:tr>
        <w:tc>
          <w:tcPr>
            <w:tcW w:type="dxa" w:w="2592"/>
            <w:vAlign w:val="top"/>
          </w:tcPr>
          <w:p>
            <w:pPr>
              <w:spacing w:after="0"/>
            </w:pPr>
            <w:r/>
            <w:r>
              <w:rPr>
                <w:rFonts w:ascii="Arial" w:hAnsi="Arial"/>
                <w:b w:val="0"/>
                <w:sz w:val="17"/>
              </w:rPr>
              <w:t>Investor protection</w:t>
            </w:r>
          </w:p>
        </w:tc>
        <w:tc>
          <w:tcPr>
            <w:tcW w:type="dxa" w:w="7344"/>
            <w:vAlign w:val="top"/>
          </w:tcPr>
          <w:p>
            <w:pPr>
              <w:spacing w:after="0"/>
            </w:pPr>
            <w:r/>
            <w:r>
              <w:rPr>
                <w:rFonts w:ascii="Arial" w:hAnsi="Arial"/>
                <w:b w:val="0"/>
                <w:sz w:val="17"/>
              </w:rPr>
              <w:t>Different countries may require limits, cooling-off, risk warnings, disclosures, complaint process, and reporting.</w:t>
            </w:r>
          </w:p>
        </w:tc>
      </w:tr>
      <w:tr>
        <w:tc>
          <w:tcPr>
            <w:tcW w:type="dxa" w:w="2592"/>
            <w:vAlign w:val="top"/>
          </w:tcPr>
          <w:p>
            <w:pPr>
              <w:spacing w:after="0"/>
            </w:pPr>
            <w:r/>
            <w:r>
              <w:rPr>
                <w:rFonts w:ascii="Arial" w:hAnsi="Arial"/>
                <w:b w:val="0"/>
                <w:sz w:val="17"/>
              </w:rPr>
              <w:t>Marketing</w:t>
            </w:r>
          </w:p>
        </w:tc>
        <w:tc>
          <w:tcPr>
            <w:tcW w:type="dxa" w:w="7344"/>
            <w:vAlign w:val="top"/>
          </w:tcPr>
          <w:p>
            <w:pPr>
              <w:spacing w:after="0"/>
            </w:pPr>
            <w:r/>
            <w:r>
              <w:rPr>
                <w:rFonts w:ascii="Arial" w:hAnsi="Arial"/>
                <w:b w:val="0"/>
                <w:sz w:val="17"/>
              </w:rPr>
              <w:t>Do not actively solicit in jurisdictions where e.mappa lacks approval or exemption.</w:t>
            </w:r>
          </w:p>
        </w:tc>
      </w:tr>
    </w:tbl>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Cross-border rule</w:t>
            </w:r>
          </w:p>
          <w:p>
            <w:pPr>
              <w:spacing w:after="0"/>
            </w:pPr>
            <w:r>
              <w:rPr>
                <w:rFonts w:ascii="Arial" w:hAnsi="Arial"/>
                <w:sz w:val="18"/>
              </w:rPr>
              <w:t>Distance should not block discovery, but law can block investment. The app should support global ambition with jurisdiction-aware offer visibility and investability, not by pretending one set of rules applies everywhere.</w:t>
            </w:r>
          </w:p>
        </w:tc>
      </w:tr>
    </w:tbl>
    <w:p/>
    <w:p>
      <w:pPr>
        <w:pStyle w:val="Heading1"/>
      </w:pPr>
      <w:r>
        <w:rPr>
          <w:rFonts w:ascii="Arial" w:hAnsi="Arial"/>
          <w:sz w:val="20"/>
        </w:rPr>
        <w:t>21. Portfolio View and Diversification</w:t>
      </w:r>
    </w:p>
    <w:p>
      <w:pPr>
        <w:spacing w:after="120"/>
      </w:pPr>
      <w:r>
        <w:rPr>
          <w:rFonts w:ascii="Arial" w:hAnsi="Arial"/>
          <w:sz w:val="20"/>
        </w:rPr>
        <w:t>Even if the core screen is Wallet, financiers need a portfolio-level view. It should show concentration and risk, not just earnings.</w:t>
      </w:r>
    </w:p>
    <w:tbl>
      <w:tblPr>
        <w:tblStyle w:val="TableGrid"/>
        <w:tblW w:type="auto" w:w="0"/>
        <w:jc w:val="center"/>
        <w:tblLook w:firstColumn="1" w:firstRow="1" w:lastColumn="0" w:lastRow="0" w:noHBand="0" w:noVBand="1" w:val="04A0"/>
      </w:tblPr>
      <w:tblGrid>
        <w:gridCol w:w="5112"/>
        <w:gridCol w:w="5112"/>
      </w:tblGrid>
      <w:tr>
        <w:tc>
          <w:tcPr>
            <w:tcW w:type="dxa" w:w="2880"/>
            <w:shd w:fill="EDEDED"/>
            <w:vAlign w:val="center"/>
          </w:tcPr>
          <w:p>
            <w:pPr>
              <w:spacing w:after="0"/>
            </w:pPr>
            <w:r/>
            <w:r>
              <w:rPr>
                <w:rFonts w:ascii="Arial" w:hAnsi="Arial"/>
                <w:b/>
                <w:sz w:val="17"/>
              </w:rPr>
              <w:t>Portfolio metric</w:t>
            </w:r>
          </w:p>
        </w:tc>
        <w:tc>
          <w:tcPr>
            <w:tcW w:type="dxa" w:w="6912"/>
            <w:shd w:fill="EDEDED"/>
            <w:vAlign w:val="center"/>
          </w:tcPr>
          <w:p>
            <w:pPr>
              <w:spacing w:after="0"/>
            </w:pPr>
            <w:r/>
            <w:r>
              <w:rPr>
                <w:rFonts w:ascii="Arial" w:hAnsi="Arial"/>
                <w:b/>
                <w:sz w:val="17"/>
              </w:rPr>
              <w:t>Purpose</w:t>
            </w:r>
          </w:p>
        </w:tc>
      </w:tr>
      <w:tr>
        <w:tc>
          <w:tcPr>
            <w:tcW w:type="dxa" w:w="2880"/>
            <w:vAlign w:val="top"/>
          </w:tcPr>
          <w:p>
            <w:pPr>
              <w:spacing w:after="0"/>
            </w:pPr>
            <w:r/>
            <w:r>
              <w:rPr>
                <w:rFonts w:ascii="Arial" w:hAnsi="Arial"/>
                <w:b w:val="0"/>
                <w:sz w:val="17"/>
              </w:rPr>
              <w:t>Total committed / escrowed / deployed</w:t>
            </w:r>
          </w:p>
        </w:tc>
        <w:tc>
          <w:tcPr>
            <w:tcW w:type="dxa" w:w="6912"/>
            <w:vAlign w:val="top"/>
          </w:tcPr>
          <w:p>
            <w:pPr>
              <w:spacing w:after="0"/>
            </w:pPr>
            <w:r/>
            <w:r>
              <w:rPr>
                <w:rFonts w:ascii="Arial" w:hAnsi="Arial"/>
                <w:b w:val="0"/>
                <w:sz w:val="17"/>
              </w:rPr>
              <w:t>Separates selected investments from actual capital at risk.</w:t>
            </w:r>
          </w:p>
        </w:tc>
      </w:tr>
      <w:tr>
        <w:tc>
          <w:tcPr>
            <w:tcW w:type="dxa" w:w="2880"/>
            <w:vAlign w:val="top"/>
          </w:tcPr>
          <w:p>
            <w:pPr>
              <w:spacing w:after="0"/>
            </w:pPr>
            <w:r/>
            <w:r>
              <w:rPr>
                <w:rFonts w:ascii="Arial" w:hAnsi="Arial"/>
                <w:b w:val="0"/>
                <w:sz w:val="17"/>
              </w:rPr>
              <w:t>Project count and regions</w:t>
            </w:r>
          </w:p>
        </w:tc>
        <w:tc>
          <w:tcPr>
            <w:tcW w:type="dxa" w:w="6912"/>
            <w:vAlign w:val="top"/>
          </w:tcPr>
          <w:p>
            <w:pPr>
              <w:spacing w:after="0"/>
            </w:pPr>
            <w:r/>
            <w:r>
              <w:rPr>
                <w:rFonts w:ascii="Arial" w:hAnsi="Arial"/>
                <w:b w:val="0"/>
                <w:sz w:val="17"/>
              </w:rPr>
              <w:t>Shows geographic spread and jurisdiction exposure.</w:t>
            </w:r>
          </w:p>
        </w:tc>
      </w:tr>
      <w:tr>
        <w:tc>
          <w:tcPr>
            <w:tcW w:type="dxa" w:w="2880"/>
            <w:vAlign w:val="top"/>
          </w:tcPr>
          <w:p>
            <w:pPr>
              <w:spacing w:after="0"/>
            </w:pPr>
            <w:r/>
            <w:r>
              <w:rPr>
                <w:rFonts w:ascii="Arial" w:hAnsi="Arial"/>
                <w:b w:val="0"/>
                <w:sz w:val="17"/>
              </w:rPr>
              <w:t>Asset class split</w:t>
            </w:r>
          </w:p>
        </w:tc>
        <w:tc>
          <w:tcPr>
            <w:tcW w:type="dxa" w:w="6912"/>
            <w:vAlign w:val="top"/>
          </w:tcPr>
          <w:p>
            <w:pPr>
              <w:spacing w:after="0"/>
            </w:pPr>
            <w:r/>
            <w:r>
              <w:rPr>
                <w:rFonts w:ascii="Arial" w:hAnsi="Arial"/>
                <w:b w:val="0"/>
                <w:sz w:val="17"/>
              </w:rPr>
              <w:t>Infrastructure, generation, supplier claims, labor claims, expansion tranches, notes.</w:t>
            </w:r>
          </w:p>
        </w:tc>
      </w:tr>
      <w:tr>
        <w:tc>
          <w:tcPr>
            <w:tcW w:type="dxa" w:w="2880"/>
            <w:vAlign w:val="top"/>
          </w:tcPr>
          <w:p>
            <w:pPr>
              <w:spacing w:after="0"/>
            </w:pPr>
            <w:r/>
            <w:r>
              <w:rPr>
                <w:rFonts w:ascii="Arial" w:hAnsi="Arial"/>
                <w:b w:val="0"/>
                <w:sz w:val="17"/>
              </w:rPr>
              <w:t>Stage split</w:t>
            </w:r>
          </w:p>
        </w:tc>
        <w:tc>
          <w:tcPr>
            <w:tcW w:type="dxa" w:w="6912"/>
            <w:vAlign w:val="top"/>
          </w:tcPr>
          <w:p>
            <w:pPr>
              <w:spacing w:after="0"/>
            </w:pPr>
            <w:r/>
            <w:r>
              <w:rPr>
                <w:rFonts w:ascii="Arial" w:hAnsi="Arial"/>
                <w:b w:val="0"/>
                <w:sz w:val="17"/>
              </w:rPr>
              <w:t>Pre-DRS, DRS, installation, LBRS, live, suspended, exited.</w:t>
            </w:r>
          </w:p>
        </w:tc>
      </w:tr>
      <w:tr>
        <w:tc>
          <w:tcPr>
            <w:tcW w:type="dxa" w:w="2880"/>
            <w:vAlign w:val="top"/>
          </w:tcPr>
          <w:p>
            <w:pPr>
              <w:spacing w:after="0"/>
            </w:pPr>
            <w:r/>
            <w:r>
              <w:rPr>
                <w:rFonts w:ascii="Arial" w:hAnsi="Arial"/>
                <w:b w:val="0"/>
                <w:sz w:val="17"/>
              </w:rPr>
              <w:t>Utilization bands</w:t>
            </w:r>
          </w:p>
        </w:tc>
        <w:tc>
          <w:tcPr>
            <w:tcW w:type="dxa" w:w="6912"/>
            <w:vAlign w:val="top"/>
          </w:tcPr>
          <w:p>
            <w:pPr>
              <w:spacing w:after="0"/>
            </w:pPr>
            <w:r/>
            <w:r>
              <w:rPr>
                <w:rFonts w:ascii="Arial" w:hAnsi="Arial"/>
                <w:b w:val="0"/>
                <w:sz w:val="17"/>
              </w:rPr>
              <w:t>How much portfolio revenue depends on high/medium/low utilization projects.</w:t>
            </w:r>
          </w:p>
        </w:tc>
      </w:tr>
      <w:tr>
        <w:tc>
          <w:tcPr>
            <w:tcW w:type="dxa" w:w="2880"/>
            <w:vAlign w:val="top"/>
          </w:tcPr>
          <w:p>
            <w:pPr>
              <w:spacing w:after="0"/>
            </w:pPr>
            <w:r/>
            <w:r>
              <w:rPr>
                <w:rFonts w:ascii="Arial" w:hAnsi="Arial"/>
                <w:b w:val="0"/>
                <w:sz w:val="17"/>
              </w:rPr>
              <w:t>Top 5 concentration</w:t>
            </w:r>
          </w:p>
        </w:tc>
        <w:tc>
          <w:tcPr>
            <w:tcW w:type="dxa" w:w="6912"/>
            <w:vAlign w:val="top"/>
          </w:tcPr>
          <w:p>
            <w:pPr>
              <w:spacing w:after="0"/>
            </w:pPr>
            <w:r/>
            <w:r>
              <w:rPr>
                <w:rFonts w:ascii="Arial" w:hAnsi="Arial"/>
                <w:b w:val="0"/>
                <w:sz w:val="17"/>
              </w:rPr>
              <w:t>Warns if too much capital is in one site, stakeholder, region, or asset type.</w:t>
            </w:r>
          </w:p>
        </w:tc>
      </w:tr>
      <w:tr>
        <w:tc>
          <w:tcPr>
            <w:tcW w:type="dxa" w:w="2880"/>
            <w:vAlign w:val="top"/>
          </w:tcPr>
          <w:p>
            <w:pPr>
              <w:spacing w:after="0"/>
            </w:pPr>
            <w:r/>
            <w:r>
              <w:rPr>
                <w:rFonts w:ascii="Arial" w:hAnsi="Arial"/>
                <w:b w:val="0"/>
                <w:sz w:val="17"/>
              </w:rPr>
              <w:t>Cashflow calendar</w:t>
            </w:r>
          </w:p>
        </w:tc>
        <w:tc>
          <w:tcPr>
            <w:tcW w:type="dxa" w:w="6912"/>
            <w:vAlign w:val="top"/>
          </w:tcPr>
          <w:p>
            <w:pPr>
              <w:spacing w:after="0"/>
            </w:pPr>
            <w:r/>
            <w:r>
              <w:rPr>
                <w:rFonts w:ascii="Arial" w:hAnsi="Arial"/>
                <w:b w:val="0"/>
                <w:sz w:val="17"/>
              </w:rPr>
              <w:t>Expected settlement dates, actual received, delayed payments, holds.</w:t>
            </w:r>
          </w:p>
        </w:tc>
      </w:tr>
      <w:tr>
        <w:tc>
          <w:tcPr>
            <w:tcW w:type="dxa" w:w="2880"/>
            <w:vAlign w:val="top"/>
          </w:tcPr>
          <w:p>
            <w:pPr>
              <w:spacing w:after="0"/>
            </w:pPr>
            <w:r/>
            <w:r>
              <w:rPr>
                <w:rFonts w:ascii="Arial" w:hAnsi="Arial"/>
                <w:b w:val="0"/>
                <w:sz w:val="17"/>
              </w:rPr>
              <w:t>Payback distribution</w:t>
            </w:r>
          </w:p>
        </w:tc>
        <w:tc>
          <w:tcPr>
            <w:tcW w:type="dxa" w:w="6912"/>
            <w:vAlign w:val="top"/>
          </w:tcPr>
          <w:p>
            <w:pPr>
              <w:spacing w:after="0"/>
            </w:pPr>
            <w:r/>
            <w:r>
              <w:rPr>
                <w:rFonts w:ascii="Arial" w:hAnsi="Arial"/>
                <w:b w:val="0"/>
                <w:sz w:val="17"/>
              </w:rPr>
              <w:t>Weighted projected payback and actual principal recovered.</w:t>
            </w:r>
          </w:p>
        </w:tc>
      </w:tr>
      <w:tr>
        <w:tc>
          <w:tcPr>
            <w:tcW w:type="dxa" w:w="2880"/>
            <w:vAlign w:val="top"/>
          </w:tcPr>
          <w:p>
            <w:pPr>
              <w:spacing w:after="0"/>
            </w:pPr>
            <w:r/>
            <w:r>
              <w:rPr>
                <w:rFonts w:ascii="Arial" w:hAnsi="Arial"/>
                <w:b w:val="0"/>
                <w:sz w:val="17"/>
              </w:rPr>
              <w:t>Risk alerts</w:t>
            </w:r>
          </w:p>
        </w:tc>
        <w:tc>
          <w:tcPr>
            <w:tcW w:type="dxa" w:w="6912"/>
            <w:vAlign w:val="top"/>
          </w:tcPr>
          <w:p>
            <w:pPr>
              <w:spacing w:after="0"/>
            </w:pPr>
            <w:r/>
            <w:r>
              <w:rPr>
                <w:rFonts w:ascii="Arial" w:hAnsi="Arial"/>
                <w:b w:val="0"/>
                <w:sz w:val="17"/>
              </w:rPr>
              <w:t>Data gaps, downtime, legal holds, currency exposure, maintenance issues.</w:t>
            </w:r>
          </w:p>
        </w:tc>
      </w:tr>
    </w:tbl>
    <w:p/>
    <w:p>
      <w:pPr>
        <w:pStyle w:val="Heading1"/>
      </w:pPr>
      <w:r>
        <w:rPr>
          <w:rFonts w:ascii="Arial" w:hAnsi="Arial"/>
          <w:sz w:val="20"/>
        </w:rPr>
        <w:t>22. Investor Risk Controls</w:t>
      </w:r>
    </w:p>
    <w:tbl>
      <w:tblPr>
        <w:tblStyle w:val="TableGrid"/>
        <w:tblW w:type="auto" w:w="0"/>
        <w:jc w:val="center"/>
        <w:tblLook w:firstColumn="1" w:firstRow="1" w:lastColumn="0" w:lastRow="0" w:noHBand="0" w:noVBand="1" w:val="04A0"/>
      </w:tblPr>
      <w:tblGrid>
        <w:gridCol w:w="5112"/>
        <w:gridCol w:w="5112"/>
      </w:tblGrid>
      <w:tr>
        <w:tc>
          <w:tcPr>
            <w:tcW w:type="dxa" w:w="2880"/>
            <w:shd w:fill="EDEDED"/>
            <w:vAlign w:val="center"/>
          </w:tcPr>
          <w:p>
            <w:pPr>
              <w:spacing w:after="0"/>
            </w:pPr>
            <w:r/>
            <w:r>
              <w:rPr>
                <w:rFonts w:ascii="Arial" w:hAnsi="Arial"/>
                <w:b/>
                <w:sz w:val="17"/>
              </w:rPr>
              <w:t>Risk</w:t>
            </w:r>
          </w:p>
        </w:tc>
        <w:tc>
          <w:tcPr>
            <w:tcW w:type="dxa" w:w="6912"/>
            <w:shd w:fill="EDEDED"/>
            <w:vAlign w:val="center"/>
          </w:tcPr>
          <w:p>
            <w:pPr>
              <w:spacing w:after="0"/>
            </w:pPr>
            <w:r/>
            <w:r>
              <w:rPr>
                <w:rFonts w:ascii="Arial" w:hAnsi="Arial"/>
                <w:b/>
                <w:sz w:val="17"/>
              </w:rPr>
              <w:t>Control</w:t>
            </w:r>
          </w:p>
        </w:tc>
      </w:tr>
      <w:tr>
        <w:tc>
          <w:tcPr>
            <w:tcW w:type="dxa" w:w="2880"/>
            <w:vAlign w:val="top"/>
          </w:tcPr>
          <w:p>
            <w:pPr>
              <w:spacing w:after="0"/>
            </w:pPr>
            <w:r/>
            <w:r>
              <w:rPr>
                <w:rFonts w:ascii="Arial" w:hAnsi="Arial"/>
                <w:b w:val="0"/>
                <w:sz w:val="17"/>
              </w:rPr>
              <w:t>Over-investment by retail users</w:t>
            </w:r>
          </w:p>
        </w:tc>
        <w:tc>
          <w:tcPr>
            <w:tcW w:type="dxa" w:w="6912"/>
            <w:vAlign w:val="top"/>
          </w:tcPr>
          <w:p>
            <w:pPr>
              <w:spacing w:after="0"/>
            </w:pPr>
            <w:r/>
            <w:r>
              <w:rPr>
                <w:rFonts w:ascii="Arial" w:hAnsi="Arial"/>
                <w:b w:val="0"/>
                <w:sz w:val="17"/>
              </w:rPr>
              <w:t>Per-user and per-period limits, concentration warnings, suitability checks, hard caps.</w:t>
            </w:r>
          </w:p>
        </w:tc>
      </w:tr>
      <w:tr>
        <w:tc>
          <w:tcPr>
            <w:tcW w:type="dxa" w:w="2880"/>
            <w:vAlign w:val="top"/>
          </w:tcPr>
          <w:p>
            <w:pPr>
              <w:spacing w:after="0"/>
            </w:pPr>
            <w:r/>
            <w:r>
              <w:rPr>
                <w:rFonts w:ascii="Arial" w:hAnsi="Arial"/>
                <w:b w:val="0"/>
                <w:sz w:val="17"/>
              </w:rPr>
              <w:t>Misleading returns</w:t>
            </w:r>
          </w:p>
        </w:tc>
        <w:tc>
          <w:tcPr>
            <w:tcW w:type="dxa" w:w="6912"/>
            <w:vAlign w:val="top"/>
          </w:tcPr>
          <w:p>
            <w:pPr>
              <w:spacing w:after="0"/>
            </w:pPr>
            <w:r/>
            <w:r>
              <w:rPr>
                <w:rFonts w:ascii="Arial" w:hAnsi="Arial"/>
                <w:b w:val="0"/>
                <w:sz w:val="17"/>
              </w:rPr>
              <w:t>Scenario ranges, assumptions disclosure, no guaranteed ROI language, measured vs projected separation.</w:t>
            </w:r>
          </w:p>
        </w:tc>
      </w:tr>
      <w:tr>
        <w:tc>
          <w:tcPr>
            <w:tcW w:type="dxa" w:w="2880"/>
            <w:vAlign w:val="top"/>
          </w:tcPr>
          <w:p>
            <w:pPr>
              <w:spacing w:after="0"/>
            </w:pPr>
            <w:r/>
            <w:r>
              <w:rPr>
                <w:rFonts w:ascii="Arial" w:hAnsi="Arial"/>
                <w:b w:val="0"/>
                <w:sz w:val="17"/>
              </w:rPr>
              <w:t>Project fraud</w:t>
            </w:r>
          </w:p>
        </w:tc>
        <w:tc>
          <w:tcPr>
            <w:tcW w:type="dxa" w:w="6912"/>
            <w:vAlign w:val="top"/>
          </w:tcPr>
          <w:p>
            <w:pPr>
              <w:spacing w:after="0"/>
            </w:pPr>
            <w:r/>
            <w:r>
              <w:rPr>
                <w:rFonts w:ascii="Arial" w:hAnsi="Arial"/>
                <w:b w:val="0"/>
                <w:sz w:val="17"/>
              </w:rPr>
              <w:t>Owner verification, electrician evidence, supplier/provider verification, BOM audits, escrow release controls.</w:t>
            </w:r>
          </w:p>
        </w:tc>
      </w:tr>
      <w:tr>
        <w:tc>
          <w:tcPr>
            <w:tcW w:type="dxa" w:w="2880"/>
            <w:vAlign w:val="top"/>
          </w:tcPr>
          <w:p>
            <w:pPr>
              <w:spacing w:after="0"/>
            </w:pPr>
            <w:r/>
            <w:r>
              <w:rPr>
                <w:rFonts w:ascii="Arial" w:hAnsi="Arial"/>
                <w:b w:val="0"/>
                <w:sz w:val="17"/>
              </w:rPr>
              <w:t>Use-of-funds misuse</w:t>
            </w:r>
          </w:p>
        </w:tc>
        <w:tc>
          <w:tcPr>
            <w:tcW w:type="dxa" w:w="6912"/>
            <w:vAlign w:val="top"/>
          </w:tcPr>
          <w:p>
            <w:pPr>
              <w:spacing w:after="0"/>
            </w:pPr>
            <w:r/>
            <w:r>
              <w:rPr>
                <w:rFonts w:ascii="Arial" w:hAnsi="Arial"/>
                <w:b w:val="0"/>
                <w:sz w:val="17"/>
              </w:rPr>
              <w:t>Milestone release, invoice/BOM matching, serial numbers, evidence review, audit trail.</w:t>
            </w:r>
          </w:p>
        </w:tc>
      </w:tr>
      <w:tr>
        <w:tc>
          <w:tcPr>
            <w:tcW w:type="dxa" w:w="2880"/>
            <w:vAlign w:val="top"/>
          </w:tcPr>
          <w:p>
            <w:pPr>
              <w:spacing w:after="0"/>
            </w:pPr>
            <w:r/>
            <w:r>
              <w:rPr>
                <w:rFonts w:ascii="Arial" w:hAnsi="Arial"/>
                <w:b w:val="0"/>
                <w:sz w:val="17"/>
              </w:rPr>
              <w:t>Unqualified investors</w:t>
            </w:r>
          </w:p>
        </w:tc>
        <w:tc>
          <w:tcPr>
            <w:tcW w:type="dxa" w:w="6912"/>
            <w:vAlign w:val="top"/>
          </w:tcPr>
          <w:p>
            <w:pPr>
              <w:spacing w:after="0"/>
            </w:pPr>
            <w:r/>
            <w:r>
              <w:rPr>
                <w:rFonts w:ascii="Arial" w:hAnsi="Arial"/>
                <w:b w:val="0"/>
                <w:sz w:val="17"/>
              </w:rPr>
              <w:t>Eligibility checks and jurisdiction gates before committing.</w:t>
            </w:r>
          </w:p>
        </w:tc>
      </w:tr>
      <w:tr>
        <w:tc>
          <w:tcPr>
            <w:tcW w:type="dxa" w:w="2880"/>
            <w:vAlign w:val="top"/>
          </w:tcPr>
          <w:p>
            <w:pPr>
              <w:spacing w:after="0"/>
            </w:pPr>
            <w:r/>
            <w:r>
              <w:rPr>
                <w:rFonts w:ascii="Arial" w:hAnsi="Arial"/>
                <w:b w:val="0"/>
                <w:sz w:val="17"/>
              </w:rPr>
              <w:t>Illiquidity surprise</w:t>
            </w:r>
          </w:p>
        </w:tc>
        <w:tc>
          <w:tcPr>
            <w:tcW w:type="dxa" w:w="6912"/>
            <w:vAlign w:val="top"/>
          </w:tcPr>
          <w:p>
            <w:pPr>
              <w:spacing w:after="0"/>
            </w:pPr>
            <w:r/>
            <w:r>
              <w:rPr>
                <w:rFonts w:ascii="Arial" w:hAnsi="Arial"/>
                <w:b w:val="0"/>
                <w:sz w:val="17"/>
              </w:rPr>
              <w:t>Clear lockup/transfer restrictions and exit rules before commitment.</w:t>
            </w:r>
          </w:p>
        </w:tc>
      </w:tr>
      <w:tr>
        <w:tc>
          <w:tcPr>
            <w:tcW w:type="dxa" w:w="2880"/>
            <w:vAlign w:val="top"/>
          </w:tcPr>
          <w:p>
            <w:pPr>
              <w:spacing w:after="0"/>
            </w:pPr>
            <w:r/>
            <w:r>
              <w:rPr>
                <w:rFonts w:ascii="Arial" w:hAnsi="Arial"/>
                <w:b w:val="0"/>
                <w:sz w:val="17"/>
              </w:rPr>
              <w:t>Data manipulation</w:t>
            </w:r>
          </w:p>
        </w:tc>
        <w:tc>
          <w:tcPr>
            <w:tcW w:type="dxa" w:w="6912"/>
            <w:vAlign w:val="top"/>
          </w:tcPr>
          <w:p>
            <w:pPr>
              <w:spacing w:after="0"/>
            </w:pPr>
            <w:r/>
            <w:r>
              <w:rPr>
                <w:rFonts w:ascii="Arial" w:hAnsi="Arial"/>
                <w:b w:val="0"/>
                <w:sz w:val="17"/>
              </w:rPr>
              <w:t>Meter/inverter data validation, anomaly detection, conservative settlement when data missing.</w:t>
            </w:r>
          </w:p>
        </w:tc>
      </w:tr>
      <w:tr>
        <w:tc>
          <w:tcPr>
            <w:tcW w:type="dxa" w:w="2880"/>
            <w:vAlign w:val="top"/>
          </w:tcPr>
          <w:p>
            <w:pPr>
              <w:spacing w:after="0"/>
            </w:pPr>
            <w:r/>
            <w:r>
              <w:rPr>
                <w:rFonts w:ascii="Arial" w:hAnsi="Arial"/>
                <w:b w:val="0"/>
                <w:sz w:val="17"/>
              </w:rPr>
              <w:t>Conflict of interest</w:t>
            </w:r>
          </w:p>
        </w:tc>
        <w:tc>
          <w:tcPr>
            <w:tcW w:type="dxa" w:w="6912"/>
            <w:vAlign w:val="top"/>
          </w:tcPr>
          <w:p>
            <w:pPr>
              <w:spacing w:after="0"/>
            </w:pPr>
            <w:r/>
            <w:r>
              <w:rPr>
                <w:rFonts w:ascii="Arial" w:hAnsi="Arial"/>
                <w:b w:val="0"/>
                <w:sz w:val="17"/>
              </w:rPr>
              <w:t>Disclose if e.mappa, owners, suppliers, providers, electricians, or insiders have interests in the project.</w:t>
            </w:r>
          </w:p>
        </w:tc>
      </w:tr>
      <w:tr>
        <w:tc>
          <w:tcPr>
            <w:tcW w:type="dxa" w:w="2880"/>
            <w:vAlign w:val="top"/>
          </w:tcPr>
          <w:p>
            <w:pPr>
              <w:spacing w:after="0"/>
            </w:pPr>
            <w:r/>
            <w:r>
              <w:rPr>
                <w:rFonts w:ascii="Arial" w:hAnsi="Arial"/>
                <w:b w:val="0"/>
                <w:sz w:val="17"/>
              </w:rPr>
              <w:t>Regulatory breach</w:t>
            </w:r>
          </w:p>
        </w:tc>
        <w:tc>
          <w:tcPr>
            <w:tcW w:type="dxa" w:w="6912"/>
            <w:vAlign w:val="top"/>
          </w:tcPr>
          <w:p>
            <w:pPr>
              <w:spacing w:after="0"/>
            </w:pPr>
            <w:r/>
            <w:r>
              <w:rPr>
                <w:rFonts w:ascii="Arial" w:hAnsi="Arial"/>
                <w:b w:val="0"/>
                <w:sz w:val="17"/>
              </w:rPr>
              <w:t>Compliance engine, offering controls, records, restricted jurisdictions, legal review.</w:t>
            </w:r>
          </w:p>
        </w:tc>
      </w:tr>
      <w:tr>
        <w:tc>
          <w:tcPr>
            <w:tcW w:type="dxa" w:w="2880"/>
            <w:vAlign w:val="top"/>
          </w:tcPr>
          <w:p>
            <w:pPr>
              <w:spacing w:after="0"/>
            </w:pPr>
            <w:r/>
            <w:r>
              <w:rPr>
                <w:rFonts w:ascii="Arial" w:hAnsi="Arial"/>
                <w:b w:val="0"/>
                <w:sz w:val="17"/>
              </w:rPr>
              <w:t>Platform custody risk</w:t>
            </w:r>
          </w:p>
        </w:tc>
        <w:tc>
          <w:tcPr>
            <w:tcW w:type="dxa" w:w="6912"/>
            <w:vAlign w:val="top"/>
          </w:tcPr>
          <w:p>
            <w:pPr>
              <w:spacing w:after="0"/>
            </w:pPr>
            <w:r/>
            <w:r>
              <w:rPr>
                <w:rFonts w:ascii="Arial" w:hAnsi="Arial"/>
                <w:b w:val="0"/>
                <w:sz w:val="17"/>
              </w:rPr>
              <w:t>Use segregated escrow/custody/payment accounts and reconciliation.</w:t>
            </w:r>
          </w:p>
        </w:tc>
      </w:tr>
    </w:tbl>
    <w:p/>
    <w:p>
      <w:pPr>
        <w:pStyle w:val="Heading1"/>
      </w:pPr>
      <w:r>
        <w:rPr>
          <w:rFonts w:ascii="Arial" w:hAnsi="Arial"/>
          <w:sz w:val="20"/>
        </w:rPr>
        <w:t>23. Financier Notifications and Alerts</w:t>
      </w:r>
    </w:p>
    <w:tbl>
      <w:tblPr>
        <w:tblStyle w:val="TableGrid"/>
        <w:tblW w:type="auto" w:w="0"/>
        <w:jc w:val="center"/>
        <w:tblLook w:firstColumn="1" w:firstRow="1" w:lastColumn="0" w:lastRow="0" w:noHBand="0" w:noVBand="1" w:val="04A0"/>
      </w:tblPr>
      <w:tblGrid>
        <w:gridCol w:w="5112"/>
        <w:gridCol w:w="5112"/>
      </w:tblGrid>
      <w:tr>
        <w:tc>
          <w:tcPr>
            <w:tcW w:type="dxa" w:w="2592"/>
            <w:shd w:fill="EDEDED"/>
            <w:vAlign w:val="center"/>
          </w:tcPr>
          <w:p>
            <w:pPr>
              <w:spacing w:after="0"/>
            </w:pPr>
            <w:r/>
            <w:r>
              <w:rPr>
                <w:rFonts w:ascii="Arial" w:hAnsi="Arial"/>
                <w:b/>
                <w:sz w:val="17"/>
              </w:rPr>
              <w:t>Trigger</w:t>
            </w:r>
          </w:p>
        </w:tc>
        <w:tc>
          <w:tcPr>
            <w:tcW w:type="dxa" w:w="7344"/>
            <w:shd w:fill="EDEDED"/>
            <w:vAlign w:val="center"/>
          </w:tcPr>
          <w:p>
            <w:pPr>
              <w:spacing w:after="0"/>
            </w:pPr>
            <w:r/>
            <w:r>
              <w:rPr>
                <w:rFonts w:ascii="Arial" w:hAnsi="Arial"/>
                <w:b/>
                <w:sz w:val="17"/>
              </w:rPr>
              <w:t>Notification</w:t>
            </w:r>
          </w:p>
        </w:tc>
      </w:tr>
      <w:tr>
        <w:tc>
          <w:tcPr>
            <w:tcW w:type="dxa" w:w="2592"/>
            <w:vAlign w:val="top"/>
          </w:tcPr>
          <w:p>
            <w:pPr>
              <w:spacing w:after="0"/>
            </w:pPr>
            <w:r/>
            <w:r>
              <w:rPr>
                <w:rFonts w:ascii="Arial" w:hAnsi="Arial"/>
                <w:b w:val="0"/>
                <w:sz w:val="17"/>
              </w:rPr>
              <w:t>New eligible project</w:t>
            </w:r>
          </w:p>
        </w:tc>
        <w:tc>
          <w:tcPr>
            <w:tcW w:type="dxa" w:w="7344"/>
            <w:vAlign w:val="top"/>
          </w:tcPr>
          <w:p>
            <w:pPr>
              <w:spacing w:after="0"/>
            </w:pPr>
            <w:r/>
            <w:r>
              <w:rPr>
                <w:rFonts w:ascii="Arial" w:hAnsi="Arial"/>
                <w:b w:val="0"/>
                <w:sz w:val="17"/>
              </w:rPr>
              <w:t>A new project is available in your eligible market. DRS 68%, KSh 120,000 funding gap.</w:t>
            </w:r>
          </w:p>
        </w:tc>
      </w:tr>
      <w:tr>
        <w:tc>
          <w:tcPr>
            <w:tcW w:type="dxa" w:w="2592"/>
            <w:vAlign w:val="top"/>
          </w:tcPr>
          <w:p>
            <w:pPr>
              <w:spacing w:after="0"/>
            </w:pPr>
            <w:r/>
            <w:r>
              <w:rPr>
                <w:rFonts w:ascii="Arial" w:hAnsi="Arial"/>
                <w:b w:val="0"/>
                <w:sz w:val="17"/>
              </w:rPr>
              <w:t>Capital gap near close</w:t>
            </w:r>
          </w:p>
        </w:tc>
        <w:tc>
          <w:tcPr>
            <w:tcW w:type="dxa" w:w="7344"/>
            <w:vAlign w:val="top"/>
          </w:tcPr>
          <w:p>
            <w:pPr>
              <w:spacing w:after="0"/>
            </w:pPr>
            <w:r/>
            <w:r>
              <w:rPr>
                <w:rFonts w:ascii="Arial" w:hAnsi="Arial"/>
                <w:b w:val="0"/>
                <w:sz w:val="17"/>
              </w:rPr>
              <w:t>This project is KSh 25,000 away from DRS capital readiness.</w:t>
            </w:r>
          </w:p>
        </w:tc>
      </w:tr>
      <w:tr>
        <w:tc>
          <w:tcPr>
            <w:tcW w:type="dxa" w:w="2592"/>
            <w:vAlign w:val="top"/>
          </w:tcPr>
          <w:p>
            <w:pPr>
              <w:spacing w:after="0"/>
            </w:pPr>
            <w:r/>
            <w:r>
              <w:rPr>
                <w:rFonts w:ascii="Arial" w:hAnsi="Arial"/>
                <w:b w:val="0"/>
                <w:sz w:val="17"/>
              </w:rPr>
              <w:t>As-a-service buyout opened</w:t>
            </w:r>
          </w:p>
        </w:tc>
        <w:tc>
          <w:tcPr>
            <w:tcW w:type="dxa" w:w="7344"/>
            <w:vAlign w:val="top"/>
          </w:tcPr>
          <w:p>
            <w:pPr>
              <w:spacing w:after="0"/>
            </w:pPr>
            <w:r/>
            <w:r>
              <w:rPr>
                <w:rFonts w:ascii="Arial" w:hAnsi="Arial"/>
                <w:b w:val="0"/>
                <w:sz w:val="17"/>
              </w:rPr>
              <w:t>A supplier/electrician claim is available for buyout with disclosed terms.</w:t>
            </w:r>
          </w:p>
        </w:tc>
      </w:tr>
      <w:tr>
        <w:tc>
          <w:tcPr>
            <w:tcW w:type="dxa" w:w="2592"/>
            <w:vAlign w:val="top"/>
          </w:tcPr>
          <w:p>
            <w:pPr>
              <w:spacing w:after="0"/>
            </w:pPr>
            <w:r/>
            <w:r>
              <w:rPr>
                <w:rFonts w:ascii="Arial" w:hAnsi="Arial"/>
                <w:b w:val="0"/>
                <w:sz w:val="17"/>
              </w:rPr>
              <w:t>Commitment accepted</w:t>
            </w:r>
          </w:p>
        </w:tc>
        <w:tc>
          <w:tcPr>
            <w:tcW w:type="dxa" w:w="7344"/>
            <w:vAlign w:val="top"/>
          </w:tcPr>
          <w:p>
            <w:pPr>
              <w:spacing w:after="0"/>
            </w:pPr>
            <w:r/>
            <w:r>
              <w:rPr>
                <w:rFonts w:ascii="Arial" w:hAnsi="Arial"/>
                <w:b w:val="0"/>
                <w:sz w:val="17"/>
              </w:rPr>
              <w:t>Your KSh X commitment has been accepted and moved to escrow.</w:t>
            </w:r>
          </w:p>
        </w:tc>
      </w:tr>
      <w:tr>
        <w:tc>
          <w:tcPr>
            <w:tcW w:type="dxa" w:w="2592"/>
            <w:vAlign w:val="top"/>
          </w:tcPr>
          <w:p>
            <w:pPr>
              <w:spacing w:after="0"/>
            </w:pPr>
            <w:r/>
            <w:r>
              <w:rPr>
                <w:rFonts w:ascii="Arial" w:hAnsi="Arial"/>
                <w:b w:val="0"/>
                <w:sz w:val="17"/>
              </w:rPr>
              <w:t>DRS reached 100%</w:t>
            </w:r>
          </w:p>
        </w:tc>
        <w:tc>
          <w:tcPr>
            <w:tcW w:type="dxa" w:w="7344"/>
            <w:vAlign w:val="top"/>
          </w:tcPr>
          <w:p>
            <w:pPr>
              <w:spacing w:after="0"/>
            </w:pPr>
            <w:r/>
            <w:r>
              <w:rPr>
                <w:rFonts w:ascii="Arial" w:hAnsi="Arial"/>
                <w:b w:val="0"/>
                <w:sz w:val="17"/>
              </w:rPr>
              <w:t>Project is deployment-ready. Installation scheduling has begun.</w:t>
            </w:r>
          </w:p>
        </w:tc>
      </w:tr>
      <w:tr>
        <w:tc>
          <w:tcPr>
            <w:tcW w:type="dxa" w:w="2592"/>
            <w:vAlign w:val="top"/>
          </w:tcPr>
          <w:p>
            <w:pPr>
              <w:spacing w:after="0"/>
            </w:pPr>
            <w:r/>
            <w:r>
              <w:rPr>
                <w:rFonts w:ascii="Arial" w:hAnsi="Arial"/>
                <w:b w:val="0"/>
                <w:sz w:val="17"/>
              </w:rPr>
              <w:t>Installation milestone funded</w:t>
            </w:r>
          </w:p>
        </w:tc>
        <w:tc>
          <w:tcPr>
            <w:tcW w:type="dxa" w:w="7344"/>
            <w:vAlign w:val="top"/>
          </w:tcPr>
          <w:p>
            <w:pPr>
              <w:spacing w:after="0"/>
            </w:pPr>
            <w:r/>
            <w:r>
              <w:rPr>
                <w:rFonts w:ascii="Arial" w:hAnsi="Arial"/>
                <w:b w:val="0"/>
                <w:sz w:val="17"/>
              </w:rPr>
              <w:t>Milestone release approved for inverter/battery/ATS/labor.</w:t>
            </w:r>
          </w:p>
        </w:tc>
      </w:tr>
      <w:tr>
        <w:tc>
          <w:tcPr>
            <w:tcW w:type="dxa" w:w="2592"/>
            <w:vAlign w:val="top"/>
          </w:tcPr>
          <w:p>
            <w:pPr>
              <w:spacing w:after="0"/>
            </w:pPr>
            <w:r/>
            <w:r>
              <w:rPr>
                <w:rFonts w:ascii="Arial" w:hAnsi="Arial"/>
                <w:b w:val="0"/>
                <w:sz w:val="17"/>
              </w:rPr>
              <w:t>LBRS blocker</w:t>
            </w:r>
          </w:p>
        </w:tc>
        <w:tc>
          <w:tcPr>
            <w:tcW w:type="dxa" w:w="7344"/>
            <w:vAlign w:val="top"/>
          </w:tcPr>
          <w:p>
            <w:pPr>
              <w:spacing w:after="0"/>
            </w:pPr>
            <w:r/>
            <w:r>
              <w:rPr>
                <w:rFonts w:ascii="Arial" w:hAnsi="Arial"/>
                <w:b w:val="0"/>
                <w:sz w:val="17"/>
              </w:rPr>
              <w:t>Go-live delayed: ATS mapping failed for 2 units / settlement dry run failed.</w:t>
            </w:r>
          </w:p>
        </w:tc>
      </w:tr>
      <w:tr>
        <w:tc>
          <w:tcPr>
            <w:tcW w:type="dxa" w:w="2592"/>
            <w:vAlign w:val="top"/>
          </w:tcPr>
          <w:p>
            <w:pPr>
              <w:spacing w:after="0"/>
            </w:pPr>
            <w:r/>
            <w:r>
              <w:rPr>
                <w:rFonts w:ascii="Arial" w:hAnsi="Arial"/>
                <w:b w:val="0"/>
                <w:sz w:val="17"/>
              </w:rPr>
              <w:t>Project live</w:t>
            </w:r>
          </w:p>
        </w:tc>
        <w:tc>
          <w:tcPr>
            <w:tcW w:type="dxa" w:w="7344"/>
            <w:vAlign w:val="top"/>
          </w:tcPr>
          <w:p>
            <w:pPr>
              <w:spacing w:after="0"/>
            </w:pPr>
            <w:r/>
            <w:r>
              <w:rPr>
                <w:rFonts w:ascii="Arial" w:hAnsi="Arial"/>
                <w:b w:val="0"/>
                <w:sz w:val="17"/>
              </w:rPr>
              <w:t>Project has passed LBRS and is now eligible for prepaid energy settlement.</w:t>
            </w:r>
          </w:p>
        </w:tc>
      </w:tr>
      <w:tr>
        <w:tc>
          <w:tcPr>
            <w:tcW w:type="dxa" w:w="2592"/>
            <w:vAlign w:val="top"/>
          </w:tcPr>
          <w:p>
            <w:pPr>
              <w:spacing w:after="0"/>
            </w:pPr>
            <w:r/>
            <w:r>
              <w:rPr>
                <w:rFonts w:ascii="Arial" w:hAnsi="Arial"/>
                <w:b w:val="0"/>
                <w:sz w:val="17"/>
              </w:rPr>
              <w:t>Settlement posted</w:t>
            </w:r>
          </w:p>
        </w:tc>
        <w:tc>
          <w:tcPr>
            <w:tcW w:type="dxa" w:w="7344"/>
            <w:vAlign w:val="top"/>
          </w:tcPr>
          <w:p>
            <w:pPr>
              <w:spacing w:after="0"/>
            </w:pPr>
            <w:r/>
            <w:r>
              <w:rPr>
                <w:rFonts w:ascii="Arial" w:hAnsi="Arial"/>
                <w:b w:val="0"/>
                <w:sz w:val="17"/>
              </w:rPr>
              <w:t>KSh X received from monetized solar for period Y.</w:t>
            </w:r>
          </w:p>
        </w:tc>
      </w:tr>
      <w:tr>
        <w:tc>
          <w:tcPr>
            <w:tcW w:type="dxa" w:w="2592"/>
            <w:vAlign w:val="top"/>
          </w:tcPr>
          <w:p>
            <w:pPr>
              <w:spacing w:after="0"/>
            </w:pPr>
            <w:r/>
            <w:r>
              <w:rPr>
                <w:rFonts w:ascii="Arial" w:hAnsi="Arial"/>
                <w:b w:val="0"/>
                <w:sz w:val="17"/>
              </w:rPr>
              <w:t>Utilization warning</w:t>
            </w:r>
          </w:p>
        </w:tc>
        <w:tc>
          <w:tcPr>
            <w:tcW w:type="dxa" w:w="7344"/>
            <w:vAlign w:val="top"/>
          </w:tcPr>
          <w:p>
            <w:pPr>
              <w:spacing w:after="0"/>
            </w:pPr>
            <w:r/>
            <w:r>
              <w:rPr>
                <w:rFonts w:ascii="Arial" w:hAnsi="Arial"/>
                <w:b w:val="0"/>
                <w:sz w:val="17"/>
              </w:rPr>
              <w:t>Utilization dropped below model; projected payback has changed.</w:t>
            </w:r>
          </w:p>
        </w:tc>
      </w:tr>
      <w:tr>
        <w:tc>
          <w:tcPr>
            <w:tcW w:type="dxa" w:w="2592"/>
            <w:vAlign w:val="top"/>
          </w:tcPr>
          <w:p>
            <w:pPr>
              <w:spacing w:after="0"/>
            </w:pPr>
            <w:r/>
            <w:r>
              <w:rPr>
                <w:rFonts w:ascii="Arial" w:hAnsi="Arial"/>
                <w:b w:val="0"/>
                <w:sz w:val="17"/>
              </w:rPr>
              <w:t>Data quality hold</w:t>
            </w:r>
          </w:p>
        </w:tc>
        <w:tc>
          <w:tcPr>
            <w:tcW w:type="dxa" w:w="7344"/>
            <w:vAlign w:val="top"/>
          </w:tcPr>
          <w:p>
            <w:pPr>
              <w:spacing w:after="0"/>
            </w:pPr>
            <w:r/>
            <w:r>
              <w:rPr>
                <w:rFonts w:ascii="Arial" w:hAnsi="Arial"/>
                <w:b w:val="0"/>
                <w:sz w:val="17"/>
              </w:rPr>
              <w:t>Settlement paused pending meter/inverter data verification.</w:t>
            </w:r>
          </w:p>
        </w:tc>
      </w:tr>
      <w:tr>
        <w:tc>
          <w:tcPr>
            <w:tcW w:type="dxa" w:w="2592"/>
            <w:vAlign w:val="top"/>
          </w:tcPr>
          <w:p>
            <w:pPr>
              <w:spacing w:after="0"/>
            </w:pPr>
            <w:r/>
            <w:r>
              <w:rPr>
                <w:rFonts w:ascii="Arial" w:hAnsi="Arial"/>
                <w:b w:val="0"/>
                <w:sz w:val="17"/>
              </w:rPr>
              <w:t>Buyout offer</w:t>
            </w:r>
          </w:p>
        </w:tc>
        <w:tc>
          <w:tcPr>
            <w:tcW w:type="dxa" w:w="7344"/>
            <w:vAlign w:val="top"/>
          </w:tcPr>
          <w:p>
            <w:pPr>
              <w:spacing w:after="0"/>
            </w:pPr>
            <w:r/>
            <w:r>
              <w:rPr>
                <w:rFonts w:ascii="Arial" w:hAnsi="Arial"/>
                <w:b w:val="0"/>
                <w:sz w:val="17"/>
              </w:rPr>
              <w:t>Another participant offered to buy your claim; review price and terms.</w:t>
            </w:r>
          </w:p>
        </w:tc>
      </w:tr>
    </w:tbl>
    <w:p/>
    <w:p>
      <w:pPr>
        <w:pStyle w:val="Heading1"/>
      </w:pPr>
      <w:r>
        <w:rPr>
          <w:rFonts w:ascii="Arial" w:hAnsi="Arial"/>
          <w:sz w:val="20"/>
        </w:rPr>
        <w:t>24. Backend Data Model Additions</w:t>
      </w:r>
    </w:p>
    <w:tbl>
      <w:tblPr>
        <w:tblStyle w:val="TableGrid"/>
        <w:tblW w:type="auto" w:w="0"/>
        <w:jc w:val="center"/>
        <w:tblLook w:firstColumn="1" w:firstRow="1" w:lastColumn="0" w:lastRow="0" w:noHBand="0" w:noVBand="1" w:val="04A0"/>
      </w:tblPr>
      <w:tblGrid>
        <w:gridCol w:w="5112"/>
        <w:gridCol w:w="5112"/>
      </w:tblGrid>
      <w:tr>
        <w:tc>
          <w:tcPr>
            <w:tcW w:type="dxa" w:w="3024"/>
            <w:shd w:fill="EDEDED"/>
            <w:vAlign w:val="center"/>
          </w:tcPr>
          <w:p>
            <w:pPr>
              <w:spacing w:after="0"/>
            </w:pPr>
            <w:r/>
            <w:r>
              <w:rPr>
                <w:rFonts w:ascii="Arial" w:hAnsi="Arial"/>
                <w:b/>
                <w:sz w:val="17"/>
              </w:rPr>
              <w:t>Entity</w:t>
            </w:r>
          </w:p>
        </w:tc>
        <w:tc>
          <w:tcPr>
            <w:tcW w:type="dxa" w:w="6912"/>
            <w:shd w:fill="EDEDED"/>
            <w:vAlign w:val="center"/>
          </w:tcPr>
          <w:p>
            <w:pPr>
              <w:spacing w:after="0"/>
            </w:pPr>
            <w:r/>
            <w:r>
              <w:rPr>
                <w:rFonts w:ascii="Arial" w:hAnsi="Arial"/>
                <w:b/>
                <w:sz w:val="17"/>
              </w:rPr>
              <w:t>Core fields</w:t>
            </w:r>
          </w:p>
        </w:tc>
      </w:tr>
      <w:tr>
        <w:tc>
          <w:tcPr>
            <w:tcW w:type="dxa" w:w="3024"/>
            <w:vAlign w:val="top"/>
          </w:tcPr>
          <w:p>
            <w:pPr>
              <w:spacing w:after="0"/>
            </w:pPr>
            <w:r/>
            <w:r>
              <w:rPr>
                <w:rFonts w:ascii="Arial" w:hAnsi="Arial"/>
                <w:b w:val="0"/>
                <w:sz w:val="17"/>
              </w:rPr>
              <w:t>FinancierProfile</w:t>
            </w:r>
          </w:p>
        </w:tc>
        <w:tc>
          <w:tcPr>
            <w:tcW w:type="dxa" w:w="6912"/>
            <w:vAlign w:val="top"/>
          </w:tcPr>
          <w:p>
            <w:pPr>
              <w:spacing w:after="0"/>
            </w:pPr>
            <w:r/>
            <w:r>
              <w:rPr>
                <w:rFonts w:ascii="Arial" w:hAnsi="Arial"/>
                <w:b w:val="0"/>
                <w:sz w:val="17"/>
              </w:rPr>
              <w:t>user_id, account_type, legal_name, phone, email, country_of_residence, tax_residency, verification_status, eligibility_tier, jurisdiction_status, risk_profile, payout_account_id</w:t>
            </w:r>
          </w:p>
        </w:tc>
      </w:tr>
      <w:tr>
        <w:tc>
          <w:tcPr>
            <w:tcW w:type="dxa" w:w="3024"/>
            <w:vAlign w:val="top"/>
          </w:tcPr>
          <w:p>
            <w:pPr>
              <w:spacing w:after="0"/>
            </w:pPr>
            <w:r/>
            <w:r>
              <w:rPr>
                <w:rFonts w:ascii="Arial" w:hAnsi="Arial"/>
                <w:b w:val="0"/>
                <w:sz w:val="17"/>
              </w:rPr>
              <w:t>InvestorEligibilityRecord</w:t>
            </w:r>
          </w:p>
        </w:tc>
        <w:tc>
          <w:tcPr>
            <w:tcW w:type="dxa" w:w="6912"/>
            <w:vAlign w:val="top"/>
          </w:tcPr>
          <w:p>
            <w:pPr>
              <w:spacing w:after="0"/>
            </w:pPr>
            <w:r/>
            <w:r>
              <w:rPr>
                <w:rFonts w:ascii="Arial" w:hAnsi="Arial"/>
                <w:b w:val="0"/>
                <w:sz w:val="17"/>
              </w:rPr>
              <w:t>user_id, jurisdiction, investor_type, evidence_url, verified_by, limits_json, expires_at, status</w:t>
            </w:r>
          </w:p>
        </w:tc>
      </w:tr>
      <w:tr>
        <w:tc>
          <w:tcPr>
            <w:tcW w:type="dxa" w:w="3024"/>
            <w:vAlign w:val="top"/>
          </w:tcPr>
          <w:p>
            <w:pPr>
              <w:spacing w:after="0"/>
            </w:pPr>
            <w:r/>
            <w:r>
              <w:rPr>
                <w:rFonts w:ascii="Arial" w:hAnsi="Arial"/>
                <w:b w:val="0"/>
                <w:sz w:val="17"/>
              </w:rPr>
              <w:t>RiskSuitabilityProfile</w:t>
            </w:r>
          </w:p>
        </w:tc>
        <w:tc>
          <w:tcPr>
            <w:tcW w:type="dxa" w:w="6912"/>
            <w:vAlign w:val="top"/>
          </w:tcPr>
          <w:p>
            <w:pPr>
              <w:spacing w:after="0"/>
            </w:pPr>
            <w:r/>
            <w:r>
              <w:rPr>
                <w:rFonts w:ascii="Arial" w:hAnsi="Arial"/>
                <w:b w:val="0"/>
                <w:sz w:val="17"/>
              </w:rPr>
              <w:t>user_id, investment_experience, loss_capacity, time_horizon, liquidity_need, concentration_limit, comprehension_score, updated_at</w:t>
            </w:r>
          </w:p>
        </w:tc>
      </w:tr>
      <w:tr>
        <w:tc>
          <w:tcPr>
            <w:tcW w:type="dxa" w:w="3024"/>
            <w:vAlign w:val="top"/>
          </w:tcPr>
          <w:p>
            <w:pPr>
              <w:spacing w:after="0"/>
            </w:pPr>
            <w:r/>
            <w:r>
              <w:rPr>
                <w:rFonts w:ascii="Arial" w:hAnsi="Arial"/>
                <w:b w:val="0"/>
                <w:sz w:val="17"/>
              </w:rPr>
              <w:t>ProjectOffering</w:t>
            </w:r>
          </w:p>
        </w:tc>
        <w:tc>
          <w:tcPr>
            <w:tcW w:type="dxa" w:w="6912"/>
            <w:vAlign w:val="top"/>
          </w:tcPr>
          <w:p>
            <w:pPr>
              <w:spacing w:after="0"/>
            </w:pPr>
            <w:r/>
            <w:r>
              <w:rPr>
                <w:rFonts w:ascii="Arial" w:hAnsi="Arial"/>
                <w:b w:val="0"/>
                <w:sz w:val="17"/>
              </w:rPr>
              <w:t>offering_id, project_id, jurisdiction, instrument_type, target_amount, min_ticket, max_ticket, eligible_investor_types, disclosure_version, status</w:t>
            </w:r>
          </w:p>
        </w:tc>
      </w:tr>
      <w:tr>
        <w:tc>
          <w:tcPr>
            <w:tcW w:type="dxa" w:w="3024"/>
            <w:vAlign w:val="top"/>
          </w:tcPr>
          <w:p>
            <w:pPr>
              <w:spacing w:after="0"/>
            </w:pPr>
            <w:r/>
            <w:r>
              <w:rPr>
                <w:rFonts w:ascii="Arial" w:hAnsi="Arial"/>
                <w:b w:val="0"/>
                <w:sz w:val="17"/>
              </w:rPr>
              <w:t>FinancierCommitment</w:t>
            </w:r>
          </w:p>
        </w:tc>
        <w:tc>
          <w:tcPr>
            <w:tcW w:type="dxa" w:w="6912"/>
            <w:vAlign w:val="top"/>
          </w:tcPr>
          <w:p>
            <w:pPr>
              <w:spacing w:after="0"/>
            </w:pPr>
            <w:r/>
            <w:r>
              <w:rPr>
                <w:rFonts w:ascii="Arial" w:hAnsi="Arial"/>
                <w:b w:val="0"/>
                <w:sz w:val="17"/>
              </w:rPr>
              <w:t>commitment_id, user_id, offering_id, project_id, amount_kes, currency, status, accepted_at, escrow_status, cooling_off_until</w:t>
            </w:r>
          </w:p>
        </w:tc>
      </w:tr>
      <w:tr>
        <w:tc>
          <w:tcPr>
            <w:tcW w:type="dxa" w:w="3024"/>
            <w:vAlign w:val="top"/>
          </w:tcPr>
          <w:p>
            <w:pPr>
              <w:spacing w:after="0"/>
            </w:pPr>
            <w:r/>
            <w:r>
              <w:rPr>
                <w:rFonts w:ascii="Arial" w:hAnsi="Arial"/>
                <w:b w:val="0"/>
                <w:sz w:val="17"/>
              </w:rPr>
              <w:t>EscrowLedger</w:t>
            </w:r>
          </w:p>
        </w:tc>
        <w:tc>
          <w:tcPr>
            <w:tcW w:type="dxa" w:w="6912"/>
            <w:vAlign w:val="top"/>
          </w:tcPr>
          <w:p>
            <w:pPr>
              <w:spacing w:after="0"/>
            </w:pPr>
            <w:r/>
            <w:r>
              <w:rPr>
                <w:rFonts w:ascii="Arial" w:hAnsi="Arial"/>
                <w:b w:val="0"/>
                <w:sz w:val="17"/>
              </w:rPr>
              <w:t>escrow_id, commitment_id, amount, currency, status, custodian, release_condition, released_at, refunded_at</w:t>
            </w:r>
          </w:p>
        </w:tc>
      </w:tr>
      <w:tr>
        <w:tc>
          <w:tcPr>
            <w:tcW w:type="dxa" w:w="3024"/>
            <w:vAlign w:val="top"/>
          </w:tcPr>
          <w:p>
            <w:pPr>
              <w:spacing w:after="0"/>
            </w:pPr>
            <w:r/>
            <w:r>
              <w:rPr>
                <w:rFonts w:ascii="Arial" w:hAnsi="Arial"/>
                <w:b w:val="0"/>
                <w:sz w:val="17"/>
              </w:rPr>
              <w:t>InvestmentPosition</w:t>
            </w:r>
          </w:p>
        </w:tc>
        <w:tc>
          <w:tcPr>
            <w:tcW w:type="dxa" w:w="6912"/>
            <w:vAlign w:val="top"/>
          </w:tcPr>
          <w:p>
            <w:pPr>
              <w:spacing w:after="0"/>
            </w:pPr>
            <w:r/>
            <w:r>
              <w:rPr>
                <w:rFonts w:ascii="Arial" w:hAnsi="Arial"/>
                <w:b w:val="0"/>
                <w:sz w:val="17"/>
              </w:rPr>
              <w:t>position_id, user_id, project_id, asset_pool, claim_type, claim_percentage, principal_deployed, valuation_method, phase, acquired_at</w:t>
            </w:r>
          </w:p>
        </w:tc>
      </w:tr>
      <w:tr>
        <w:tc>
          <w:tcPr>
            <w:tcW w:type="dxa" w:w="3024"/>
            <w:vAlign w:val="top"/>
          </w:tcPr>
          <w:p>
            <w:pPr>
              <w:spacing w:after="0"/>
            </w:pPr>
            <w:r/>
            <w:r>
              <w:rPr>
                <w:rFonts w:ascii="Arial" w:hAnsi="Arial"/>
                <w:b w:val="0"/>
                <w:sz w:val="17"/>
              </w:rPr>
              <w:t>ClaimBuyoutOffer</w:t>
            </w:r>
          </w:p>
        </w:tc>
        <w:tc>
          <w:tcPr>
            <w:tcW w:type="dxa" w:w="6912"/>
            <w:vAlign w:val="top"/>
          </w:tcPr>
          <w:p>
            <w:pPr>
              <w:spacing w:after="0"/>
            </w:pPr>
            <w:r/>
            <w:r>
              <w:rPr>
                <w:rFonts w:ascii="Arial" w:hAnsi="Arial"/>
                <w:b w:val="0"/>
                <w:sz w:val="17"/>
              </w:rPr>
              <w:t>offer_id, seller_user_id, buyer_user_id, project_id, claim_id, asset_pool, price, discount_rate, status, signed_at</w:t>
            </w:r>
          </w:p>
        </w:tc>
      </w:tr>
      <w:tr>
        <w:tc>
          <w:tcPr>
            <w:tcW w:type="dxa" w:w="3024"/>
            <w:vAlign w:val="top"/>
          </w:tcPr>
          <w:p>
            <w:pPr>
              <w:spacing w:after="0"/>
            </w:pPr>
            <w:r/>
            <w:r>
              <w:rPr>
                <w:rFonts w:ascii="Arial" w:hAnsi="Arial"/>
                <w:b w:val="0"/>
                <w:sz w:val="17"/>
              </w:rPr>
              <w:t>FinancierWalletLedger</w:t>
            </w:r>
          </w:p>
        </w:tc>
        <w:tc>
          <w:tcPr>
            <w:tcW w:type="dxa" w:w="6912"/>
            <w:vAlign w:val="top"/>
          </w:tcPr>
          <w:p>
            <w:pPr>
              <w:spacing w:after="0"/>
            </w:pPr>
            <w:r/>
            <w:r>
              <w:rPr>
                <w:rFonts w:ascii="Arial" w:hAnsi="Arial"/>
                <w:b w:val="0"/>
                <w:sz w:val="17"/>
              </w:rPr>
              <w:t>ledger_id, user_id, project_id, position_id, transaction_type, amount, currency, kwh_basis, status, settlement_period_id, created_at</w:t>
            </w:r>
          </w:p>
        </w:tc>
      </w:tr>
      <w:tr>
        <w:tc>
          <w:tcPr>
            <w:tcW w:type="dxa" w:w="3024"/>
            <w:vAlign w:val="top"/>
          </w:tcPr>
          <w:p>
            <w:pPr>
              <w:spacing w:after="0"/>
            </w:pPr>
            <w:r/>
            <w:r>
              <w:rPr>
                <w:rFonts w:ascii="Arial" w:hAnsi="Arial"/>
                <w:b w:val="0"/>
                <w:sz w:val="17"/>
              </w:rPr>
              <w:t>ReturnProjectionSnapshot</w:t>
            </w:r>
          </w:p>
        </w:tc>
        <w:tc>
          <w:tcPr>
            <w:tcW w:type="dxa" w:w="6912"/>
            <w:vAlign w:val="top"/>
          </w:tcPr>
          <w:p>
            <w:pPr>
              <w:spacing w:after="0"/>
            </w:pPr>
            <w:r/>
            <w:r>
              <w:rPr>
                <w:rFonts w:ascii="Arial" w:hAnsi="Arial"/>
                <w:b w:val="0"/>
                <w:sz w:val="17"/>
              </w:rPr>
              <w:t>snapshot_id, project_id, position_id, utilization_case, e_sold_estimate, monthly_payout_estimate, payback_months, assumptions_json, created_at</w:t>
            </w:r>
          </w:p>
        </w:tc>
      </w:tr>
      <w:tr>
        <w:tc>
          <w:tcPr>
            <w:tcW w:type="dxa" w:w="3024"/>
            <w:vAlign w:val="top"/>
          </w:tcPr>
          <w:p>
            <w:pPr>
              <w:spacing w:after="0"/>
            </w:pPr>
            <w:r/>
            <w:r>
              <w:rPr>
                <w:rFonts w:ascii="Arial" w:hAnsi="Arial"/>
                <w:b w:val="0"/>
                <w:sz w:val="17"/>
              </w:rPr>
              <w:t>InvestorDocument</w:t>
            </w:r>
          </w:p>
        </w:tc>
        <w:tc>
          <w:tcPr>
            <w:tcW w:type="dxa" w:w="6912"/>
            <w:vAlign w:val="top"/>
          </w:tcPr>
          <w:p>
            <w:pPr>
              <w:spacing w:after="0"/>
            </w:pPr>
            <w:r/>
            <w:r>
              <w:rPr>
                <w:rFonts w:ascii="Arial" w:hAnsi="Arial"/>
                <w:b w:val="0"/>
                <w:sz w:val="17"/>
              </w:rPr>
              <w:t>document_id, user_id, document_type, version, file_url, signed_at, status</w:t>
            </w:r>
          </w:p>
        </w:tc>
      </w:tr>
      <w:tr>
        <w:tc>
          <w:tcPr>
            <w:tcW w:type="dxa" w:w="3024"/>
            <w:vAlign w:val="top"/>
          </w:tcPr>
          <w:p>
            <w:pPr>
              <w:spacing w:after="0"/>
            </w:pPr>
            <w:r/>
            <w:r>
              <w:rPr>
                <w:rFonts w:ascii="Arial" w:hAnsi="Arial"/>
                <w:b w:val="0"/>
                <w:sz w:val="17"/>
              </w:rPr>
              <w:t>PortfolioRiskSnapshot</w:t>
            </w:r>
          </w:p>
        </w:tc>
        <w:tc>
          <w:tcPr>
            <w:tcW w:type="dxa" w:w="6912"/>
            <w:vAlign w:val="top"/>
          </w:tcPr>
          <w:p>
            <w:pPr>
              <w:spacing w:after="0"/>
            </w:pPr>
            <w:r/>
            <w:r>
              <w:rPr>
                <w:rFonts w:ascii="Arial" w:hAnsi="Arial"/>
                <w:b w:val="0"/>
                <w:sz w:val="17"/>
              </w:rPr>
              <w:t>user_id, total_deployed, concentration_json, stage_split_json, geography_split_json, risk_alerts_json, generated_at</w:t>
            </w:r>
          </w:p>
        </w:tc>
      </w:tr>
    </w:tbl>
    <w:p/>
    <w:p>
      <w:pPr>
        <w:pStyle w:val="Heading1"/>
      </w:pPr>
      <w:r>
        <w:rPr>
          <w:rFonts w:ascii="Arial" w:hAnsi="Arial"/>
          <w:sz w:val="20"/>
        </w:rPr>
        <w:t>25. Screen-Level UX Requirements</w:t>
      </w:r>
    </w:p>
    <w:tbl>
      <w:tblPr>
        <w:tblStyle w:val="TableGrid"/>
        <w:tblW w:type="auto" w:w="0"/>
        <w:jc w:val="center"/>
        <w:tblLook w:firstColumn="1" w:firstRow="1" w:lastColumn="0" w:lastRow="0" w:noHBand="0" w:noVBand="1" w:val="04A0"/>
      </w:tblPr>
      <w:tblGrid>
        <w:gridCol w:w="5112"/>
        <w:gridCol w:w="5112"/>
      </w:tblGrid>
      <w:tr>
        <w:tc>
          <w:tcPr>
            <w:tcW w:type="dxa" w:w="2448"/>
            <w:shd w:fill="EDEDED"/>
            <w:vAlign w:val="center"/>
          </w:tcPr>
          <w:p>
            <w:pPr>
              <w:spacing w:after="0"/>
            </w:pPr>
            <w:r/>
            <w:r>
              <w:rPr>
                <w:rFonts w:ascii="Arial" w:hAnsi="Arial"/>
                <w:b/>
                <w:sz w:val="17"/>
              </w:rPr>
              <w:t>Area</w:t>
            </w:r>
          </w:p>
        </w:tc>
        <w:tc>
          <w:tcPr>
            <w:tcW w:type="dxa" w:w="7488"/>
            <w:shd w:fill="EDEDED"/>
            <w:vAlign w:val="center"/>
          </w:tcPr>
          <w:p>
            <w:pPr>
              <w:spacing w:after="0"/>
            </w:pPr>
            <w:r/>
            <w:r>
              <w:rPr>
                <w:rFonts w:ascii="Arial" w:hAnsi="Arial"/>
                <w:b/>
                <w:sz w:val="17"/>
              </w:rPr>
              <w:t>UX requirement</w:t>
            </w:r>
          </w:p>
        </w:tc>
      </w:tr>
      <w:tr>
        <w:tc>
          <w:tcPr>
            <w:tcW w:type="dxa" w:w="2448"/>
            <w:vAlign w:val="top"/>
          </w:tcPr>
          <w:p>
            <w:pPr>
              <w:spacing w:after="0"/>
            </w:pPr>
            <w:r/>
            <w:r>
              <w:rPr>
                <w:rFonts w:ascii="Arial" w:hAnsi="Arial"/>
                <w:b w:val="0"/>
                <w:sz w:val="17"/>
              </w:rPr>
              <w:t>Discover</w:t>
            </w:r>
          </w:p>
        </w:tc>
        <w:tc>
          <w:tcPr>
            <w:tcW w:type="dxa" w:w="7488"/>
            <w:vAlign w:val="top"/>
          </w:tcPr>
          <w:p>
            <w:pPr>
              <w:spacing w:after="0"/>
            </w:pPr>
            <w:r/>
            <w:r>
              <w:rPr>
                <w:rFonts w:ascii="Arial" w:hAnsi="Arial"/>
                <w:b w:val="0"/>
                <w:sz w:val="17"/>
              </w:rPr>
              <w:t>Use high-quality project cards, clear DRS labels, raised/gap progress, eligibility badges, risk badges, and return ranges. Avoid casino-like or hype design.</w:t>
            </w:r>
          </w:p>
        </w:tc>
      </w:tr>
      <w:tr>
        <w:tc>
          <w:tcPr>
            <w:tcW w:type="dxa" w:w="2448"/>
            <w:vAlign w:val="top"/>
          </w:tcPr>
          <w:p>
            <w:pPr>
              <w:spacing w:after="0"/>
            </w:pPr>
            <w:r/>
            <w:r>
              <w:rPr>
                <w:rFonts w:ascii="Arial" w:hAnsi="Arial"/>
                <w:b w:val="0"/>
                <w:sz w:val="17"/>
              </w:rPr>
              <w:t>Project detail</w:t>
            </w:r>
          </w:p>
        </w:tc>
        <w:tc>
          <w:tcPr>
            <w:tcW w:type="dxa" w:w="7488"/>
            <w:vAlign w:val="top"/>
          </w:tcPr>
          <w:p>
            <w:pPr>
              <w:spacing w:after="0"/>
            </w:pPr>
            <w:r/>
            <w:r>
              <w:rPr>
                <w:rFonts w:ascii="Arial" w:hAnsi="Arial"/>
                <w:b w:val="0"/>
                <w:sz w:val="17"/>
              </w:rPr>
              <w:t>Layer the data: simple summary first, then financial terms, asset rights, risks, documents, and assumptions.</w:t>
            </w:r>
          </w:p>
        </w:tc>
      </w:tr>
      <w:tr>
        <w:tc>
          <w:tcPr>
            <w:tcW w:type="dxa" w:w="2448"/>
            <w:vAlign w:val="top"/>
          </w:tcPr>
          <w:p>
            <w:pPr>
              <w:spacing w:after="0"/>
            </w:pPr>
            <w:r/>
            <w:r>
              <w:rPr>
                <w:rFonts w:ascii="Arial" w:hAnsi="Arial"/>
                <w:b w:val="0"/>
                <w:sz w:val="17"/>
              </w:rPr>
              <w:t>Commit flow</w:t>
            </w:r>
          </w:p>
        </w:tc>
        <w:tc>
          <w:tcPr>
            <w:tcW w:type="dxa" w:w="7488"/>
            <w:vAlign w:val="top"/>
          </w:tcPr>
          <w:p>
            <w:pPr>
              <w:spacing w:after="0"/>
            </w:pPr>
            <w:r/>
            <w:r>
              <w:rPr>
                <w:rFonts w:ascii="Arial" w:hAnsi="Arial"/>
                <w:b w:val="0"/>
                <w:sz w:val="17"/>
              </w:rPr>
              <w:t>Make it deliberate: amount, use of funds, claim type, assumptions, risks, documents, payment, confirmation.</w:t>
            </w:r>
          </w:p>
        </w:tc>
      </w:tr>
      <w:tr>
        <w:tc>
          <w:tcPr>
            <w:tcW w:type="dxa" w:w="2448"/>
            <w:vAlign w:val="top"/>
          </w:tcPr>
          <w:p>
            <w:pPr>
              <w:spacing w:after="0"/>
            </w:pPr>
            <w:r/>
            <w:r>
              <w:rPr>
                <w:rFonts w:ascii="Arial" w:hAnsi="Arial"/>
                <w:b w:val="0"/>
                <w:sz w:val="17"/>
              </w:rPr>
              <w:t>Project Status</w:t>
            </w:r>
          </w:p>
        </w:tc>
        <w:tc>
          <w:tcPr>
            <w:tcW w:type="dxa" w:w="7488"/>
            <w:vAlign w:val="top"/>
          </w:tcPr>
          <w:p>
            <w:pPr>
              <w:spacing w:after="0"/>
            </w:pPr>
            <w:r/>
            <w:r>
              <w:rPr>
                <w:rFonts w:ascii="Arial" w:hAnsi="Arial"/>
                <w:b w:val="0"/>
                <w:sz w:val="17"/>
              </w:rPr>
              <w:t>Show capital status, DRS/LBRS progress, milestone releases, blockers, and live health without requiring technical knowledge.</w:t>
            </w:r>
          </w:p>
        </w:tc>
      </w:tr>
      <w:tr>
        <w:tc>
          <w:tcPr>
            <w:tcW w:type="dxa" w:w="2448"/>
            <w:vAlign w:val="top"/>
          </w:tcPr>
          <w:p>
            <w:pPr>
              <w:spacing w:after="0"/>
            </w:pPr>
            <w:r/>
            <w:r>
              <w:rPr>
                <w:rFonts w:ascii="Arial" w:hAnsi="Arial"/>
                <w:b w:val="0"/>
                <w:sz w:val="17"/>
              </w:rPr>
              <w:t>Energy Generation</w:t>
            </w:r>
          </w:p>
        </w:tc>
        <w:tc>
          <w:tcPr>
            <w:tcW w:type="dxa" w:w="7488"/>
            <w:vAlign w:val="top"/>
          </w:tcPr>
          <w:p>
            <w:pPr>
              <w:spacing w:after="0"/>
            </w:pPr>
            <w:r/>
            <w:r>
              <w:rPr>
                <w:rFonts w:ascii="Arial" w:hAnsi="Arial"/>
                <w:b w:val="0"/>
                <w:sz w:val="17"/>
              </w:rPr>
              <w:t>Separate projections from actuals and E_gen from E_sold. Show utilization as the key economic driver.</w:t>
            </w:r>
          </w:p>
        </w:tc>
      </w:tr>
      <w:tr>
        <w:tc>
          <w:tcPr>
            <w:tcW w:type="dxa" w:w="2448"/>
            <w:vAlign w:val="top"/>
          </w:tcPr>
          <w:p>
            <w:pPr>
              <w:spacing w:after="0"/>
            </w:pPr>
            <w:r/>
            <w:r>
              <w:rPr>
                <w:rFonts w:ascii="Arial" w:hAnsi="Arial"/>
                <w:b w:val="0"/>
                <w:sz w:val="17"/>
              </w:rPr>
              <w:t>Wallet</w:t>
            </w:r>
          </w:p>
        </w:tc>
        <w:tc>
          <w:tcPr>
            <w:tcW w:type="dxa" w:w="7488"/>
            <w:vAlign w:val="top"/>
          </w:tcPr>
          <w:p>
            <w:pPr>
              <w:spacing w:after="0"/>
            </w:pPr>
            <w:r/>
            <w:r>
              <w:rPr>
                <w:rFonts w:ascii="Arial" w:hAnsi="Arial"/>
                <w:b w:val="0"/>
                <w:sz w:val="17"/>
              </w:rPr>
              <w:t>Separate available balance, escrowed funds, deployed principal, received cashflow, projected return, fees, reserve, tax, and withdrawals.</w:t>
            </w:r>
          </w:p>
        </w:tc>
      </w:tr>
      <w:tr>
        <w:tc>
          <w:tcPr>
            <w:tcW w:type="dxa" w:w="2448"/>
            <w:vAlign w:val="top"/>
          </w:tcPr>
          <w:p>
            <w:pPr>
              <w:spacing w:after="0"/>
            </w:pPr>
            <w:r/>
            <w:r>
              <w:rPr>
                <w:rFonts w:ascii="Arial" w:hAnsi="Arial"/>
                <w:b w:val="0"/>
                <w:sz w:val="17"/>
              </w:rPr>
              <w:t>Profile</w:t>
            </w:r>
          </w:p>
        </w:tc>
        <w:tc>
          <w:tcPr>
            <w:tcW w:type="dxa" w:w="7488"/>
            <w:vAlign w:val="top"/>
          </w:tcPr>
          <w:p>
            <w:pPr>
              <w:spacing w:after="0"/>
            </w:pPr>
            <w:r/>
            <w:r>
              <w:rPr>
                <w:rFonts w:ascii="Arial" w:hAnsi="Arial"/>
                <w:b w:val="0"/>
                <w:sz w:val="17"/>
              </w:rPr>
              <w:t>Make compliance status visible and understandable: verified, limited, restricted, documents needed, eligibility expired.</w:t>
            </w:r>
          </w:p>
        </w:tc>
      </w:tr>
      <w:tr>
        <w:tc>
          <w:tcPr>
            <w:tcW w:type="dxa" w:w="2448"/>
            <w:vAlign w:val="top"/>
          </w:tcPr>
          <w:p>
            <w:pPr>
              <w:spacing w:after="0"/>
            </w:pPr>
            <w:r/>
            <w:r>
              <w:rPr>
                <w:rFonts w:ascii="Arial" w:hAnsi="Arial"/>
                <w:b w:val="0"/>
                <w:sz w:val="17"/>
              </w:rPr>
              <w:t>Risk copy</w:t>
            </w:r>
          </w:p>
        </w:tc>
        <w:tc>
          <w:tcPr>
            <w:tcW w:type="dxa" w:w="7488"/>
            <w:vAlign w:val="top"/>
          </w:tcPr>
          <w:p>
            <w:pPr>
              <w:spacing w:after="0"/>
            </w:pPr>
            <w:r/>
            <w:r>
              <w:rPr>
                <w:rFonts w:ascii="Arial" w:hAnsi="Arial"/>
                <w:b w:val="0"/>
                <w:sz w:val="17"/>
              </w:rPr>
              <w:t>Use plain language. Say “you may lose money,” “payback can stretch,” and “returns are not guaranteed” where appropriate.</w:t>
            </w:r>
          </w:p>
        </w:tc>
      </w:tr>
    </w:tbl>
    <w:p/>
    <w:p>
      <w:pPr>
        <w:pStyle w:val="Heading1"/>
      </w:pPr>
      <w:r>
        <w:rPr>
          <w:rFonts w:ascii="Arial" w:hAnsi="Arial"/>
          <w:sz w:val="20"/>
        </w:rPr>
        <w:t>26. Non-Negotiable Decision Rules</w:t>
      </w:r>
    </w:p>
    <w:p>
      <w:pPr>
        <w:pStyle w:val="ListBullet"/>
        <w:spacing w:after="40"/>
      </w:pPr>
      <w:r>
        <w:rPr>
          <w:rFonts w:ascii="Arial" w:hAnsi="Arial"/>
          <w:sz w:val="20"/>
        </w:rPr>
        <w:t>Do not let an unverified or ineligible user commit capital to a real project.</w:t>
      </w:r>
    </w:p>
    <w:p>
      <w:pPr>
        <w:pStyle w:val="ListBullet"/>
        <w:spacing w:after="40"/>
      </w:pPr>
      <w:r>
        <w:rPr>
          <w:rFonts w:ascii="Arial" w:hAnsi="Arial"/>
          <w:sz w:val="20"/>
        </w:rPr>
        <w:t>Do not show a project as investable if the user’s jurisdiction or investor status does not permit it.</w:t>
      </w:r>
    </w:p>
    <w:p>
      <w:pPr>
        <w:pStyle w:val="ListBullet"/>
        <w:spacing w:after="40"/>
      </w:pPr>
      <w:r>
        <w:rPr>
          <w:rFonts w:ascii="Arial" w:hAnsi="Arial"/>
          <w:sz w:val="20"/>
        </w:rPr>
        <w:t>Do not treat soft interest as capital readiness. DRS should move only when legally valid, funded/escrowed, accepted commitments exist.</w:t>
      </w:r>
    </w:p>
    <w:p>
      <w:pPr>
        <w:pStyle w:val="ListBullet"/>
        <w:spacing w:after="40"/>
      </w:pPr>
      <w:r>
        <w:rPr>
          <w:rFonts w:ascii="Arial" w:hAnsi="Arial"/>
          <w:sz w:val="20"/>
        </w:rPr>
        <w:t>Do not begin installation until DRS = 100%.</w:t>
      </w:r>
    </w:p>
    <w:p>
      <w:pPr>
        <w:pStyle w:val="ListBullet"/>
        <w:spacing w:after="40"/>
      </w:pPr>
      <w:r>
        <w:rPr>
          <w:rFonts w:ascii="Arial" w:hAnsi="Arial"/>
          <w:sz w:val="20"/>
        </w:rPr>
        <w:t>Do not let a project go live until LBRS = 100%.</w:t>
      </w:r>
    </w:p>
    <w:p>
      <w:pPr>
        <w:pStyle w:val="ListBullet"/>
        <w:spacing w:after="40"/>
      </w:pPr>
      <w:r>
        <w:rPr>
          <w:rFonts w:ascii="Arial" w:hAnsi="Arial"/>
          <w:sz w:val="20"/>
        </w:rPr>
        <w:t>Do not pay usage-linked returns before the project is live and prepaid solar is actually consumed.</w:t>
      </w:r>
    </w:p>
    <w:p>
      <w:pPr>
        <w:pStyle w:val="ListBullet"/>
        <w:spacing w:after="40"/>
      </w:pPr>
      <w:r>
        <w:rPr>
          <w:rFonts w:ascii="Arial" w:hAnsi="Arial"/>
          <w:sz w:val="20"/>
        </w:rPr>
        <w:t>Do not pay financiers from generated-but-unsold solar, pledged demand, unpaid usage, unverified readings, or future trading that is not enabled.</w:t>
      </w:r>
    </w:p>
    <w:p>
      <w:pPr>
        <w:pStyle w:val="ListBullet"/>
        <w:spacing w:after="40"/>
      </w:pPr>
      <w:r>
        <w:rPr>
          <w:rFonts w:ascii="Arial" w:hAnsi="Arial"/>
          <w:sz w:val="20"/>
        </w:rPr>
        <w:t>Do not present projected payback as guaranteed. Always show assumptions and downside cases.</w:t>
      </w:r>
    </w:p>
    <w:p>
      <w:pPr>
        <w:pStyle w:val="ListBullet"/>
        <w:spacing w:after="40"/>
      </w:pPr>
      <w:r>
        <w:rPr>
          <w:rFonts w:ascii="Arial" w:hAnsi="Arial"/>
          <w:sz w:val="20"/>
        </w:rPr>
        <w:t>Do not blur infrastructure claims, provider/array claims, supplier claims, and labor-as-capital claims.</w:t>
      </w:r>
    </w:p>
    <w:p>
      <w:pPr>
        <w:pStyle w:val="ListBullet"/>
        <w:spacing w:after="40"/>
      </w:pPr>
      <w:r>
        <w:rPr>
          <w:rFonts w:ascii="Arial" w:hAnsi="Arial"/>
          <w:sz w:val="20"/>
        </w:rPr>
        <w:t>Do not allow a financier buyout to acquire more rights than the seller actually had.</w:t>
      </w:r>
    </w:p>
    <w:p>
      <w:pPr>
        <w:pStyle w:val="ListBullet"/>
        <w:spacing w:after="40"/>
      </w:pPr>
      <w:r>
        <w:rPr>
          <w:rFonts w:ascii="Arial" w:hAnsi="Arial"/>
          <w:sz w:val="20"/>
        </w:rPr>
        <w:t>Do not release escrowed funds without milestone, evidence, and contractual release conditions.</w:t>
      </w:r>
    </w:p>
    <w:p>
      <w:pPr>
        <w:pStyle w:val="ListBullet"/>
        <w:spacing w:after="40"/>
      </w:pPr>
      <w:r>
        <w:rPr>
          <w:rFonts w:ascii="Arial" w:hAnsi="Arial"/>
          <w:sz w:val="20"/>
        </w:rPr>
        <w:t>Do not hide fees, reserves, taxes, currency risk, maintenance risk, downtime, or transfer restrictions.</w:t>
      </w:r>
    </w:p>
    <w:p>
      <w:pPr>
        <w:pStyle w:val="ListBullet"/>
        <w:spacing w:after="40"/>
      </w:pPr>
      <w:r>
        <w:rPr>
          <w:rFonts w:ascii="Arial" w:hAnsi="Arial"/>
          <w:sz w:val="20"/>
        </w:rPr>
        <w:t>Do not let regulatory ambition outrun compliance. The financier product must be jurisdiction-gated and counsel-reviewed before public launch.</w:t>
      </w:r>
    </w:p>
    <w:p>
      <w:pPr>
        <w:pStyle w:val="Heading1"/>
      </w:pPr>
      <w:r>
        <w:rPr>
          <w:rFonts w:ascii="Arial" w:hAnsi="Arial"/>
          <w:sz w:val="20"/>
        </w:rPr>
        <w:t>27. Demo Script - Financier Funds a Project</w:t>
      </w:r>
    </w:p>
    <w:p>
      <w:pPr>
        <w:pStyle w:val="ListNumber"/>
        <w:spacing w:after="40"/>
      </w:pPr>
      <w:r>
        <w:rPr>
          <w:rFonts w:ascii="Arial" w:hAnsi="Arial"/>
          <w:sz w:val="20"/>
        </w:rPr>
        <w:t>Financier opens e.mappa and selects “Financier / investor.”</w:t>
      </w:r>
    </w:p>
    <w:p>
      <w:pPr>
        <w:pStyle w:val="ListNumber"/>
        <w:spacing w:after="40"/>
      </w:pPr>
      <w:r>
        <w:rPr>
          <w:rFonts w:ascii="Arial" w:hAnsi="Arial"/>
          <w:sz w:val="20"/>
        </w:rPr>
        <w:t>They create an account, choose individual or business/entity, and complete identity/KYC or KYB requirements.</w:t>
      </w:r>
    </w:p>
    <w:p>
      <w:pPr>
        <w:pStyle w:val="ListNumber"/>
        <w:spacing w:after="40"/>
      </w:pPr>
      <w:r>
        <w:rPr>
          <w:rFonts w:ascii="Arial" w:hAnsi="Arial"/>
          <w:sz w:val="20"/>
        </w:rPr>
        <w:t>The app collects risk profile, investor eligibility, jurisdiction, tax residency, payment rail, and disclosures.</w:t>
      </w:r>
    </w:p>
    <w:p>
      <w:pPr>
        <w:pStyle w:val="ListNumber"/>
        <w:spacing w:after="40"/>
      </w:pPr>
      <w:r>
        <w:rPr>
          <w:rFonts w:ascii="Arial" w:hAnsi="Arial"/>
          <w:sz w:val="20"/>
        </w:rPr>
        <w:t>After approval, the app opens to Discover. The financier sees eligible projects with photos, DRS score, capital raised, capital gap, stakeholder-as-a-service claims, projected utilization, return range, payback range, and risk badge.</w:t>
      </w:r>
    </w:p>
    <w:p>
      <w:pPr>
        <w:pStyle w:val="ListNumber"/>
        <w:spacing w:after="40"/>
      </w:pPr>
      <w:r>
        <w:rPr>
          <w:rFonts w:ascii="Arial" w:hAnsi="Arial"/>
          <w:sz w:val="20"/>
        </w:rPr>
        <w:t>They tap a project and review use of funds: KSh X for battery, KSh Y for ATS units, KSh Z to buy out supplier equipment-as-a-service, and KSh A to fund electrician milestone escrow.</w:t>
      </w:r>
    </w:p>
    <w:p>
      <w:pPr>
        <w:pStyle w:val="ListNumber"/>
        <w:spacing w:after="40"/>
      </w:pPr>
      <w:r>
        <w:rPr>
          <w:rFonts w:ascii="Arial" w:hAnsi="Arial"/>
          <w:sz w:val="20"/>
        </w:rPr>
        <w:t>The app explains the claim: infrastructure-pool share during recovery phase, then smaller royalty phase under the contract. It shows downside/base/upside payback scenarios and no-guarantee warning.</w:t>
      </w:r>
    </w:p>
    <w:p>
      <w:pPr>
        <w:pStyle w:val="ListNumber"/>
        <w:spacing w:after="40"/>
      </w:pPr>
      <w:r>
        <w:rPr>
          <w:rFonts w:ascii="Arial" w:hAnsi="Arial"/>
          <w:sz w:val="20"/>
        </w:rPr>
        <w:t>The financier commits KSh X. The app checks limits, eligibility, concentration, legal availability, and payment method.</w:t>
      </w:r>
    </w:p>
    <w:p>
      <w:pPr>
        <w:pStyle w:val="ListNumber"/>
        <w:spacing w:after="40"/>
      </w:pPr>
      <w:r>
        <w:rPr>
          <w:rFonts w:ascii="Arial" w:hAnsi="Arial"/>
          <w:sz w:val="20"/>
        </w:rPr>
        <w:t>Funds move to escrow. DRS increases only for the readiness gates actually solved by the valid commitment.</w:t>
      </w:r>
    </w:p>
    <w:p>
      <w:pPr>
        <w:pStyle w:val="ListNumber"/>
        <w:spacing w:after="40"/>
      </w:pPr>
      <w:r>
        <w:rPr>
          <w:rFonts w:ascii="Arial" w:hAnsi="Arial"/>
          <w:sz w:val="20"/>
        </w:rPr>
        <w:t>Once all DRS gates reach 100%, installation begins. The financier tracks hardware procurement, milestone releases, and installation progress in Project Status.</w:t>
      </w:r>
    </w:p>
    <w:p>
      <w:pPr>
        <w:pStyle w:val="ListNumber"/>
        <w:spacing w:after="40"/>
      </w:pPr>
      <w:r>
        <w:rPr>
          <w:rFonts w:ascii="Arial" w:hAnsi="Arial"/>
          <w:sz w:val="20"/>
        </w:rPr>
        <w:t>After installation, LBRS begins. The financier sees safety, metering, ATS, monitoring, and settlement dry-run pass/fail status.</w:t>
      </w:r>
    </w:p>
    <w:p>
      <w:pPr>
        <w:pStyle w:val="ListNumber"/>
        <w:spacing w:after="40"/>
      </w:pPr>
      <w:r>
        <w:rPr>
          <w:rFonts w:ascii="Arial" w:hAnsi="Arial"/>
          <w:sz w:val="20"/>
        </w:rPr>
        <w:t>When LBRS reaches 100%, the project goes live. Energy Generation switches from projected to actual measured data.</w:t>
      </w:r>
    </w:p>
    <w:p>
      <w:pPr>
        <w:pStyle w:val="ListNumber"/>
        <w:spacing w:after="40"/>
      </w:pPr>
      <w:r>
        <w:rPr>
          <w:rFonts w:ascii="Arial" w:hAnsi="Arial"/>
          <w:sz w:val="20"/>
        </w:rPr>
        <w:t>Wallet begins showing settlement from prepaid monetized solar: principal recovered, cashflow received, remaining payback, fees/reserves, and updated payback projections based on actual utilization.</w:t>
      </w:r>
    </w:p>
    <w:p>
      <w:pPr>
        <w:pStyle w:val="ListNumber"/>
        <w:spacing w:after="40"/>
      </w:pPr>
      <w:r>
        <w:rPr>
          <w:rFonts w:ascii="Arial" w:hAnsi="Arial"/>
          <w:sz w:val="20"/>
        </w:rPr>
        <w:t>If utilization drops, the app updates projections honestly and shows the cause: weak demand, battery limit, downtime, weather, data quality, or grid fallback. No fake returns are displayed.</w:t>
      </w:r>
    </w:p>
    <w:p>
      <w:pPr>
        <w:pStyle w:val="Heading1"/>
      </w:pPr>
      <w:r>
        <w:rPr>
          <w:rFonts w:ascii="Arial" w:hAnsi="Arial"/>
          <w:sz w:val="20"/>
        </w:rPr>
        <w:t>28. Open Variables Before Build</w:t>
      </w:r>
    </w:p>
    <w:tbl>
      <w:tblPr>
        <w:tblStyle w:val="TableGrid"/>
        <w:tblW w:type="auto" w:w="0"/>
        <w:jc w:val="center"/>
        <w:tblLook w:firstColumn="1" w:firstRow="1" w:lastColumn="0" w:lastRow="0" w:noHBand="0" w:noVBand="1" w:val="04A0"/>
      </w:tblPr>
      <w:tblGrid>
        <w:gridCol w:w="5112"/>
        <w:gridCol w:w="5112"/>
      </w:tblGrid>
      <w:tr>
        <w:tc>
          <w:tcPr>
            <w:tcW w:type="dxa" w:w="2880"/>
            <w:shd w:fill="EDEDED"/>
            <w:vAlign w:val="center"/>
          </w:tcPr>
          <w:p>
            <w:pPr>
              <w:spacing w:after="0"/>
            </w:pPr>
            <w:r/>
            <w:r>
              <w:rPr>
                <w:rFonts w:ascii="Arial" w:hAnsi="Arial"/>
                <w:b/>
                <w:sz w:val="17"/>
              </w:rPr>
              <w:t>Open variable</w:t>
            </w:r>
          </w:p>
        </w:tc>
        <w:tc>
          <w:tcPr>
            <w:tcW w:type="dxa" w:w="6912"/>
            <w:shd w:fill="EDEDED"/>
            <w:vAlign w:val="center"/>
          </w:tcPr>
          <w:p>
            <w:pPr>
              <w:spacing w:after="0"/>
            </w:pPr>
            <w:r/>
            <w:r>
              <w:rPr>
                <w:rFonts w:ascii="Arial" w:hAnsi="Arial"/>
                <w:b/>
                <w:sz w:val="17"/>
              </w:rPr>
              <w:t>Recommended default</w:t>
            </w:r>
          </w:p>
        </w:tc>
      </w:tr>
      <w:tr>
        <w:tc>
          <w:tcPr>
            <w:tcW w:type="dxa" w:w="2880"/>
            <w:vAlign w:val="top"/>
          </w:tcPr>
          <w:p>
            <w:pPr>
              <w:spacing w:after="0"/>
            </w:pPr>
            <w:r/>
            <w:r>
              <w:rPr>
                <w:rFonts w:ascii="Arial" w:hAnsi="Arial"/>
                <w:b w:val="0"/>
                <w:sz w:val="17"/>
              </w:rPr>
              <w:t>Legal structure</w:t>
            </w:r>
          </w:p>
        </w:tc>
        <w:tc>
          <w:tcPr>
            <w:tcW w:type="dxa" w:w="6912"/>
            <w:vAlign w:val="top"/>
          </w:tcPr>
          <w:p>
            <w:pPr>
              <w:spacing w:after="0"/>
            </w:pPr>
            <w:r/>
            <w:r>
              <w:rPr>
                <w:rFonts w:ascii="Arial" w:hAnsi="Arial"/>
                <w:b w:val="0"/>
                <w:sz w:val="17"/>
              </w:rPr>
              <w:t>Start with counsel-reviewed private pilot or sandbox-style structure before public retail investing.</w:t>
            </w:r>
          </w:p>
        </w:tc>
      </w:tr>
      <w:tr>
        <w:tc>
          <w:tcPr>
            <w:tcW w:type="dxa" w:w="2880"/>
            <w:vAlign w:val="top"/>
          </w:tcPr>
          <w:p>
            <w:pPr>
              <w:spacing w:after="0"/>
            </w:pPr>
            <w:r/>
            <w:r>
              <w:rPr>
                <w:rFonts w:ascii="Arial" w:hAnsi="Arial"/>
                <w:b w:val="0"/>
                <w:sz w:val="17"/>
              </w:rPr>
              <w:t>Investor classes</w:t>
            </w:r>
          </w:p>
        </w:tc>
        <w:tc>
          <w:tcPr>
            <w:tcW w:type="dxa" w:w="6912"/>
            <w:vAlign w:val="top"/>
          </w:tcPr>
          <w:p>
            <w:pPr>
              <w:spacing w:after="0"/>
            </w:pPr>
            <w:r/>
            <w:r>
              <w:rPr>
                <w:rFonts w:ascii="Arial" w:hAnsi="Arial"/>
                <w:b w:val="0"/>
                <w:sz w:val="17"/>
              </w:rPr>
              <w:t>Support watch-only, retail-limited, sophisticated/qualified, business/entity, and institutional.</w:t>
            </w:r>
          </w:p>
        </w:tc>
      </w:tr>
      <w:tr>
        <w:tc>
          <w:tcPr>
            <w:tcW w:type="dxa" w:w="2880"/>
            <w:vAlign w:val="top"/>
          </w:tcPr>
          <w:p>
            <w:pPr>
              <w:spacing w:after="0"/>
            </w:pPr>
            <w:r/>
            <w:r>
              <w:rPr>
                <w:rFonts w:ascii="Arial" w:hAnsi="Arial"/>
                <w:b w:val="0"/>
                <w:sz w:val="17"/>
              </w:rPr>
              <w:t>Minimum ticket size</w:t>
            </w:r>
          </w:p>
        </w:tc>
        <w:tc>
          <w:tcPr>
            <w:tcW w:type="dxa" w:w="6912"/>
            <w:vAlign w:val="top"/>
          </w:tcPr>
          <w:p>
            <w:pPr>
              <w:spacing w:after="0"/>
            </w:pPr>
            <w:r/>
            <w:r>
              <w:rPr>
                <w:rFonts w:ascii="Arial" w:hAnsi="Arial"/>
                <w:b w:val="0"/>
                <w:sz w:val="17"/>
              </w:rPr>
              <w:t>Keep retail tickets small if permitted; set based on compliance and payment costs.</w:t>
            </w:r>
          </w:p>
        </w:tc>
      </w:tr>
      <w:tr>
        <w:tc>
          <w:tcPr>
            <w:tcW w:type="dxa" w:w="2880"/>
            <w:vAlign w:val="top"/>
          </w:tcPr>
          <w:p>
            <w:pPr>
              <w:spacing w:after="0"/>
            </w:pPr>
            <w:r/>
            <w:r>
              <w:rPr>
                <w:rFonts w:ascii="Arial" w:hAnsi="Arial"/>
                <w:b w:val="0"/>
                <w:sz w:val="17"/>
              </w:rPr>
              <w:t>Escrow/custody provider</w:t>
            </w:r>
          </w:p>
        </w:tc>
        <w:tc>
          <w:tcPr>
            <w:tcW w:type="dxa" w:w="6912"/>
            <w:vAlign w:val="top"/>
          </w:tcPr>
          <w:p>
            <w:pPr>
              <w:spacing w:after="0"/>
            </w:pPr>
            <w:r/>
            <w:r>
              <w:rPr>
                <w:rFonts w:ascii="Arial" w:hAnsi="Arial"/>
                <w:b w:val="0"/>
                <w:sz w:val="17"/>
              </w:rPr>
              <w:t>Use segregated escrow/custody/payment rails; do not commingle investor funds.</w:t>
            </w:r>
          </w:p>
        </w:tc>
      </w:tr>
      <w:tr>
        <w:tc>
          <w:tcPr>
            <w:tcW w:type="dxa" w:w="2880"/>
            <w:vAlign w:val="top"/>
          </w:tcPr>
          <w:p>
            <w:pPr>
              <w:spacing w:after="0"/>
            </w:pPr>
            <w:r/>
            <w:r>
              <w:rPr>
                <w:rFonts w:ascii="Arial" w:hAnsi="Arial"/>
                <w:b w:val="0"/>
                <w:sz w:val="17"/>
              </w:rPr>
              <w:t>Cooling-off period</w:t>
            </w:r>
          </w:p>
        </w:tc>
        <w:tc>
          <w:tcPr>
            <w:tcW w:type="dxa" w:w="6912"/>
            <w:vAlign w:val="top"/>
          </w:tcPr>
          <w:p>
            <w:pPr>
              <w:spacing w:after="0"/>
            </w:pPr>
            <w:r/>
            <w:r>
              <w:rPr>
                <w:rFonts w:ascii="Arial" w:hAnsi="Arial"/>
                <w:b w:val="0"/>
                <w:sz w:val="17"/>
              </w:rPr>
              <w:t>Include where required by jurisdiction or as consumer-protection default for retail users.</w:t>
            </w:r>
          </w:p>
        </w:tc>
      </w:tr>
      <w:tr>
        <w:tc>
          <w:tcPr>
            <w:tcW w:type="dxa" w:w="2880"/>
            <w:vAlign w:val="top"/>
          </w:tcPr>
          <w:p>
            <w:pPr>
              <w:spacing w:after="0"/>
            </w:pPr>
            <w:r/>
            <w:r>
              <w:rPr>
                <w:rFonts w:ascii="Arial" w:hAnsi="Arial"/>
                <w:b w:val="0"/>
                <w:sz w:val="17"/>
              </w:rPr>
              <w:t>Transferability</w:t>
            </w:r>
          </w:p>
        </w:tc>
        <w:tc>
          <w:tcPr>
            <w:tcW w:type="dxa" w:w="6912"/>
            <w:vAlign w:val="top"/>
          </w:tcPr>
          <w:p>
            <w:pPr>
              <w:spacing w:after="0"/>
            </w:pPr>
            <w:r/>
            <w:r>
              <w:rPr>
                <w:rFonts w:ascii="Arial" w:hAnsi="Arial"/>
                <w:b w:val="0"/>
                <w:sz w:val="17"/>
              </w:rPr>
              <w:t>Start with non-transferable or platform-approved transfers only. Add secondary market later under legal structure.</w:t>
            </w:r>
          </w:p>
        </w:tc>
      </w:tr>
      <w:tr>
        <w:tc>
          <w:tcPr>
            <w:tcW w:type="dxa" w:w="2880"/>
            <w:vAlign w:val="top"/>
          </w:tcPr>
          <w:p>
            <w:pPr>
              <w:spacing w:after="0"/>
            </w:pPr>
            <w:r/>
            <w:r>
              <w:rPr>
                <w:rFonts w:ascii="Arial" w:hAnsi="Arial"/>
                <w:b w:val="0"/>
                <w:sz w:val="17"/>
              </w:rPr>
              <w:t>Projected return assumptions</w:t>
            </w:r>
          </w:p>
        </w:tc>
        <w:tc>
          <w:tcPr>
            <w:tcW w:type="dxa" w:w="6912"/>
            <w:vAlign w:val="top"/>
          </w:tcPr>
          <w:p>
            <w:pPr>
              <w:spacing w:after="0"/>
            </w:pPr>
            <w:r/>
            <w:r>
              <w:rPr>
                <w:rFonts w:ascii="Arial" w:hAnsi="Arial"/>
                <w:b w:val="0"/>
                <w:sz w:val="17"/>
              </w:rPr>
              <w:t>Use conservative utilization bands and measured data after go-live.</w:t>
            </w:r>
          </w:p>
        </w:tc>
      </w:tr>
      <w:tr>
        <w:tc>
          <w:tcPr>
            <w:tcW w:type="dxa" w:w="2880"/>
            <w:vAlign w:val="top"/>
          </w:tcPr>
          <w:p>
            <w:pPr>
              <w:spacing w:after="0"/>
            </w:pPr>
            <w:r/>
            <w:r>
              <w:rPr>
                <w:rFonts w:ascii="Arial" w:hAnsi="Arial"/>
                <w:b w:val="0"/>
                <w:sz w:val="17"/>
              </w:rPr>
              <w:t>Payback phase rules</w:t>
            </w:r>
          </w:p>
        </w:tc>
        <w:tc>
          <w:tcPr>
            <w:tcW w:type="dxa" w:w="6912"/>
            <w:vAlign w:val="top"/>
          </w:tcPr>
          <w:p>
            <w:pPr>
              <w:spacing w:after="0"/>
            </w:pPr>
            <w:r/>
            <w:r>
              <w:rPr>
                <w:rFonts w:ascii="Arial" w:hAnsi="Arial"/>
                <w:b w:val="0"/>
                <w:sz w:val="17"/>
              </w:rPr>
              <w:t>Define recovery phase, target return, royalty phase, step-down, expiry, and buyout rights per project.</w:t>
            </w:r>
          </w:p>
        </w:tc>
      </w:tr>
      <w:tr>
        <w:tc>
          <w:tcPr>
            <w:tcW w:type="dxa" w:w="2880"/>
            <w:vAlign w:val="top"/>
          </w:tcPr>
          <w:p>
            <w:pPr>
              <w:spacing w:after="0"/>
            </w:pPr>
            <w:r/>
            <w:r>
              <w:rPr>
                <w:rFonts w:ascii="Arial" w:hAnsi="Arial"/>
                <w:b w:val="0"/>
                <w:sz w:val="17"/>
              </w:rPr>
              <w:t>Cross-border launch</w:t>
            </w:r>
          </w:p>
        </w:tc>
        <w:tc>
          <w:tcPr>
            <w:tcW w:type="dxa" w:w="6912"/>
            <w:vAlign w:val="top"/>
          </w:tcPr>
          <w:p>
            <w:pPr>
              <w:spacing w:after="0"/>
            </w:pPr>
            <w:r/>
            <w:r>
              <w:rPr>
                <w:rFonts w:ascii="Arial" w:hAnsi="Arial"/>
                <w:b w:val="0"/>
                <w:sz w:val="17"/>
              </w:rPr>
              <w:t>Start within one jurisdiction or one controlled investor class before global participation.</w:t>
            </w:r>
          </w:p>
        </w:tc>
      </w:tr>
      <w:tr>
        <w:tc>
          <w:tcPr>
            <w:tcW w:type="dxa" w:w="2880"/>
            <w:vAlign w:val="top"/>
          </w:tcPr>
          <w:p>
            <w:pPr>
              <w:spacing w:after="0"/>
            </w:pPr>
            <w:r/>
            <w:r>
              <w:rPr>
                <w:rFonts w:ascii="Arial" w:hAnsi="Arial"/>
                <w:b w:val="0"/>
                <w:sz w:val="17"/>
              </w:rPr>
              <w:t>Retail education</w:t>
            </w:r>
          </w:p>
        </w:tc>
        <w:tc>
          <w:tcPr>
            <w:tcW w:type="dxa" w:w="6912"/>
            <w:vAlign w:val="top"/>
          </w:tcPr>
          <w:p>
            <w:pPr>
              <w:spacing w:after="0"/>
            </w:pPr>
            <w:r/>
            <w:r>
              <w:rPr>
                <w:rFonts w:ascii="Arial" w:hAnsi="Arial"/>
                <w:b w:val="0"/>
                <w:sz w:val="17"/>
              </w:rPr>
              <w:t>Require comprehension check before first investment and before complex buyout products.</w:t>
            </w:r>
          </w:p>
        </w:tc>
      </w:tr>
      <w:tr>
        <w:tc>
          <w:tcPr>
            <w:tcW w:type="dxa" w:w="2880"/>
            <w:vAlign w:val="top"/>
          </w:tcPr>
          <w:p>
            <w:pPr>
              <w:spacing w:after="0"/>
            </w:pPr>
            <w:r/>
            <w:r>
              <w:rPr>
                <w:rFonts w:ascii="Arial" w:hAnsi="Arial"/>
                <w:b w:val="0"/>
                <w:sz w:val="17"/>
              </w:rPr>
              <w:t>Reserve policy</w:t>
            </w:r>
          </w:p>
        </w:tc>
        <w:tc>
          <w:tcPr>
            <w:tcW w:type="dxa" w:w="6912"/>
            <w:vAlign w:val="top"/>
          </w:tcPr>
          <w:p>
            <w:pPr>
              <w:spacing w:after="0"/>
            </w:pPr>
            <w:r/>
            <w:r>
              <w:rPr>
                <w:rFonts w:ascii="Arial" w:hAnsi="Arial"/>
                <w:b w:val="0"/>
                <w:sz w:val="17"/>
              </w:rPr>
              <w:t>Set maintenance reserve before investor distributions; disclose reserve usage clearly.</w:t>
            </w:r>
          </w:p>
        </w:tc>
      </w:tr>
      <w:tr>
        <w:tc>
          <w:tcPr>
            <w:tcW w:type="dxa" w:w="2880"/>
            <w:vAlign w:val="top"/>
          </w:tcPr>
          <w:p>
            <w:pPr>
              <w:spacing w:after="0"/>
            </w:pPr>
            <w:r/>
            <w:r>
              <w:rPr>
                <w:rFonts w:ascii="Arial" w:hAnsi="Arial"/>
                <w:b w:val="0"/>
                <w:sz w:val="17"/>
              </w:rPr>
              <w:t>Default/remediation rules</w:t>
            </w:r>
          </w:p>
        </w:tc>
        <w:tc>
          <w:tcPr>
            <w:tcW w:type="dxa" w:w="6912"/>
            <w:vAlign w:val="top"/>
          </w:tcPr>
          <w:p>
            <w:pPr>
              <w:spacing w:after="0"/>
            </w:pPr>
            <w:r/>
            <w:r>
              <w:rPr>
                <w:rFonts w:ascii="Arial" w:hAnsi="Arial"/>
                <w:b w:val="0"/>
                <w:sz w:val="17"/>
              </w:rPr>
              <w:t>Define suspension, cure, refund, write-down, insurance/warranty, and dispute process.</w:t>
            </w:r>
          </w:p>
        </w:tc>
      </w:tr>
    </w:tbl>
    <w:p/>
    <w:p>
      <w:pPr>
        <w:pStyle w:val="Heading1"/>
      </w:pPr>
      <w:r>
        <w:rPr>
          <w:rFonts w:ascii="Arial" w:hAnsi="Arial"/>
          <w:sz w:val="20"/>
        </w:rPr>
        <w:t>29. Final Product Positioning</w:t>
      </w:r>
    </w:p>
    <w:p>
      <w:pPr>
        <w:spacing w:after="120"/>
      </w:pPr>
      <w:r>
        <w:rPr>
          <w:rFonts w:ascii="Arial" w:hAnsi="Arial"/>
          <w:sz w:val="20"/>
        </w:rPr>
        <w:t>Scenario F should make financiers feel like they are participating in the buildout of local energy economies, not passively buying an abstract financial product. The product should feel polished, transparent, and data-rich, like an investment app. But its trust comes from restraint: regulatory gating, honest projections, escrow discipline, no fake returns, and precise ownership math.</w:t>
      </w:r>
    </w:p>
    <w:tbl>
      <w:tblPr>
        <w:tblStyle w:val="TableGrid"/>
        <w:tblW w:type="auto" w:w="0"/>
        <w:jc w:val="center"/>
        <w:tblLook w:firstColumn="1" w:firstRow="1" w:lastColumn="0" w:lastRow="0" w:noHBand="0" w:noVBand="1" w:val="04A0"/>
      </w:tblPr>
      <w:tblGrid>
        <w:gridCol w:w="10224"/>
      </w:tblGrid>
      <w:tr>
        <w:tc>
          <w:tcPr>
            <w:tcW w:type="dxa" w:w="10224"/>
            <w:shd w:fill="F6F6F6"/>
          </w:tcPr>
          <w:p>
            <w:pPr>
              <w:spacing w:after="60"/>
            </w:pPr>
            <w:r>
              <w:rPr>
                <w:rFonts w:ascii="Arial" w:hAnsi="Arial"/>
                <w:b/>
                <w:sz w:val="20"/>
              </w:rPr>
              <w:t>Final operating principle</w:t>
            </w:r>
          </w:p>
          <w:p>
            <w:pPr>
              <w:spacing w:after="0"/>
            </w:pPr>
            <w:r>
              <w:rPr>
                <w:rFonts w:ascii="Arial" w:hAnsi="Arial"/>
                <w:sz w:val="18"/>
              </w:rPr>
              <w:t>Financiers unlock the capital stack. e.mappa must protect the market standard. The financier product succeeds only if capital can flow broadly without turning the platform into an unregulated, overpromised, under-disclosed investment marketplace.</w:t>
            </w:r>
          </w:p>
        </w:tc>
      </w:tr>
    </w:tbl>
    <w:p/>
    <w:p>
      <w:pPr>
        <w:pStyle w:val="Heading1"/>
      </w:pPr>
      <w:r>
        <w:rPr>
          <w:rFonts w:ascii="Arial" w:hAnsi="Arial"/>
          <w:sz w:val="20"/>
        </w:rPr>
        <w:t>Source Context Used</w:t>
      </w:r>
    </w:p>
    <w:p>
      <w:pPr>
        <w:spacing w:after="120"/>
      </w:pPr>
      <w:r>
        <w:rPr>
          <w:rFonts w:ascii="Arial" w:hAnsi="Arial"/>
          <w:sz w:val="20"/>
        </w:rPr>
        <w:t>This Scenario F document synthesizes the existing e.mappa materials for Scenario A residents, Scenario B apartment building owners, Scenario C homeowners, Scenario D electricians, Scenario E suppliers/providers, the installation/DRS/LBRS spec, the settlement/payback stress-test doctrine, the hardware architecture notes, and the AI-native operating-system framing. It also adds a stricter regulatory and investor-protection layer because financier onboarding is the highest-risk product surface in the network.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e.mappa Scenario F - Financier Network Flow | Internal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414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4141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