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5A04" w14:textId="34E744B4" w:rsidR="004D36D7" w:rsidRPr="00FD4A68" w:rsidRDefault="00EC7FF4" w:rsidP="006530E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Desafio de Integração de Habilidades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3B68175B" w14:textId="77777777" w:rsidR="00D778DF" w:rsidRPr="009A1CF4" w:rsidRDefault="00D778DF" w:rsidP="006530EC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08EE441A" w14:textId="3996E8C2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mostra o endereçamento para o dispositivo, interface, endereço IP/prefixo e gateway padrão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321" w:type="dxa"/>
          </w:tcPr>
          <w:p w14:paraId="09AC8563" w14:textId="726E21EF" w:rsidR="00781536" w:rsidRPr="007472BB" w:rsidRDefault="00781536" w:rsidP="0025454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 /25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>
              <w:rPr>
                <w:lang w:val="pt-BR"/>
                <w:rFonts/>
              </w:rPr>
              <w:t xml:space="preserve">2001:db8:acad::1/64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781536" w:rsidRDefault="00781536" w:rsidP="00254543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321" w:type="dxa"/>
          </w:tcPr>
          <w:p w14:paraId="76411778" w14:textId="647A1A35" w:rsidR="00781536" w:rsidRPr="007472BB" w:rsidRDefault="00781536" w:rsidP="0025454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192.168.0.129 /26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781536" w:rsidRPr="007F0EF7" w:rsidRDefault="00781536" w:rsidP="007F0EF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321" w:type="dxa"/>
          </w:tcPr>
          <w:p w14:paraId="21ECEEC0" w14:textId="02F825B0" w:rsidR="00781536" w:rsidRPr="007341E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2001:db8:acad:1::1/64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781536" w:rsidRPr="005C357F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321" w:type="dxa"/>
          </w:tcPr>
          <w:p w14:paraId="4DC37FAB" w14:textId="1E90576B" w:rsidR="00781536" w:rsidRPr="007341E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321" w:type="dxa"/>
          </w:tcPr>
          <w:p w14:paraId="031EAB8C" w14:textId="59EFC5AB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192.168.0.193 /27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321" w:type="dxa"/>
          </w:tcPr>
          <w:p w14:paraId="04242735" w14:textId="4C2BCDF6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2001:db8:acad:2: 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781536" w:rsidRPr="005C357F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321" w:type="dxa"/>
          </w:tcPr>
          <w:p w14:paraId="2CF70FD3" w14:textId="4B61C5E3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</w:tcPr>
          <w:p w14:paraId="44856C9A" w14:textId="36C22E6E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172.16.1.2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</w:tcPr>
          <w:p w14:paraId="2AA7B76D" w14:textId="5CF0AA5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 8:2: 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781536" w:rsidRPr="005C357F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</w:tcPr>
          <w:p w14:paraId="50F2A6DE" w14:textId="5EBB681F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209.165.200.226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 8:1: 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781536" w:rsidRPr="007D4EFF" w:rsidRDefault="00781536" w:rsidP="00963CD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781536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781536" w:rsidRPr="007D4EFF" w:rsidRDefault="00781536" w:rsidP="00963CD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781536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172.16.1.1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1536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 8:2: :2/64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781536" w:rsidRPr="007D4EFF" w:rsidRDefault="00781536" w:rsidP="00963CD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781536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781536" w:rsidRPr="007D4EFF" w:rsidRDefault="00781536" w:rsidP="00963CD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781536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321" w:type="dxa"/>
          </w:tcPr>
          <w:p w14:paraId="65355073" w14:textId="6BF187EF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192.168.0.2</w:t>
            </w:r>
          </w:p>
        </w:tc>
        <w:tc>
          <w:tcPr>
            <w:tcW w:w="2790" w:type="dxa"/>
          </w:tcPr>
          <w:p w14:paraId="7063A153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</w:t>
            </w:r>
          </w:p>
        </w:tc>
      </w:tr>
      <w:tr w:rsidR="00781536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29FD1683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192.168.0.130 /26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192.168.0.129</w:t>
            </w:r>
          </w:p>
        </w:tc>
      </w:tr>
      <w:tr w:rsidR="00781536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321" w:type="dxa"/>
          </w:tcPr>
          <w:p w14:paraId="406D095B" w14:textId="3D7C938C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192.168.0.194 /27</w:t>
            </w:r>
          </w:p>
        </w:tc>
        <w:tc>
          <w:tcPr>
            <w:tcW w:w="2790" w:type="dxa"/>
          </w:tcPr>
          <w:p w14:paraId="2EF5E08A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192.168.0.193</w:t>
            </w:r>
          </w:p>
        </w:tc>
      </w:tr>
      <w:tr w:rsidR="00781536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50CB3F30" w:rsidR="00781536" w:rsidRPr="00A765A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192.168.0.3 /25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</w:t>
            </w:r>
          </w:p>
        </w:tc>
      </w:tr>
      <w:tr w:rsidR="00781536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2001:db8:acad: 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781536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781536" w:rsidRPr="007F0EF7" w:rsidRDefault="00781536" w:rsidP="00963CD5">
            <w:pPr>
              <w:pStyle w:val="ConfigWindow"/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fe80::1</w:t>
            </w:r>
          </w:p>
        </w:tc>
      </w:tr>
      <w:tr w:rsidR="00781536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Vendas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5AEC35FD" w14:textId="792D1C00" w:rsidR="00781536" w:rsidRPr="00A765A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192.168.0.131 /26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192.168.0.129</w:t>
            </w:r>
          </w:p>
        </w:tc>
      </w:tr>
      <w:tr w:rsidR="00781536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Vendas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781536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1A5A8F44" w14:textId="563EF8E4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2001:db8:acad:1::2/64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781536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Vendas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781536" w:rsidRPr="005C357F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51C056F4" w14:textId="477C17E9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781536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TI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781536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45679066" w:rsidR="00781536" w:rsidRPr="00A765A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192.168.0.195 /27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77777777" w:rsidR="00781536" w:rsidRPr="00267D6E" w:rsidRDefault="00781536" w:rsidP="001872F8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192.168.0.193</w:t>
            </w:r>
          </w:p>
        </w:tc>
      </w:tr>
      <w:tr w:rsidR="00781536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TI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2001:db8:acad:2: 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781536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TI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781536" w:rsidRPr="007D4EFF" w:rsidRDefault="00781536" w:rsidP="005943FA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781536" w:rsidRPr="007F0EF7" w:rsidRDefault="00781536" w:rsidP="00963CD5">
            <w:pPr>
              <w:pStyle w:val="ConfigWindow"/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fe80::1</w:t>
            </w:r>
          </w:p>
        </w:tc>
      </w:tr>
      <w:tr w:rsidR="00781536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3B476CAA" w14:textId="42010F3C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64.100.0.3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64.100.0.1</w:t>
            </w:r>
          </w:p>
        </w:tc>
      </w:tr>
      <w:tr w:rsidR="00781536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781536" w:rsidRPr="007F0EF7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2AA78B6D" w14:textId="242F42B5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2001:db8:café: :3/64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781536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781536" w:rsidRPr="00590914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781536" w:rsidRPr="005C357F" w:rsidRDefault="00781536" w:rsidP="005943F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21" w:type="dxa"/>
          </w:tcPr>
          <w:p w14:paraId="4AE33E77" w14:textId="7B0EEE5E" w:rsidR="00781536" w:rsidRPr="007F0EF7" w:rsidRDefault="00781536" w:rsidP="001872F8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781536" w:rsidRPr="007F0EF7" w:rsidRDefault="00781536" w:rsidP="00963CD5">
            <w:pPr>
              <w:pStyle w:val="ConfigWindow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</w:tbl>
    <w:p w14:paraId="75AE3BF7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383F7063" w14:textId="3E32F8A1" w:rsidR="00811301" w:rsidRDefault="00811301" w:rsidP="00811301">
      <w:pPr>
        <w:pStyle w:val="BodyTextL25"/>
      </w:pPr>
      <w:r>
        <w:rPr>
          <w:lang w:val="pt-BR"/>
          <w:rFonts/>
        </w:rPr>
        <w:t xml:space="preserve">Os roteadores Central, do cluster do ISP e o servidor Web estão completamente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criar um novo esquema de endereçamento IPv4 que acomode 4 sub-redes usando a rede 192.168.0.0/24.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maior departamento de TI precisa de 25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maior departamento de vendas (Sales) precisa de 50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sub-rede para o restante da equipe (staff) precisa de 100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sub-rede para convidados (guest) será futuramente adicionada para acomodar 25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deve concluir as configurações básicas de segurança e as configurações de interface no R1.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seguida, você definirá a interface SVI e as configurações básicas de segurança nos comutadores S1, S2 e S3.</w:t>
      </w:r>
    </w:p>
    <w:p w14:paraId="74C750F7" w14:textId="77777777" w:rsidR="00811301" w:rsidRDefault="0038121A" w:rsidP="0038121A">
      <w:pPr>
        <w:pStyle w:val="Heading1"/>
      </w:pPr>
      <w:r>
        <w:rPr>
          <w:lang w:val="pt-BR"/>
          <w:rFonts/>
        </w:rPr>
        <w:t xml:space="preserve">Instruções</w:t>
      </w:r>
    </w:p>
    <w:p w14:paraId="1D7A0D1E" w14:textId="77777777" w:rsidR="00EA2918" w:rsidRPr="00EA2918" w:rsidRDefault="00EA2918" w:rsidP="00EA2918">
      <w:pPr>
        <w:pStyle w:val="BodyTextL25Bold"/>
      </w:pPr>
      <w:r>
        <w:rPr>
          <w:lang w:val="pt-BR"/>
          <w:rFonts/>
        </w:rPr>
        <w:t xml:space="preserve">Endereçamento IPv4</w:t>
      </w:r>
    </w:p>
    <w:p w14:paraId="6E55F543" w14:textId="77777777" w:rsidR="00811301" w:rsidRDefault="00811301" w:rsidP="00811301">
      <w:pPr>
        <w:pStyle w:val="Bulletlevel1"/>
      </w:pPr>
      <w:r>
        <w:rPr>
          <w:lang w:val="pt-BR"/>
          <w:rFonts/>
        </w:rPr>
        <w:t xml:space="preserve">Use 192.168.0.0/24 para criar sub-redes que atendem aos requisitos do host.</w:t>
      </w:r>
      <w:r>
        <w:rPr>
          <w:lang w:val="pt-BR"/>
          <w:rFonts/>
        </w:rPr>
        <w:t xml:space="preserve"> </w:t>
      </w:r>
    </w:p>
    <w:p w14:paraId="72AF0279" w14:textId="77777777" w:rsidR="00811301" w:rsidRDefault="00811301" w:rsidP="00811301">
      <w:pPr>
        <w:pStyle w:val="Bulletlevel2"/>
      </w:pPr>
      <w:r>
        <w:rPr>
          <w:lang w:val="pt-BR"/>
          <w:rFonts/>
        </w:rPr>
        <w:t xml:space="preserve">Equipe (Staff): 100 hosts</w:t>
      </w:r>
    </w:p>
    <w:p w14:paraId="3EFED4F7" w14:textId="77777777" w:rsidR="00811301" w:rsidRDefault="00811301" w:rsidP="00811301">
      <w:pPr>
        <w:pStyle w:val="Bulletlevel2"/>
      </w:pPr>
      <w:r>
        <w:rPr>
          <w:lang w:val="pt-BR"/>
          <w:rFonts/>
        </w:rPr>
        <w:t xml:space="preserve">Departamento de Vendas (Sales): 50 hosts</w:t>
      </w:r>
    </w:p>
    <w:p w14:paraId="513CEF0E" w14:textId="77777777" w:rsidR="00811301" w:rsidRDefault="00811301" w:rsidP="00811301">
      <w:pPr>
        <w:pStyle w:val="Bulletlevel2"/>
      </w:pPr>
      <w:r>
        <w:rPr>
          <w:lang w:val="pt-BR"/>
          <w:rFonts/>
        </w:rPr>
        <w:t xml:space="preserve">TI: 25 hosts</w:t>
      </w:r>
    </w:p>
    <w:p w14:paraId="29ABD86F" w14:textId="77777777" w:rsidR="00811301" w:rsidRDefault="00811301" w:rsidP="00811301">
      <w:pPr>
        <w:pStyle w:val="Bulletlevel2"/>
      </w:pPr>
      <w:r>
        <w:rPr>
          <w:lang w:val="pt-BR"/>
          <w:rFonts/>
        </w:rPr>
        <w:t xml:space="preserve">Sub-rede de convidados (Guest) futuramente adicionada: 25 hosts</w:t>
      </w:r>
    </w:p>
    <w:p w14:paraId="409AE6D4" w14:textId="77777777" w:rsidR="00811301" w:rsidRDefault="00811301" w:rsidP="00811301">
      <w:pPr>
        <w:pStyle w:val="Bulletlevel1"/>
      </w:pPr>
      <w:r>
        <w:rPr>
          <w:lang w:val="pt-BR"/>
          <w:rFonts/>
        </w:rPr>
        <w:t xml:space="preserve">Documente os endereços IPv4 que foram atribuídos na Tabela de Endereçamento.</w:t>
      </w:r>
    </w:p>
    <w:p w14:paraId="52D74697" w14:textId="77777777" w:rsidR="00CD737D" w:rsidRDefault="00811301" w:rsidP="006F1AF3">
      <w:pPr>
        <w:pStyle w:val="Bulletlevel1"/>
      </w:pPr>
      <w:r>
        <w:rPr>
          <w:lang w:val="pt-BR"/>
          <w:rFonts/>
        </w:rPr>
        <w:t xml:space="preserve">Registre a sub-rede da rede Convidado:</w:t>
      </w:r>
    </w:p>
    <w:p w14:paraId="7155D8F9" w14:textId="77777777" w:rsidR="00CD737D" w:rsidRDefault="00CD737D" w:rsidP="00CD737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19617F4" w14:textId="0D9C3C01" w:rsidR="00811301" w:rsidRPr="00795BAA" w:rsidRDefault="00811301" w:rsidP="00CD737D">
      <w:pPr>
        <w:pStyle w:val="BodyTextL50"/>
        <w:rPr>
          <w:rStyle w:val="AnswerGray"/>
          <w:b w:val="0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192.168.0.224/27</w:t>
      </w:r>
    </w:p>
    <w:p w14:paraId="4621A350" w14:textId="77777777" w:rsidR="00EA2918" w:rsidRDefault="00EA2918" w:rsidP="00EA2918">
      <w:pPr>
        <w:pStyle w:val="BodyTextL25Bold"/>
      </w:pPr>
      <w:r>
        <w:rPr>
          <w:lang w:val="pt-BR"/>
          <w:rFonts/>
        </w:rPr>
        <w:t xml:space="preserve">Configurações dos computadores</w:t>
      </w:r>
    </w:p>
    <w:p w14:paraId="13830C55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Defina as configurações de endereço IPv4, máscara de sub-rede e gateway padrão atribuídos nos funcionários, vendas e computadores de TI, usando seu esquema de endereçamento.</w:t>
      </w:r>
    </w:p>
    <w:p w14:paraId="257CCB4F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Atribua o unicast IPv6 e vincule os endereços locais e os gateways padrão às equipes, vendas e redes de TI, de acordo com a Tabela de endereçamento.</w:t>
      </w:r>
    </w:p>
    <w:p w14:paraId="3F90528B" w14:textId="77777777" w:rsidR="00EA2918" w:rsidRDefault="00EA2918" w:rsidP="00EA2918">
      <w:pPr>
        <w:pStyle w:val="BodyTextL25Bold"/>
      </w:pPr>
      <w:r>
        <w:rPr>
          <w:lang w:val="pt-BR"/>
          <w:rFonts/>
        </w:rPr>
        <w:t xml:space="preserve">Configurações de R1</w:t>
      </w:r>
    </w:p>
    <w:p w14:paraId="1EBB64DB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Configure o nome do dispositivo conforme a Tabela de Endereçamento.</w:t>
      </w:r>
    </w:p>
    <w:p w14:paraId="1618EE8B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Desative a pesquisa do DNS.</w:t>
      </w:r>
    </w:p>
    <w:p w14:paraId="5583FAD3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Atribua </w:t>
      </w:r>
      <w:r w:rsidRPr="00292476">
        <w:rPr>
          <w:b/>
          <w:lang w:val="pt-BR"/>
          <w:rFonts/>
        </w:rPr>
        <w:t xml:space="preserve">Ciscoenpa55</w:t>
      </w:r>
      <w:r>
        <w:rPr>
          <w:lang w:val="pt-BR"/>
          <w:rFonts/>
        </w:rPr>
        <w:t xml:space="preserve"> como a senha criptografada do modo EXEC privilegiado.</w:t>
      </w:r>
    </w:p>
    <w:p w14:paraId="433A5090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Atribua </w:t>
      </w:r>
      <w:r w:rsidRPr="00292476">
        <w:rPr>
          <w:b/>
          <w:lang w:val="pt-BR"/>
          <w:rFonts/>
        </w:rPr>
        <w:t xml:space="preserve">Ciscoconpa55</w:t>
      </w:r>
      <w:r>
        <w:rPr>
          <w:lang w:val="pt-BR"/>
          <w:rFonts/>
        </w:rPr>
        <w:t xml:space="preserve"> como a senha de console e habilite o login.</w:t>
      </w:r>
    </w:p>
    <w:p w14:paraId="2F316AF9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Exija que um mínimo de </w:t>
      </w:r>
      <w:r w:rsidRPr="00EA2918">
        <w:rPr>
          <w:b/>
          <w:lang w:val="pt-BR"/>
          <w:rFonts/>
        </w:rPr>
        <w:t xml:space="preserve">10</w:t>
      </w:r>
      <w:r>
        <w:rPr>
          <w:lang w:val="pt-BR"/>
          <w:rFonts/>
        </w:rPr>
        <w:t xml:space="preserve"> caracteres seja usado para todas as senhas.</w:t>
      </w:r>
    </w:p>
    <w:p w14:paraId="15E190F3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Criptografe todas as senhas em texto simples.</w:t>
      </w:r>
    </w:p>
    <w:p w14:paraId="0982807D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Crie um banner para avisar às pessoas que o acesso não autorizado é proibido.</w:t>
      </w:r>
    </w:p>
    <w:p w14:paraId="6E87F673" w14:textId="30C99A86" w:rsidR="00EA2918" w:rsidRDefault="00EA2918" w:rsidP="00EA2918">
      <w:pPr>
        <w:pStyle w:val="Bulletlevel1"/>
      </w:pPr>
      <w:r>
        <w:rPr>
          <w:lang w:val="pt-BR"/>
          <w:rFonts/>
        </w:rPr>
        <w:t xml:space="preserve">Configure e ative todas as interfaces Gigabit Ethernet.</w:t>
      </w:r>
    </w:p>
    <w:p w14:paraId="71069F12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Configure endereços IPv4 de acordo com seu esquema de endereçamento.</w:t>
      </w:r>
    </w:p>
    <w:p w14:paraId="26117B23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Configure endereços IPv6 de acordo com a Tabela de Endereçamento.</w:t>
      </w:r>
    </w:p>
    <w:p w14:paraId="07ADC276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Configure o SSH em R1:</w:t>
      </w:r>
    </w:p>
    <w:p w14:paraId="3009ED0E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Defina o nome de domínio como </w:t>
      </w:r>
      <w:r w:rsidRPr="00EA2918">
        <w:rPr>
          <w:b/>
          <w:lang w:val="pt-BR"/>
          <w:rFonts/>
        </w:rPr>
        <w:t xml:space="preserve">CCNA-lab.com</w:t>
      </w:r>
    </w:p>
    <w:p w14:paraId="07D7F0CE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Gere uma chave RSA de </w:t>
      </w:r>
      <w:r w:rsidRPr="00EA2918">
        <w:rPr>
          <w:b/>
          <w:lang w:val="pt-BR"/>
          <w:rFonts/>
        </w:rPr>
        <w:t xml:space="preserve">1024</w:t>
      </w:r>
      <w:r>
        <w:rPr>
          <w:lang w:val="pt-BR"/>
          <w:rFonts/>
        </w:rPr>
        <w:t xml:space="preserve"> bits.</w:t>
      </w:r>
    </w:p>
    <w:p w14:paraId="023DC397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Configure as linhas VTY para acesso SSH.</w:t>
      </w:r>
    </w:p>
    <w:p w14:paraId="1685268A" w14:textId="77777777" w:rsidR="00EA2918" w:rsidRDefault="00EA2918" w:rsidP="00EA2918">
      <w:pPr>
        <w:pStyle w:val="Bulletlevel2"/>
      </w:pPr>
      <w:r>
        <w:rPr>
          <w:lang w:val="pt-BR"/>
          <w:rFonts/>
        </w:rPr>
        <w:t xml:space="preserve">Use perfis de usuário local para autenticação.</w:t>
      </w:r>
    </w:p>
    <w:p w14:paraId="0D2435D5" w14:textId="0FC0F88C" w:rsidR="00EA2918" w:rsidRDefault="00EA2918" w:rsidP="00EA2918">
      <w:pPr>
        <w:pStyle w:val="Bulletlevel2"/>
      </w:pPr>
      <w:r>
        <w:rPr>
          <w:lang w:val="pt-BR"/>
          <w:rFonts/>
        </w:rPr>
        <w:t xml:space="preserve">Crie um usuário </w:t>
      </w:r>
      <w:r w:rsidRPr="00EA2918">
        <w:rPr>
          <w:b/>
          <w:lang w:val="pt-BR"/>
          <w:rFonts/>
        </w:rPr>
        <w:t xml:space="preserve">Admin1</w:t>
      </w:r>
      <w:r>
        <w:rPr>
          <w:lang w:val="pt-BR"/>
          <w:rFonts/>
        </w:rPr>
        <w:t xml:space="preserve"> com um privilégio de nível </w:t>
      </w:r>
      <w:r w:rsidRPr="00EA2918">
        <w:rPr>
          <w:b/>
          <w:lang w:val="pt-BR"/>
          <w:rFonts/>
        </w:rPr>
        <w:t xml:space="preserve">15</w:t>
      </w:r>
      <w:r>
        <w:rPr>
          <w:lang w:val="pt-BR"/>
          <w:rFonts/>
        </w:rPr>
        <w:t xml:space="preserve"> usando a senha criptografada para </w:t>
      </w:r>
      <w:r w:rsidRPr="00EA2918">
        <w:rPr>
          <w:b/>
          <w:lang w:val="pt-BR"/>
          <w:rFonts/>
        </w:rPr>
        <w:t xml:space="preserve">Admin1pa55</w:t>
      </w:r>
      <w:r>
        <w:rPr>
          <w:lang w:val="pt-BR"/>
          <w:rFonts/>
        </w:rPr>
        <w:t xml:space="preserve">.</w:t>
      </w:r>
    </w:p>
    <w:p w14:paraId="4131F19D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Configure o console e as linhas VTY para encerrar sessão após cinco minutos de inatividade.</w:t>
      </w:r>
    </w:p>
    <w:p w14:paraId="340EE795" w14:textId="77777777" w:rsidR="00EA2918" w:rsidRDefault="00EA2918" w:rsidP="00EA2918">
      <w:pPr>
        <w:pStyle w:val="Bulletlevel1"/>
      </w:pPr>
      <w:r>
        <w:rPr>
          <w:lang w:val="pt-BR"/>
          <w:rFonts/>
        </w:rPr>
        <w:t xml:space="preserve">Bloqueie durante três minutos qualquer pessoa que não conseguiu fazer log in depois de quatro tentativas em um período de dois minutos.</w:t>
      </w:r>
    </w:p>
    <w:p w14:paraId="3AD706E9" w14:textId="77777777" w:rsidR="00EA2918" w:rsidRDefault="00EA2918" w:rsidP="00EA2918">
      <w:pPr>
        <w:pStyle w:val="BodyTextBold"/>
      </w:pPr>
      <w:r>
        <w:rPr>
          <w:lang w:val="pt-BR"/>
          <w:rFonts/>
        </w:rPr>
        <w:t xml:space="preserve">Configuração de switches</w:t>
      </w:r>
    </w:p>
    <w:p w14:paraId="6630F2EE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Configure o nome do dispositivo conforme a Tabela de Endereçamento.</w:t>
      </w:r>
    </w:p>
    <w:p w14:paraId="7EE48FF0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Configure a interface SVI com endereço e máscara de sub-rede IPv4 de acordo com o seu esquema de endereçamento.</w:t>
      </w:r>
    </w:p>
    <w:p w14:paraId="2172F794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Configure o gateway padrão.</w:t>
      </w:r>
    </w:p>
    <w:p w14:paraId="5290B950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Desative a pesquisa do DNS.</w:t>
      </w:r>
    </w:p>
    <w:p w14:paraId="15221605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Atribua </w:t>
      </w:r>
      <w:r w:rsidRPr="00ED104D">
        <w:rPr>
          <w:b/>
          <w:lang w:val="pt-BR"/>
          <w:rFonts/>
        </w:rPr>
        <w:t xml:space="preserve">Ciscoenpa55</w:t>
      </w:r>
      <w:r>
        <w:rPr>
          <w:lang w:val="pt-BR"/>
          <w:rFonts/>
        </w:rPr>
        <w:t xml:space="preserve"> como a senha criptografada do modo EXEC privilegiado.</w:t>
      </w:r>
    </w:p>
    <w:p w14:paraId="57B37D21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Atribua </w:t>
      </w:r>
      <w:r w:rsidRPr="00ED104D">
        <w:rPr>
          <w:b/>
          <w:lang w:val="pt-BR"/>
          <w:rFonts/>
        </w:rPr>
        <w:t xml:space="preserve">Ciscoconpa55</w:t>
      </w:r>
      <w:r>
        <w:rPr>
          <w:lang w:val="pt-BR"/>
          <w:rFonts/>
        </w:rPr>
        <w:t xml:space="preserve"> como a senha de console e habilite o login.</w:t>
      </w:r>
    </w:p>
    <w:p w14:paraId="1BD4477D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Configure o console e as linhas VTY para encerrar a sessão após cinco minutos de inatividade.</w:t>
      </w:r>
    </w:p>
    <w:p w14:paraId="39C73A7C" w14:textId="77777777" w:rsidR="00EA2918" w:rsidRDefault="00EA2918" w:rsidP="0080333F">
      <w:pPr>
        <w:pStyle w:val="Bulletlevel1"/>
      </w:pPr>
      <w:r>
        <w:rPr>
          <w:lang w:val="pt-BR"/>
          <w:rFonts/>
        </w:rPr>
        <w:t xml:space="preserve">Criptografe todas as senhas em texto simples.</w:t>
      </w:r>
    </w:p>
    <w:p w14:paraId="2B1B8A1B" w14:textId="77777777" w:rsidR="0080333F" w:rsidRDefault="0080333F" w:rsidP="0080333F">
      <w:pPr>
        <w:pStyle w:val="BodyTextBold"/>
      </w:pPr>
      <w:r>
        <w:rPr>
          <w:lang w:val="pt-BR"/>
          <w:rFonts/>
        </w:rPr>
        <w:t xml:space="preserve">Requisitos de conectividade</w:t>
      </w:r>
    </w:p>
    <w:p w14:paraId="5A8DE63A" w14:textId="77777777" w:rsidR="0080333F" w:rsidRDefault="0080333F" w:rsidP="0080333F">
      <w:pPr>
        <w:pStyle w:val="Bulletlevel1"/>
      </w:pPr>
      <w:r>
        <w:rPr>
          <w:lang w:val="pt-BR"/>
          <w:rFonts/>
        </w:rPr>
        <w:t xml:space="preserve">Usando navegadores Web nos computadores Staff, Sales e TI, navegue para </w:t>
      </w:r>
      <w:r w:rsidRPr="0080333F">
        <w:rPr>
          <w:b/>
          <w:lang w:val="pt-BR"/>
          <w:rFonts/>
        </w:rPr>
        <w:t xml:space="preserve">www.cisco.pka</w:t>
      </w:r>
      <w:r>
        <w:rPr>
          <w:lang w:val="pt-BR"/>
          <w:rFonts/>
        </w:rPr>
        <w:t xml:space="preserve">.</w:t>
      </w:r>
    </w:p>
    <w:p w14:paraId="10C636A9" w14:textId="77777777" w:rsidR="0080333F" w:rsidRDefault="0080333F" w:rsidP="0080333F">
      <w:pPr>
        <w:pStyle w:val="Bulletlevel1"/>
      </w:pPr>
      <w:r>
        <w:rPr>
          <w:lang w:val="pt-BR"/>
          <w:rFonts/>
        </w:rPr>
        <w:t xml:space="preserve">Usando navegadores Web nos computadores Staff, Sales e TI, navegue para </w:t>
      </w:r>
      <w:r w:rsidRPr="0080333F">
        <w:rPr>
          <w:b/>
          <w:lang w:val="pt-BR"/>
          <w:rFonts/>
        </w:rPr>
        <w:t xml:space="preserve">www.cisco6.pka</w:t>
      </w:r>
      <w:r>
        <w:rPr>
          <w:lang w:val="pt-BR"/>
          <w:rFonts/>
        </w:rPr>
        <w:t xml:space="preserve">.</w:t>
      </w:r>
    </w:p>
    <w:p w14:paraId="1F2BA0FA" w14:textId="5BE15FCB" w:rsidR="0080333F" w:rsidRDefault="0080333F" w:rsidP="0080333F">
      <w:pPr>
        <w:pStyle w:val="Bulletlevel1"/>
      </w:pPr>
      <w:r>
        <w:rPr>
          <w:lang w:val="pt-BR"/>
          <w:rFonts/>
        </w:rPr>
        <w:t xml:space="preserve">Todos os PCs devem poder executar ping em todos os outros dispositivos.</w:t>
      </w:r>
    </w:p>
    <w:p w14:paraId="7024E1C2" w14:textId="388EE688" w:rsidR="00963CD5" w:rsidRPr="0080333F" w:rsidRDefault="00963CD5" w:rsidP="00963CD5">
      <w:pPr>
        <w:pStyle w:val="ConfigWindow"/>
      </w:pPr>
      <w:r>
        <w:rPr>
          <w:lang w:val="pt-BR"/>
          <w:rFonts/>
        </w:rPr>
        <w:t xml:space="preserve">Fim do documento</w:t>
      </w:r>
    </w:p>
    <w:p w14:paraId="7EE520A5" w14:textId="77777777" w:rsidR="0080333F" w:rsidRPr="00795BAA" w:rsidRDefault="0080333F" w:rsidP="00795BAA">
      <w:pPr>
        <w:pStyle w:val="Heading1"/>
      </w:pPr>
      <w:r>
        <w:rPr>
          <w:shd w:val="clear" w:color="auto" w:fill="BFBFBF" w:themeFill="background1" w:themeFillShade="BF"/>
          <w:lang w:val="pt-BR"/>
          <w:rFonts/>
        </w:rPr>
        <w:t xml:space="preserve">Scripts de Execução</w:t>
      </w:r>
    </w:p>
    <w:p w14:paraId="3722616A" w14:textId="77777777" w:rsidR="0080333F" w:rsidRPr="00795BAA" w:rsidRDefault="0080333F" w:rsidP="00795BAA">
      <w:pPr>
        <w:pStyle w:val="BodyTextBold"/>
      </w:pPr>
      <w:r>
        <w:rPr>
          <w:shd w:val="clear" w:color="auto" w:fill="BFBFBF" w:themeFill="background1" w:themeFillShade="BF"/>
          <w:lang w:val="pt-BR"/>
          <w:rFonts/>
        </w:rPr>
        <w:t xml:space="preserve">Configuração do R1</w:t>
      </w:r>
    </w:p>
    <w:p w14:paraId="3CFFE292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08AF49FF" w14:textId="70BAA936" w:rsidR="005D3557" w:rsidRPr="005D3557" w:rsidRDefault="005943FA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47B664B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6B81B4D7" w14:textId="5DEC4186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security passwords min-length 10</w:t>
      </w:r>
    </w:p>
    <w:p w14:paraId="23C4C029" w14:textId="08E03998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R1</w:t>
      </w:r>
    </w:p>
    <w:p w14:paraId="56FE867F" w14:textId="4E287DB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login block-for 30 attempts 2 within 120</w:t>
      </w:r>
    </w:p>
    <w:p w14:paraId="65CC2F22" w14:textId="34FC527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5 $1$mERr$Amm/da5NtiazLuZDbgqZ60</w:t>
      </w:r>
    </w:p>
    <w:p w14:paraId="65390ABC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unicast-routing</w:t>
      </w:r>
    </w:p>
    <w:p w14:paraId="63CACC8F" w14:textId="3ED15B38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username Admin1 secret 5 $1$mERr$Ty/EkWXcSXEwIckISrps8/</w:t>
      </w:r>
    </w:p>
    <w:p w14:paraId="7616840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3510E576" w14:textId="05152E30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domain-name CCNA-lab.com</w:t>
      </w:r>
    </w:p>
    <w:p w14:paraId="643FB5BC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14:paraId="7B2BCD47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192.168.0.1 255.255.255.128</w:t>
      </w:r>
    </w:p>
    <w:p w14:paraId="5A6F10C8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duplex auto</w:t>
      </w:r>
    </w:p>
    <w:p w14:paraId="71E3A96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speed auto</w:t>
      </w:r>
    </w:p>
    <w:p w14:paraId="45E627E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2995F3AE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2001:DB8:ACAD::1/64</w:t>
      </w:r>
    </w:p>
    <w:p w14:paraId="67474B1C" w14:textId="062E9BC9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35195474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27C9B378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192.168.10.129 255.255.255.192</w:t>
      </w:r>
    </w:p>
    <w:p w14:paraId="7FF6C77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duplex auto</w:t>
      </w:r>
    </w:p>
    <w:p w14:paraId="394E8435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speed auto</w:t>
      </w:r>
    </w:p>
    <w:p w14:paraId="1432C1CB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7A4148BB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2001:DB8:ACAD:1::1/64</w:t>
      </w:r>
    </w:p>
    <w:p w14:paraId="77F8FE71" w14:textId="1F96FC98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2646227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6BA450BE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192.168.33.193 255.255.255.224</w:t>
      </w:r>
    </w:p>
    <w:p w14:paraId="19BA875B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duplex auto</w:t>
      </w:r>
    </w:p>
    <w:p w14:paraId="23E76B2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speed auto</w:t>
      </w:r>
    </w:p>
    <w:p w14:paraId="000585E4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6EEE387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2001:DB8:ACAD:2::1/64</w:t>
      </w:r>
    </w:p>
    <w:p w14:paraId="2684CBB7" w14:textId="2B86E334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1737748C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Serial0/0/1</w:t>
      </w:r>
    </w:p>
    <w:p w14:paraId="457ED38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172.16.1.2 255.255.255.252</w:t>
      </w:r>
    </w:p>
    <w:p w14:paraId="2D85FCD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0841CEA7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2001:DB8:2::1/64</w:t>
      </w:r>
    </w:p>
    <w:p w14:paraId="523AC73B" w14:textId="3FB5D692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17DCEDEA" w14:textId="528E1C2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banner motd ^CAny text^C</w:t>
      </w:r>
    </w:p>
    <w:p w14:paraId="119FEAAD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3EFA98F5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2ECACBFE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0802455D0A1606181C1B0D517F</w:t>
      </w:r>
    </w:p>
    <w:p w14:paraId="720915DF" w14:textId="0DDB5801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61991055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481484B0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56333EC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 local</w:t>
      </w:r>
    </w:p>
    <w:p w14:paraId="1FB84E4E" w14:textId="2419FDDC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transport input ssh</w:t>
      </w:r>
    </w:p>
    <w:p w14:paraId="7CA0B68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exit</w:t>
      </w:r>
    </w:p>
    <w:p w14:paraId="174ACE26" w14:textId="6EC67923" w:rsidR="005D3557" w:rsidRPr="00F81F40" w:rsidRDefault="00F81F40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crypto key generate rsa general-keys modulus 1024</w:t>
      </w:r>
    </w:p>
    <w:p w14:paraId="6536810E" w14:textId="305D069D" w:rsidR="0080333F" w:rsidRPr="0080333F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p w14:paraId="7701DB16" w14:textId="77777777" w:rsidR="0080333F" w:rsidRPr="005D3557" w:rsidRDefault="0080333F" w:rsidP="005D3557">
      <w:pPr>
        <w:pStyle w:val="LabSection"/>
      </w:pPr>
      <w:r>
        <w:rPr>
          <w:shd w:val="clear" w:color="auto" w:fill="BFBFBF" w:themeFill="background1" w:themeFillShade="BF"/>
          <w:lang w:val="pt-BR"/>
          <w:rFonts/>
        </w:rPr>
        <w:t xml:space="preserve">Configuração do S1</w:t>
      </w:r>
    </w:p>
    <w:p w14:paraId="1D3ED581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0E9168BE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05A2C0C2" w14:textId="111D0E3F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7E8F910E" w14:textId="73B6705B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S1</w:t>
      </w:r>
    </w:p>
    <w:p w14:paraId="374F6ACE" w14:textId="1207191E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5 $1$mERr$Amm/da5NtiazLuZDbgqZ60</w:t>
      </w:r>
    </w:p>
    <w:p w14:paraId="1B8A754F" w14:textId="61FFFAD5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29C309D4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3A5CD159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192.168.10.2 255.255.255.128</w:t>
      </w:r>
    </w:p>
    <w:p w14:paraId="1E70F7D5" w14:textId="4791F970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3187A55A" w14:textId="0F630E6C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192.168.0.1</w:t>
      </w:r>
    </w:p>
    <w:p w14:paraId="3BDF2CDC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7BC8D27A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0802455D0A1606181C1B0D517F</w:t>
      </w:r>
    </w:p>
    <w:p w14:paraId="623F9B5D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2D5D350E" w14:textId="733FBDE9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6BC92A08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1F5E6DD8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04A8B18B" w14:textId="77777777" w:rsidR="005D3557" w:rsidRPr="005D3557" w:rsidRDefault="005D3557" w:rsidP="00CD737D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56AFCC34" w14:textId="77777777" w:rsidR="005D3557" w:rsidRPr="005D3557" w:rsidRDefault="005D3557" w:rsidP="00EE6E3E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line vty 5 15</w:t>
      </w:r>
    </w:p>
    <w:p w14:paraId="3139D543" w14:textId="77777777" w:rsidR="005D3557" w:rsidRPr="005D3557" w:rsidRDefault="005D3557" w:rsidP="00EE6E3E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195944BE" w14:textId="2AB0B328" w:rsidR="005D3557" w:rsidRPr="005D3557" w:rsidRDefault="005D3557" w:rsidP="00EE6E3E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10AEEED0" w14:textId="77777777" w:rsidR="005D3557" w:rsidRDefault="005D3557" w:rsidP="00EE6E3E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220C6779" w14:textId="77777777" w:rsidR="0080333F" w:rsidRPr="005D3557" w:rsidRDefault="0080333F" w:rsidP="005D3557">
      <w:pPr>
        <w:pStyle w:val="LabSection"/>
      </w:pPr>
      <w:r>
        <w:rPr>
          <w:shd w:val="clear" w:color="auto" w:fill="BFBFBF" w:themeFill="background1" w:themeFillShade="BF"/>
          <w:lang w:val="pt-BR"/>
          <w:rFonts/>
        </w:rPr>
        <w:t xml:space="preserve">Configuração do S2</w:t>
      </w:r>
      <w:r>
        <w:rPr>
          <w:shd w:val="clear" w:color="auto" w:fill="BFBFBF" w:themeFill="background1" w:themeFillShade="BF"/>
          <w:lang w:val="pt-BR"/>
          <w:rFonts/>
        </w:rPr>
        <w:t xml:space="preserve"> </w:t>
      </w:r>
    </w:p>
    <w:p w14:paraId="50EA527D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5D6DC6AD" w14:textId="03F4EE8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5A4A523F" w14:textId="2CC94D7C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33416850" w14:textId="386B5A3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S2</w:t>
      </w:r>
    </w:p>
    <w:p w14:paraId="3ECC0740" w14:textId="7A05EE08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5 $1$mERr$Amm/da5NtiazLuZDbgqZ60</w:t>
      </w:r>
    </w:p>
    <w:p w14:paraId="70BE3FFD" w14:textId="386B8282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4DA9C060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0445F945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192.168.0.130 255.255.255.192</w:t>
      </w:r>
    </w:p>
    <w:p w14:paraId="2B3D0C97" w14:textId="0E4397DE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2F9E8E21" w14:textId="655DB186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192.168.0.129</w:t>
      </w:r>
    </w:p>
    <w:p w14:paraId="70BF48B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7555DF02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0802455D0A1606181C1B0D517F</w:t>
      </w:r>
    </w:p>
    <w:p w14:paraId="7A594F07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733EEDFF" w14:textId="150E289D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503D429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592FF3D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1FA980C7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44BE22B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5 15</w:t>
      </w:r>
    </w:p>
    <w:p w14:paraId="4D45B65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18D52EB8" w14:textId="3A2935D0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456E03F6" w14:textId="77777777" w:rsidR="0080333F" w:rsidRPr="0080333F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289ADA45" w14:textId="77777777" w:rsidR="0080333F" w:rsidRPr="005D3557" w:rsidRDefault="0080333F" w:rsidP="005D3557">
      <w:pPr>
        <w:pStyle w:val="LabSection"/>
      </w:pPr>
      <w:r>
        <w:rPr>
          <w:shd w:val="clear" w:color="auto" w:fill="BFBFBF" w:themeFill="background1" w:themeFillShade="BF"/>
          <w:lang w:val="pt-BR"/>
          <w:rFonts/>
        </w:rPr>
        <w:t xml:space="preserve">Configuração do S3</w:t>
      </w:r>
      <w:r>
        <w:rPr>
          <w:shd w:val="clear" w:color="auto" w:fill="BFBFBF" w:themeFill="background1" w:themeFillShade="BF"/>
          <w:lang w:val="pt-BR"/>
          <w:rFonts/>
        </w:rPr>
        <w:t xml:space="preserve"> </w:t>
      </w:r>
    </w:p>
    <w:p w14:paraId="57B4641A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16FA1B49" w14:textId="51C11A16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4971DC02" w14:textId="001054F6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40A13360" w14:textId="090E136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S3</w:t>
      </w:r>
    </w:p>
    <w:p w14:paraId="4A671518" w14:textId="0183414D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ativar segredo 5 $1$merr$amm/da5ntiazluzdbgqz60</w:t>
      </w:r>
    </w:p>
    <w:p w14:paraId="6FA12790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1477BB19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50516441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192.168.33.193 255.255.255.224</w:t>
      </w:r>
    </w:p>
    <w:p w14:paraId="11589D38" w14:textId="40E19D0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</w:t>
      </w:r>
    </w:p>
    <w:p w14:paraId="4103C6BA" w14:textId="0B55A573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192.168.0.193</w:t>
      </w:r>
    </w:p>
    <w:p w14:paraId="48EBB306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153FC4C6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0802455D0A1606181C1B0D517F</w:t>
      </w:r>
    </w:p>
    <w:p w14:paraId="4A6CA05E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7615A09D" w14:textId="7E24F83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36BF8FB6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6DF90983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05EEE2FA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38863204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5 15</w:t>
      </w:r>
    </w:p>
    <w:p w14:paraId="0F3988D7" w14:textId="77777777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5 0</w:t>
      </w:r>
    </w:p>
    <w:p w14:paraId="0C0F7F9D" w14:textId="616318EB" w:rsidR="005D3557" w:rsidRPr="005D3557" w:rsidRDefault="005D3557" w:rsidP="005D355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02013A32" w14:textId="60E3230C" w:rsidR="00ED2EA2" w:rsidRDefault="005D3557" w:rsidP="00CD737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sectPr w:rsidR="00ED2EA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4336" w14:textId="77777777" w:rsidR="00EC7FF4" w:rsidRDefault="00EC7FF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4BBB2D7B" w14:textId="77777777" w:rsidR="00EC7FF4" w:rsidRDefault="00EC7FF4"/>
  </w:endnote>
  <w:endnote w:type="continuationSeparator" w:id="0">
    <w:p w14:paraId="55A4E919" w14:textId="77777777" w:rsidR="00EC7FF4" w:rsidRDefault="00EC7FF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28F44E4" w14:textId="77777777" w:rsidR="00EC7FF4" w:rsidRDefault="00EC7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2C05" w14:textId="6FBDE05D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273670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EE6E3E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E6E3E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263F" w14:textId="06AFE589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273670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CD737D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CD737D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DFE6" w14:textId="77777777" w:rsidR="00EC7FF4" w:rsidRDefault="00EC7FF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173409C" w14:textId="77777777" w:rsidR="00EC7FF4" w:rsidRDefault="00EC7FF4"/>
  </w:footnote>
  <w:footnote w:type="continuationSeparator" w:id="0">
    <w:p w14:paraId="366E2E0A" w14:textId="77777777" w:rsidR="00EC7FF4" w:rsidRDefault="00EC7FF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BE9140B" w14:textId="77777777" w:rsidR="00EC7FF4" w:rsidRDefault="00EC7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2EE004C" w14:textId="27436EA8" w:rsidR="00926CB2" w:rsidRDefault="00AF576A" w:rsidP="008402F2">
        <w:pPr>
          <w:pStyle w:val="PageHead"/>
        </w:pPr>
        <w:r>
          <w:rPr>
            <w:lang w:val="pt-BR"/>
            <w:rFonts/>
          </w:rPr>
          <w:t xml:space="preserve">Packet Tracer – Desafio de Integração de Habilidades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50AF4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3670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C7FF4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333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7367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227AB"/>
    <w:rsid w:val="00582E54"/>
    <w:rsid w:val="006048BB"/>
    <w:rsid w:val="006053F9"/>
    <w:rsid w:val="0074177A"/>
    <w:rsid w:val="00895EA8"/>
    <w:rsid w:val="008C6C43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EDA35-5129-402E-9345-70E12990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Desafio de Integração de Habilidades</dc:title>
  <dc:creator>Martin Benson</dc:creator>
  <dc:description>2019</dc:description>
  <cp:lastModifiedBy>DH</cp:lastModifiedBy>
  <cp:revision>3</cp:revision>
  <cp:lastPrinted>2019-09-19T15:25:00Z</cp:lastPrinted>
  <dcterms:created xsi:type="dcterms:W3CDTF">2019-10-03T20:52:00Z</dcterms:created>
  <dcterms:modified xsi:type="dcterms:W3CDTF">2019-12-02T23:38:00Z</dcterms:modified>
</cp:coreProperties>
</file>