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42498A" w:rsidP="00B87977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Configuração básica do switch e do dispositivo final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D778DF" w:rsidRPr="00E70096" w:rsidRDefault="00D778DF" w:rsidP="00C029DB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C029DB" w:rsidTr="009C0B81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[[S1Name]]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[[S1Add]]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[[S2Name]]</w:t>
            </w:r>
          </w:p>
        </w:tc>
        <w:tc>
          <w:tcPr>
            <w:tcW w:w="2430" w:type="dxa"/>
            <w:vAlign w:val="bottom"/>
          </w:tcPr>
          <w:p w:rsidR="00C029DB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706" w:type="dxa"/>
            <w:vAlign w:val="bottom"/>
          </w:tcPr>
          <w:p w:rsidR="00C029DB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[[S2Add]]</w:t>
            </w:r>
          </w:p>
        </w:tc>
        <w:tc>
          <w:tcPr>
            <w:tcW w:w="2332" w:type="dxa"/>
            <w:vAlign w:val="bottom"/>
          </w:tcPr>
          <w:p w:rsidR="00C029DB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[[PC1Name]]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[[PC1Add]]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[[PC2Name]]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[[PC2Add]]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</w:tbl>
    <w:p w:rsidR="00D778DF" w:rsidRPr="00E70096" w:rsidRDefault="00D778DF" w:rsidP="00C029DB">
      <w:pPr>
        <w:pStyle w:val="Heading1"/>
      </w:pPr>
      <w:r>
        <w:rPr>
          <w:lang w:val="pt-BR"/>
          <w:rFonts/>
        </w:rPr>
        <w:t xml:space="preserve">Objetivos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Configurar nomes de host e endereços IP em dois switches Cisco Internetwork Operating System (IOS) pela interface de linha de comando (CLI).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Usar comandos do Cisco IOS para especificar ou limitar o acesso às configurações de dispositivo.</w:t>
      </w:r>
      <w:r>
        <w:rPr>
          <w:lang w:val="pt-BR"/>
          <w:rFonts/>
        </w:rPr>
        <w:t xml:space="preserve"> 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Usar os comandos IOS para salvar a configuração em execução.</w:t>
      </w:r>
    </w:p>
    <w:p w:rsidR="00C029DB" w:rsidRPr="006E6581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Configurar dois dispositivos host com endereços IP.</w:t>
      </w:r>
    </w:p>
    <w:p w:rsidR="00C029DB" w:rsidRPr="006E6581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Verificar a conectividade entre os dois dispositivos finais de PC.</w:t>
      </w:r>
    </w:p>
    <w:p w:rsidR="00C029DB" w:rsidRPr="00C07FD9" w:rsidRDefault="00C029DB" w:rsidP="00C029DB">
      <w:pPr>
        <w:pStyle w:val="Heading1"/>
      </w:pPr>
      <w:r>
        <w:rPr>
          <w:lang w:val="pt-BR"/>
          <w:rFonts/>
        </w:rPr>
        <w:t xml:space="preserve">Cenário</w:t>
      </w:r>
    </w:p>
    <w:p w:rsidR="00C029DB" w:rsidRPr="00DE6F44" w:rsidRDefault="00C029DB" w:rsidP="00C029DB">
      <w:pPr>
        <w:pStyle w:val="BodyTextL25"/>
      </w:pPr>
      <w:r>
        <w:rPr>
          <w:lang w:val="pt-BR"/>
          <w:rFonts/>
        </w:rPr>
        <w:t xml:space="preserve">Como um técnico de LAN recém-contratado, o gerente de redes pediu que você demonstrasse sua habilidade para configurar uma pequena 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Suas tarefas incluem definir as configurações iniciais em dois switches com Cisco IOS e configurar parâmetros de endereço IP nos dispositivos host para fornecer conectividade completa.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usará dois switches e dois hosts/PCs em uma rede cabeada e ligada.</w:t>
      </w:r>
      <w:r>
        <w:rPr>
          <w:lang w:val="pt-BR"/>
          <w:rFonts/>
        </w:rPr>
        <w:t xml:space="preserve"> </w:t>
      </w:r>
    </w:p>
    <w:p w:rsidR="00C029DB" w:rsidRDefault="00C029DB" w:rsidP="00C029DB">
      <w:pPr>
        <w:pStyle w:val="Heading1"/>
        <w:spacing w:line="276" w:lineRule="auto"/>
      </w:pPr>
      <w:r>
        <w:rPr>
          <w:lang w:val="pt-BR"/>
          <w:rFonts/>
        </w:rPr>
        <w:t xml:space="preserve">Instruções</w:t>
      </w:r>
    </w:p>
    <w:p w:rsidR="00C029DB" w:rsidRPr="00703826" w:rsidRDefault="00C029DB" w:rsidP="00C029DB">
      <w:pPr>
        <w:pStyle w:val="BodyTextL25"/>
      </w:pPr>
      <w:r>
        <w:rPr>
          <w:lang w:val="pt-BR"/>
          <w:rFonts/>
        </w:rPr>
        <w:t xml:space="preserve">Configure os dispositivos para atender aos requisitos abaixo.</w:t>
      </w:r>
    </w:p>
    <w:p w:rsidR="00C029DB" w:rsidRDefault="00C029DB" w:rsidP="00C029DB">
      <w:pPr>
        <w:pStyle w:val="Heading1"/>
      </w:pPr>
      <w:r>
        <w:rPr>
          <w:lang w:val="pt-BR"/>
          <w:rFonts/>
        </w:rPr>
        <w:t xml:space="preserve">Requisitos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Use uma conexão de console para acessar cada switch.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Nomeie os switches como </w:t>
      </w:r>
      <w:r>
        <w:rPr>
          <w:b/>
          <w:bCs/>
          <w:lang w:val="pt-BR"/>
          <w:rFonts/>
        </w:rPr>
        <w:t xml:space="preserve">[[S1Name]] </w:t>
      </w:r>
      <w:r>
        <w:rPr>
          <w:lang w:val="pt-BR"/>
          <w:rFonts/>
        </w:rPr>
        <w:t xml:space="preserve">e </w:t>
      </w:r>
      <w:r>
        <w:rPr>
          <w:b/>
          <w:bCs/>
          <w:lang w:val="pt-BR"/>
          <w:rFonts/>
        </w:rPr>
        <w:t xml:space="preserve">[[S2Name]]</w:t>
      </w:r>
      <w:r>
        <w:rPr>
          <w:lang w:val="pt-BR"/>
          <w:rFonts/>
        </w:rPr>
        <w:t xml:space="preserve">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Use a senha </w:t>
      </w:r>
      <w:r>
        <w:rPr>
          <w:b w:val="true"/>
          <w:lang w:val="pt-BR"/>
          <w:rFonts/>
        </w:rPr>
        <w:t xml:space="preserve">[[LinePW]] </w:t>
      </w:r>
      <w:r>
        <w:rPr>
          <w:lang w:val="pt-BR"/>
          <w:rFonts/>
        </w:rPr>
        <w:t xml:space="preserve">para todas as linhas.</w:t>
      </w:r>
      <w:r>
        <w:rPr>
          <w:lang w:val="pt-BR"/>
          <w:rFonts/>
        </w:rPr>
        <w:t xml:space="preserve"> 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Use a senha secreta </w:t>
      </w:r>
      <w:r>
        <w:rPr>
          <w:b w:val="true"/>
          <w:lang w:val="pt-BR"/>
          <w:rFonts/>
        </w:rPr>
        <w:t xml:space="preserve">[[SecretPW]]</w:t>
      </w:r>
      <w:r>
        <w:rPr>
          <w:lang w:val="pt-BR"/>
          <w:rFonts/>
        </w:rPr>
        <w:t xml:space="preserve">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Criptografe todas as senhas em texto simples.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Configure um banner de mensagem do dia (MOTD) apropriado.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Configure o endereçamento de todos os dispositivos de acordo com a Tabela de endereços.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Salve suas configurações.</w:t>
      </w:r>
    </w:p>
    <w:p w:rsidR="00C029DB" w:rsidRDefault="00C029DB" w:rsidP="00C029DB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Verifique a conectividade entre todos os dispositivos.</w:t>
      </w:r>
    </w:p>
    <w:p w:rsidR="00C029DB" w:rsidRDefault="00C029DB" w:rsidP="00C029DB">
      <w:pPr>
        <w:pStyle w:val="BodyTextL25"/>
      </w:pPr>
      <w:r>
        <w:rPr>
          <w:b w:val="true"/>
          <w:lang w:val="pt-BR"/>
          <w:rFonts/>
        </w:rPr>
        <w:t xml:space="preserve">Nota:</w:t>
      </w:r>
      <w:r>
        <w:rPr>
          <w:lang w:val="pt-BR"/>
          <w:rFonts/>
        </w:rPr>
        <w:t xml:space="preserve"> Clique em</w:t>
      </w:r>
      <w:r>
        <w:rPr>
          <w:b w:val="true"/>
          <w:lang w:val="pt-BR"/>
          <w:rFonts/>
        </w:rPr>
        <w:t xml:space="preserve"> Verificar resultados</w:t>
      </w:r>
      <w:r w:rsidRPr="00C079A7">
        <w:rPr>
          <w:lang w:val="pt-BR"/>
          <w:rFonts/>
        </w:rPr>
        <w:t xml:space="preserve"> para ver seu progresso. Clique em</w:t>
      </w:r>
      <w:r>
        <w:rPr>
          <w:b w:val="true"/>
          <w:lang w:val="pt-BR"/>
          <w:rFonts/>
        </w:rPr>
        <w:t xml:space="preserve"> Redefinir atividade</w:t>
      </w:r>
      <w:r>
        <w:rPr>
          <w:lang w:val="pt-BR"/>
          <w:rFonts/>
        </w:rPr>
        <w:t xml:space="preserve"> para gerar um novo conjunto de requisitos. Se você clicar nessa opção antes de concluir a atividade, todas as configurações serão perdidas.</w:t>
      </w:r>
    </w:p>
    <w:p w:rsidR="00C029DB" w:rsidRDefault="00C029DB" w:rsidP="00C029DB">
      <w:pPr>
        <w:pStyle w:val="BodyTextL25"/>
      </w:pPr>
      <w:r>
        <w:rPr>
          <w:lang w:val="pt-BR"/>
          <w:rFonts/>
        </w:rPr>
        <w:t xml:space="preserve">ID: [[indexNames]][[indexPWs]][[indexAdds]][[indexTopos]]</w:t>
      </w:r>
    </w:p>
    <w:p w:rsidR="00C029DB" w:rsidRDefault="00C029DB" w:rsidP="00C029DB">
      <w:pPr>
        <w:pStyle w:val="ConfigWindow"/>
      </w:pPr>
      <w:r>
        <w:rPr>
          <w:lang w:val="pt-BR"/>
          <w:rFonts/>
        </w:rPr>
        <w:t xml:space="preserve">Fim do documento</w:t>
      </w:r>
    </w:p>
    <w:p w:rsidR="00C029DB" w:rsidRPr="00C029DB" w:rsidRDefault="00C029DB" w:rsidP="00204592">
      <w:pPr>
        <w:pStyle w:val="BodyTextL25"/>
        <w:spacing w:before="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Observações para o instrutor</w:t>
      </w:r>
    </w:p>
    <w:p w:rsidR="00C029DB" w:rsidRPr="00BF2AC7" w:rsidRDefault="00C029DB" w:rsidP="00C029DB">
      <w:pPr>
        <w:pStyle w:val="BodyTextL25"/>
      </w:pPr>
      <w:r>
        <w:rPr>
          <w:rStyle w:val="AnswerGray"/>
          <w:lang w:val="pt-BR"/>
          <w:rFonts/>
        </w:rPr>
        <w:t xml:space="preserve">As informações a seguir destinam-se à versão do instrutor apenas.</w:t>
      </w:r>
    </w:p>
    <w:p w:rsidR="00C029DB" w:rsidRPr="003D3492" w:rsidRDefault="00C029DB" w:rsidP="00C029DB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Esta atividade usa as variáveis que são geradas aleatoriamente cada vez que a atividade é aberta ou o usuário clica no botão "Reset Activity" (Reiniciar atividade).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Embora as tabelas abaixo mostrem nomes de dispositivos mapeados para esquemas de endereço específicos, os nomes e os endereços não são associados.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Por exemplo, um aluno poderia obter os nomes dos dispositivos mostrados no Cenário 1 com o endereçamento mostrado no Cenário 2.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Além disso, uma das três versões da topologia será apresentada ao aluno.</w:t>
      </w:r>
      <w:r>
        <w:rPr>
          <w:rStyle w:val="AnswerGray"/>
          <w:lang w:val="pt-BR"/>
          <w:rFonts/>
        </w:rPr>
        <w:t xml:space="preserve"> </w:t>
      </w:r>
    </w:p>
    <w:p w:rsidR="00C029DB" w:rsidRPr="00297B5D" w:rsidRDefault="00C029DB" w:rsidP="00297B5D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Cenário 1</w:t>
      </w:r>
      <w:r>
        <w:rPr>
          <w:rStyle w:val="LabSectionGray"/>
          <w:lang w:val="pt-BR"/>
          <w:rFonts/>
        </w:rPr>
        <w:t xml:space="preserve"> </w:t>
      </w: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Esta tabela mostra o endereçamento para o dispositivo, interface, endereço IP e máscara de sub-rede para o cenário 1."/>
      </w:tblPr>
      <w:tblGrid>
        <w:gridCol w:w="2517"/>
        <w:gridCol w:w="2430"/>
        <w:gridCol w:w="2520"/>
        <w:gridCol w:w="2370"/>
      </w:tblGrid>
      <w:tr w:rsidR="00C029DB" w:rsidRPr="003D3492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2517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Dispositivo</w:t>
            </w:r>
          </w:p>
        </w:tc>
        <w:tc>
          <w:tcPr>
            <w:tcW w:w="243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Interface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Endereço</w:t>
            </w:r>
          </w:p>
        </w:tc>
        <w:tc>
          <w:tcPr>
            <w:tcW w:w="237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Máscara de sub-Rede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Classe-A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128.107.20.10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Classe-B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VLAN1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128.107.20.15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Aluno-1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128.107.20.25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Aluno-2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128.107.20.30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</w:tbl>
    <w:p w:rsidR="00C029DB" w:rsidRPr="00297B5D" w:rsidRDefault="00C029DB" w:rsidP="00297B5D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Cenário 2</w:t>
      </w:r>
      <w:r>
        <w:rPr>
          <w:rStyle w:val="LabSectionGray"/>
          <w:lang w:val="pt-BR"/>
          <w:rFonts/>
        </w:rPr>
        <w:t xml:space="preserve"> </w:t>
      </w: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Esta tabela mostra o endereçamento para o dispositivo, interface, endereço IP e máscara de sub-rede para o cenário 2."/>
      </w:tblPr>
      <w:tblGrid>
        <w:gridCol w:w="2517"/>
        <w:gridCol w:w="2430"/>
        <w:gridCol w:w="2520"/>
        <w:gridCol w:w="2370"/>
      </w:tblGrid>
      <w:tr w:rsidR="00C029DB" w:rsidRPr="003D3492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tcW w:w="2517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Dispositivo</w:t>
            </w:r>
          </w:p>
        </w:tc>
        <w:tc>
          <w:tcPr>
            <w:tcW w:w="243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Interface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Endereço</w:t>
            </w:r>
          </w:p>
        </w:tc>
        <w:tc>
          <w:tcPr>
            <w:tcW w:w="237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Máscara de sub-Rede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Sala-145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172.16.5.35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Sala-146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172.16.5.40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Gerente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172.16.5.50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Recepção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172.16.5.60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</w:tbl>
    <w:p w:rsidR="00C029DB" w:rsidRPr="00297B5D" w:rsidRDefault="00C029DB" w:rsidP="00297B5D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Cenário 3</w:t>
      </w:r>
    </w:p>
    <w:tbl>
      <w:tblPr>
        <w:tblStyle w:val="LabTableStyle1"/>
        <w:tblW w:w="9927" w:type="dxa"/>
        <w:tblLook w:val="01E0" w:firstRow="1" w:lastRow="1" w:firstColumn="1" w:lastColumn="1" w:noHBand="0" w:noVBand="0"/>
        <w:tblDescription w:val="Esta tabela mostra o endereçamento para o dispositivo, interface, endereço IP e máscara de sub-rede para o cenário 3."/>
      </w:tblPr>
      <w:tblGrid>
        <w:gridCol w:w="2517"/>
        <w:gridCol w:w="2520"/>
        <w:gridCol w:w="2520"/>
        <w:gridCol w:w="2370"/>
      </w:tblGrid>
      <w:tr w:rsidR="00C029DB" w:rsidRPr="003D3492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2517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Dispositivo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Interface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Endereço</w:t>
            </w:r>
          </w:p>
        </w:tc>
        <w:tc>
          <w:tcPr>
            <w:tcW w:w="237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  <w:lang w:val="pt-BR"/>
                <w:rFonts/>
              </w:rPr>
            </w:pPr>
            <w:r>
              <w:rPr>
                <w:rStyle w:val="AnswerGray"/>
                <w:b w:val="true"/>
                <w:shd w:val="clear" w:color="auto" w:fill="auto"/>
                <w:lang w:val="pt-BR"/>
                <w:rFonts/>
              </w:rPr>
              <w:t xml:space="preserve">Máscara de sub-Rede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ASw-1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10.10.10.100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ASw-2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10.10.10.150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Usuário-01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10.10.10.4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Usuário-02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10.10.10.5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255.255.255.0</w:t>
            </w:r>
          </w:p>
        </w:tc>
      </w:tr>
    </w:tbl>
    <w:p w:rsidR="00C029DB" w:rsidRPr="00297B5D" w:rsidRDefault="00C029DB" w:rsidP="00297B5D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Topologias isomorfas</w:t>
      </w:r>
    </w:p>
    <w:p w:rsidR="00C029DB" w:rsidRDefault="00C029DB" w:rsidP="00C029DB">
      <w:pPr>
        <w:pStyle w:val="Visual"/>
      </w:pPr>
      <w:r w:rsidRPr="003D3492">
        <w:rPr>
          <w:lang w:val="pt-BR"/>
          <w:rFonts/>
        </w:rPr>
        <w:drawing>
          <wp:inline distT="0" distB="0" distL="0" distR="0">
            <wp:extent cx="3895090" cy="1400175"/>
            <wp:effectExtent l="0" t="0" r="0" b="9525"/>
            <wp:docPr id="1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29DB" w:rsidRPr="003D3492" w:rsidRDefault="00C029DB" w:rsidP="00C029DB">
      <w:pPr>
        <w:pStyle w:val="Visual"/>
      </w:pPr>
      <w:r w:rsidRPr="003D3492">
        <w:rPr>
          <w:lang w:val="pt-BR"/>
          <w:rFonts/>
        </w:rPr>
        <w:drawing>
          <wp:inline distT="0" distB="0" distL="0" distR="0" wp14:anchorId="05F19DA0" wp14:editId="2138AF2F">
            <wp:extent cx="4219575" cy="2019300"/>
            <wp:effectExtent l="19050" t="0" r="9525" b="0"/>
            <wp:docPr id="3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DB" w:rsidRPr="003D3492" w:rsidRDefault="00C029DB" w:rsidP="00C029DB">
      <w:pPr>
        <w:pStyle w:val="Visual"/>
      </w:pPr>
      <w:r w:rsidRPr="003D3492">
        <w:rPr>
          <w:lang w:val="pt-BR"/>
          <w:rFonts/>
        </w:rPr>
        <w:drawing>
          <wp:inline distT="0" distB="0" distL="0" distR="0" wp14:anchorId="16A5706C" wp14:editId="63D6AA9C">
            <wp:extent cx="2295525" cy="3048000"/>
            <wp:effectExtent l="19050" t="0" r="9525" b="0"/>
            <wp:docPr id="5" name="Picture 7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9DB" w:rsidRPr="003D3492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8A" w:rsidRDefault="0042498A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42498A" w:rsidRDefault="0042498A"/>
  </w:endnote>
  <w:endnote w:type="continuationSeparator" w:id="0">
    <w:p w:rsidR="0042498A" w:rsidRDefault="0042498A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42498A" w:rsidRDefault="00424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B7BA1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204592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204592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0B7BA1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0B7BA1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0B7BA1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8A" w:rsidRDefault="0042498A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42498A" w:rsidRDefault="0042498A"/>
  </w:footnote>
  <w:footnote w:type="continuationSeparator" w:id="0">
    <w:p w:rsidR="0042498A" w:rsidRDefault="0042498A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42498A" w:rsidRDefault="004249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argo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86746B" w:rsidP="008402F2">
        <w:pPr>
          <w:pStyle w:val="PageHead"/>
        </w:pPr>
        <w:r>
          <w:rPr>
            <w:lang w:val="pt-BR"/>
            <w:rFonts/>
          </w:rPr>
          <w:t xml:space="preserve">Packet Tracer - Configuração básica do switch e do dispositivo final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DF"/>
    <w:rsid w:val="0049476C"/>
    <w:rsid w:val="00526054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27EF3-4353-4F73-8B89-25BABF0C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básica do switch e do dispositivo final</dc:title>
  <dc:creator>SP</dc:creator>
  <dc:description>2013</dc:description>
  <cp:lastModifiedBy>Suk-Yi Pennock -X (spennock - UNICON INC at Cisco)</cp:lastModifiedBy>
  <cp:revision>5</cp:revision>
  <dcterms:created xsi:type="dcterms:W3CDTF">2019-08-25T17:43:00Z</dcterms:created>
  <dcterms:modified xsi:type="dcterms:W3CDTF">2019-08-29T20:08:00Z</dcterms:modified>
</cp:coreProperties>
</file>