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0C83" w14:textId="77777777" w:rsidR="004D36D7" w:rsidRPr="0022293E" w:rsidRDefault="00C666D1" w:rsidP="00151A77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EE28A8FB305E43EA9FC9515C05CBCE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Investigar a Prevenção de Loop de STP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14BD0C3" w14:textId="77777777" w:rsidR="00D778DF" w:rsidRPr="004952A0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4952A0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74949424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030417FA" w14:textId="2CA3BF06" w:rsidR="00E70096" w:rsidRPr="00E70096" w:rsidRDefault="00AE5BB1" w:rsidP="00E70096">
      <w:pPr>
        <w:pStyle w:val="BodyTextL25"/>
      </w:pPr>
      <w:r>
        <w:rPr>
          <w:lang w:val="pt-BR"/>
          <w:rFonts/>
        </w:rPr>
        <w:t xml:space="preserve">Neste laboratório, você observará os estados da porta da árvore de abrangência e observará o processo de convergência da árvore de abrangência.</w:t>
      </w:r>
    </w:p>
    <w:p w14:paraId="4F187EB4" w14:textId="77777777" w:rsidR="00D778DF" w:rsidRPr="004C0909" w:rsidRDefault="004F7BD9" w:rsidP="00075EA9">
      <w:pPr>
        <w:pStyle w:val="Bulletlevel1"/>
      </w:pPr>
      <w:r>
        <w:rPr>
          <w:lang w:val="pt-BR"/>
          <w:rFonts/>
        </w:rPr>
        <w:t xml:space="preserve">Descreva a operação do Spanning Tree Protocol.</w:t>
      </w:r>
    </w:p>
    <w:p w14:paraId="79C191A9" w14:textId="77777777" w:rsidR="00D778DF" w:rsidRDefault="004F7BD9" w:rsidP="00075EA9">
      <w:pPr>
        <w:pStyle w:val="Bulletlevel1"/>
      </w:pPr>
      <w:r>
        <w:rPr>
          <w:lang w:val="pt-BR"/>
          <w:rFonts/>
        </w:rPr>
        <w:t xml:space="preserve">Explique como o Spanning Tree Protocol impede loops de switching enquanto permite redundância em redes comutadas.</w:t>
      </w:r>
    </w:p>
    <w:p w14:paraId="11FE022C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58A61C89" w14:textId="77777777" w:rsidR="00D778DF" w:rsidRPr="00683036" w:rsidRDefault="004F7BD9" w:rsidP="00D778DF">
      <w:pPr>
        <w:pStyle w:val="BodyTextL25"/>
      </w:pPr>
      <w:r>
        <w:rPr>
          <w:lang w:val="pt-BR"/>
          <w:rFonts/>
        </w:rPr>
        <w:t xml:space="preserve">Nesta atividade, você usará o Packet Tracer para observar a operação do Spanning Tree Protocol em uma rede comutada simples que tenha caminhos redundantes.</w:t>
      </w:r>
    </w:p>
    <w:p w14:paraId="0FF85ADA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45C2056F" w14:textId="77777777" w:rsidR="00D06107" w:rsidRDefault="00A01118" w:rsidP="00A01118">
      <w:pPr>
        <w:pStyle w:val="Heading2"/>
      </w:pPr>
      <w:r>
        <w:rPr>
          <w:lang w:val="pt-BR"/>
          <w:rFonts/>
        </w:rPr>
        <w:t xml:space="preserve">Observar uma instância de árvore de abrangência convergente</w:t>
      </w:r>
    </w:p>
    <w:p w14:paraId="3F573B8E" w14:textId="0C329E65" w:rsidR="00D06107" w:rsidRDefault="00A01118" w:rsidP="00A01118">
      <w:pPr>
        <w:pStyle w:val="Heading3"/>
      </w:pPr>
      <w:r>
        <w:rPr>
          <w:lang w:val="pt-BR"/>
          <w:rFonts/>
        </w:rPr>
        <w:t xml:space="preserve">Verificar a conectividade.</w:t>
      </w:r>
    </w:p>
    <w:p w14:paraId="10949453" w14:textId="77777777" w:rsidR="00A01118" w:rsidRDefault="00A01118" w:rsidP="00A01118">
      <w:pPr>
        <w:pStyle w:val="BodyTextL25"/>
      </w:pPr>
      <w:r>
        <w:rPr>
          <w:lang w:val="pt-BR"/>
          <w:rFonts/>
        </w:rPr>
        <w:t xml:space="preserve">Ping de PC1 para PC2 para verificar a conectividade entre os hosts.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deve obter êxito.</w:t>
      </w:r>
    </w:p>
    <w:p w14:paraId="2F0AF08C" w14:textId="77777777" w:rsidR="00A01118" w:rsidRDefault="00A01118" w:rsidP="00A01118">
      <w:pPr>
        <w:pStyle w:val="Heading3"/>
      </w:pPr>
      <w:r>
        <w:rPr>
          <w:lang w:val="pt-BR"/>
          <w:rFonts/>
        </w:rPr>
        <w:t xml:space="preserve">Exibir o status da árvore de abrangência em cada switch.</w:t>
      </w:r>
    </w:p>
    <w:p w14:paraId="51BAEDC5" w14:textId="0C9D0F1E" w:rsidR="00A01118" w:rsidRDefault="00A01118" w:rsidP="00A01118">
      <w:pPr>
        <w:pStyle w:val="BodyTextL25"/>
      </w:pPr>
      <w:r>
        <w:rPr>
          <w:lang w:val="pt-BR"/>
          <w:rFonts/>
        </w:rPr>
        <w:t xml:space="preserve">Use o comando </w:t>
      </w:r>
      <w:r>
        <w:rPr>
          <w:b w:val="true"/>
          <w:lang w:val="pt-BR"/>
          <w:rFonts/>
        </w:rPr>
        <w:t xml:space="preserve">show spanning-tree vlan 1</w:t>
      </w:r>
      <w:r>
        <w:rPr>
          <w:lang w:val="pt-BR"/>
          <w:rFonts/>
        </w:rPr>
        <w:t xml:space="preserve"> para coletar informações sobre o status da árvore de abrangência de cada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tabela.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fins da atividade, considere apenas informações sobre as portas de tronco Gigabit.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portas Fast Ethernet são portas de acesso com dispositivos finais conectados e não fazem parte da árvore de abrangência baseada em troncos entre switches.</w:t>
      </w:r>
    </w:p>
    <w:p w14:paraId="0059BA82" w14:textId="7855F32C" w:rsidR="004756B5" w:rsidRDefault="004756B5" w:rsidP="004756B5">
      <w:pPr>
        <w:pStyle w:val="ConfigWindow"/>
      </w:pPr>
      <w:r>
        <w:rPr>
          <w:lang w:val="pt-BR"/>
          <w:rFonts/>
        </w:rPr>
        <w:t xml:space="preserve">Abrir a janela de configuração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contém todas as informações necessárias para registrar o status da porta de comutação e se o switch for a ponte raiz. Digite suas respostas nas células listadas como &quot;em branco&quot;."/>
      </w:tblPr>
      <w:tblGrid>
        <w:gridCol w:w="2275"/>
        <w:gridCol w:w="2275"/>
        <w:gridCol w:w="2275"/>
        <w:gridCol w:w="2275"/>
      </w:tblGrid>
      <w:tr w:rsidR="004B183D" w14:paraId="7960C958" w14:textId="77777777" w:rsidTr="00D0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5" w:type="dxa"/>
          </w:tcPr>
          <w:p w14:paraId="0B408047" w14:textId="77777777" w:rsidR="00A01118" w:rsidRDefault="00A01118" w:rsidP="00A45BF9">
            <w:pPr>
              <w:pStyle w:val="TableHeading"/>
            </w:pPr>
            <w:r>
              <w:rPr>
                <w:lang w:val="pt-BR"/>
                <w:rFonts/>
              </w:rPr>
              <w:t xml:space="preserve">Switch</w:t>
            </w:r>
          </w:p>
        </w:tc>
        <w:tc>
          <w:tcPr>
            <w:tcW w:w="2275" w:type="dxa"/>
          </w:tcPr>
          <w:p w14:paraId="4485D1E0" w14:textId="77777777" w:rsidR="00A01118" w:rsidRDefault="00A01118" w:rsidP="00A45BF9">
            <w:pPr>
              <w:pStyle w:val="TableHeading"/>
            </w:pPr>
            <w:r>
              <w:rPr>
                <w:lang w:val="pt-BR"/>
                <w:rFonts/>
              </w:rPr>
              <w:t xml:space="preserve">Porta</w:t>
            </w:r>
          </w:p>
        </w:tc>
        <w:tc>
          <w:tcPr>
            <w:tcW w:w="2275" w:type="dxa"/>
          </w:tcPr>
          <w:p w14:paraId="5CD14D0C" w14:textId="77777777" w:rsidR="00A01118" w:rsidRDefault="00A01118" w:rsidP="00A45BF9">
            <w:pPr>
              <w:pStyle w:val="TableHeading"/>
            </w:pPr>
            <w:r>
              <w:rPr>
                <w:lang w:val="pt-BR"/>
                <w:rFonts/>
              </w:rPr>
              <w:t xml:space="preserve">Estado (FWD, BLK...)</w:t>
            </w:r>
          </w:p>
        </w:tc>
        <w:tc>
          <w:tcPr>
            <w:tcW w:w="2275" w:type="dxa"/>
          </w:tcPr>
          <w:p w14:paraId="6485BAEC" w14:textId="77777777" w:rsidR="00A01118" w:rsidRDefault="00A01118" w:rsidP="00A45BF9">
            <w:pPr>
              <w:pStyle w:val="TableHeading"/>
            </w:pPr>
            <w:r>
              <w:rPr>
                <w:lang w:val="pt-BR"/>
                <w:rFonts/>
              </w:rPr>
              <w:t xml:space="preserve">Root Bridge?</w:t>
            </w:r>
          </w:p>
        </w:tc>
      </w:tr>
      <w:tr w:rsidR="00A45BF9" w14:paraId="4F020D94" w14:textId="77777777" w:rsidTr="00D0327C">
        <w:tc>
          <w:tcPr>
            <w:tcW w:w="2275" w:type="dxa"/>
            <w:tcBorders>
              <w:bottom w:val="nil"/>
            </w:tcBorders>
          </w:tcPr>
          <w:p w14:paraId="11193E77" w14:textId="77777777" w:rsidR="00A01118" w:rsidRDefault="00A01118" w:rsidP="00A45BF9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275" w:type="dxa"/>
          </w:tcPr>
          <w:p w14:paraId="107E1AB3" w14:textId="77777777" w:rsidR="00A01118" w:rsidRDefault="00A45BF9" w:rsidP="00A45BF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75" w:type="dxa"/>
          </w:tcPr>
          <w:p w14:paraId="50D2F2BC" w14:textId="77777777" w:rsidR="00A01118" w:rsidRPr="00E10CB1" w:rsidRDefault="004B183D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ENC</w:t>
            </w:r>
          </w:p>
        </w:tc>
        <w:tc>
          <w:tcPr>
            <w:tcW w:w="2275" w:type="dxa"/>
          </w:tcPr>
          <w:p w14:paraId="47B6E87E" w14:textId="77777777" w:rsidR="00A01118" w:rsidRPr="00E10CB1" w:rsidRDefault="00717C0E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Não</w:t>
            </w:r>
          </w:p>
        </w:tc>
      </w:tr>
      <w:tr w:rsidR="00717C0E" w14:paraId="6BB75BE8" w14:textId="77777777" w:rsidTr="00D0327C">
        <w:tc>
          <w:tcPr>
            <w:tcW w:w="2275" w:type="dxa"/>
            <w:tcBorders>
              <w:top w:val="nil"/>
              <w:bottom w:val="single" w:sz="2" w:space="0" w:color="auto"/>
            </w:tcBorders>
          </w:tcPr>
          <w:p w14:paraId="1CCFBE82" w14:textId="77777777" w:rsidR="00717C0E" w:rsidRPr="004B183D" w:rsidRDefault="00717C0E" w:rsidP="0022293E">
            <w:pPr>
              <w:pStyle w:val="ConfigWindow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2275" w:type="dxa"/>
          </w:tcPr>
          <w:p w14:paraId="68CC4F99" w14:textId="77777777" w:rsidR="00717C0E" w:rsidRDefault="00717C0E" w:rsidP="00717C0E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275" w:type="dxa"/>
          </w:tcPr>
          <w:p w14:paraId="0116A0A3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ENC</w:t>
            </w:r>
          </w:p>
        </w:tc>
        <w:tc>
          <w:tcPr>
            <w:tcW w:w="2275" w:type="dxa"/>
          </w:tcPr>
          <w:p w14:paraId="5C1D50F3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Não</w:t>
            </w:r>
          </w:p>
        </w:tc>
      </w:tr>
      <w:tr w:rsidR="00A45BF9" w14:paraId="537D7C99" w14:textId="77777777" w:rsidTr="00D0327C">
        <w:tc>
          <w:tcPr>
            <w:tcW w:w="2275" w:type="dxa"/>
            <w:tcBorders>
              <w:bottom w:val="nil"/>
            </w:tcBorders>
          </w:tcPr>
          <w:p w14:paraId="744DD295" w14:textId="77777777" w:rsidR="00A45BF9" w:rsidRDefault="00A45BF9" w:rsidP="00A45BF9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275" w:type="dxa"/>
          </w:tcPr>
          <w:p w14:paraId="68948F58" w14:textId="77777777" w:rsidR="00A45BF9" w:rsidRDefault="00A45BF9" w:rsidP="00A45BF9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75" w:type="dxa"/>
          </w:tcPr>
          <w:p w14:paraId="264C0E7E" w14:textId="77777777" w:rsidR="00A45BF9" w:rsidRPr="00E10CB1" w:rsidRDefault="00717C0E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ENC</w:t>
            </w:r>
          </w:p>
        </w:tc>
        <w:tc>
          <w:tcPr>
            <w:tcW w:w="2275" w:type="dxa"/>
          </w:tcPr>
          <w:p w14:paraId="4ED4C459" w14:textId="77777777" w:rsidR="00A45BF9" w:rsidRPr="00E10CB1" w:rsidRDefault="00717C0E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Sim</w:t>
            </w:r>
          </w:p>
        </w:tc>
      </w:tr>
      <w:tr w:rsidR="00A45BF9" w14:paraId="3228F4FB" w14:textId="77777777" w:rsidTr="00D0327C">
        <w:tc>
          <w:tcPr>
            <w:tcW w:w="2275" w:type="dxa"/>
            <w:tcBorders>
              <w:top w:val="nil"/>
              <w:bottom w:val="single" w:sz="2" w:space="0" w:color="auto"/>
            </w:tcBorders>
          </w:tcPr>
          <w:p w14:paraId="1021D380" w14:textId="77777777" w:rsidR="00A45BF9" w:rsidRPr="004B183D" w:rsidRDefault="004B183D" w:rsidP="00D0327C">
            <w:pPr>
              <w:pStyle w:val="ConfigWindow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2275" w:type="dxa"/>
          </w:tcPr>
          <w:p w14:paraId="7CBB87C6" w14:textId="77777777" w:rsidR="00A45BF9" w:rsidRDefault="00A45BF9" w:rsidP="00A45BF9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275" w:type="dxa"/>
          </w:tcPr>
          <w:p w14:paraId="4154B290" w14:textId="77777777" w:rsidR="00A45BF9" w:rsidRPr="00E10CB1" w:rsidRDefault="00717C0E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ENC</w:t>
            </w:r>
          </w:p>
        </w:tc>
        <w:tc>
          <w:tcPr>
            <w:tcW w:w="2275" w:type="dxa"/>
          </w:tcPr>
          <w:p w14:paraId="69530D0F" w14:textId="77777777" w:rsidR="00A45BF9" w:rsidRPr="00E10CB1" w:rsidRDefault="00717C0E" w:rsidP="00A45BF9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Sim</w:t>
            </w:r>
          </w:p>
        </w:tc>
      </w:tr>
      <w:tr w:rsidR="00717C0E" w14:paraId="70D3FD57" w14:textId="77777777" w:rsidTr="00D0327C">
        <w:tc>
          <w:tcPr>
            <w:tcW w:w="2275" w:type="dxa"/>
            <w:tcBorders>
              <w:bottom w:val="nil"/>
            </w:tcBorders>
          </w:tcPr>
          <w:p w14:paraId="684B16AD" w14:textId="77777777" w:rsidR="00717C0E" w:rsidRDefault="00717C0E" w:rsidP="00717C0E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275" w:type="dxa"/>
          </w:tcPr>
          <w:p w14:paraId="23B1CE5B" w14:textId="77777777" w:rsidR="00717C0E" w:rsidRDefault="00717C0E" w:rsidP="00717C0E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275" w:type="dxa"/>
          </w:tcPr>
          <w:p w14:paraId="774634EC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ENC</w:t>
            </w:r>
          </w:p>
        </w:tc>
        <w:tc>
          <w:tcPr>
            <w:tcW w:w="2275" w:type="dxa"/>
          </w:tcPr>
          <w:p w14:paraId="5B6946F5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Não</w:t>
            </w:r>
          </w:p>
        </w:tc>
      </w:tr>
      <w:tr w:rsidR="00717C0E" w14:paraId="6E30E93F" w14:textId="77777777" w:rsidTr="00D0327C">
        <w:tc>
          <w:tcPr>
            <w:tcW w:w="2275" w:type="dxa"/>
            <w:tcBorders>
              <w:top w:val="nil"/>
            </w:tcBorders>
          </w:tcPr>
          <w:p w14:paraId="0FAAF8BB" w14:textId="77777777" w:rsidR="00717C0E" w:rsidRPr="004B183D" w:rsidRDefault="00717C0E" w:rsidP="00D0327C">
            <w:pPr>
              <w:pStyle w:val="ConfigWindow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2275" w:type="dxa"/>
          </w:tcPr>
          <w:p w14:paraId="2D14D6CE" w14:textId="77777777" w:rsidR="00717C0E" w:rsidRDefault="00717C0E" w:rsidP="00717C0E">
            <w:pPr>
              <w:pStyle w:val="TableText"/>
            </w:pPr>
            <w:r>
              <w:rPr>
                <w:lang w:val="pt-BR"/>
                <w:rFonts/>
              </w:rPr>
              <w:t xml:space="preserve">G0/2</w:t>
            </w:r>
          </w:p>
        </w:tc>
        <w:tc>
          <w:tcPr>
            <w:tcW w:w="2275" w:type="dxa"/>
          </w:tcPr>
          <w:p w14:paraId="13817182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BLK</w:t>
            </w:r>
          </w:p>
        </w:tc>
        <w:tc>
          <w:tcPr>
            <w:tcW w:w="2275" w:type="dxa"/>
          </w:tcPr>
          <w:p w14:paraId="67EC4571" w14:textId="77777777" w:rsidR="00717C0E" w:rsidRPr="00E10CB1" w:rsidRDefault="00717C0E" w:rsidP="00717C0E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Não</w:t>
            </w:r>
          </w:p>
        </w:tc>
      </w:tr>
    </w:tbl>
    <w:p w14:paraId="2ACC9B3E" w14:textId="061ABF7F" w:rsidR="006225C5" w:rsidRDefault="00593DAA" w:rsidP="00B034A2">
      <w:pPr>
        <w:pStyle w:val="BodyTextL25"/>
        <w:spacing w:after="0"/>
      </w:pPr>
      <w:r>
        <w:rPr>
          <w:lang w:val="pt-BR"/>
          <w:rFonts/>
        </w:rPr>
        <w:t xml:space="preserve">O Packet Tracer usa uma luz de link diferente em uma das conexões entre os switches.</w:t>
      </w:r>
    </w:p>
    <w:p w14:paraId="05DDF323" w14:textId="418E4418" w:rsidR="006225C5" w:rsidRDefault="006225C5" w:rsidP="0022293E">
      <w:pPr>
        <w:pStyle w:val="Heading4"/>
      </w:pPr>
      <w:r>
        <w:rPr>
          <w:lang w:val="pt-BR"/>
          <w:rFonts/>
        </w:rPr>
        <w:t xml:space="preserve">Perguntas:</w:t>
      </w:r>
    </w:p>
    <w:p w14:paraId="24A82928" w14:textId="77777777" w:rsidR="00E154A7" w:rsidRDefault="00593DAA" w:rsidP="00E154A7">
      <w:pPr>
        <w:pStyle w:val="BodyTextL25"/>
        <w:spacing w:before="0"/>
      </w:pPr>
      <w:r>
        <w:rPr>
          <w:lang w:val="pt-BR"/>
          <w:rFonts/>
        </w:rPr>
        <w:t xml:space="preserve">O que você acha que esta luz de ligação significa?</w:t>
      </w:r>
    </w:p>
    <w:p w14:paraId="657116FC" w14:textId="4B3115FF" w:rsidR="00E10CB1" w:rsidRDefault="00E154A7" w:rsidP="002229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3E8BC08D" w14:textId="77777777" w:rsidR="00A01118" w:rsidRPr="004C04ED" w:rsidRDefault="00593DAA" w:rsidP="00A01118">
      <w:pPr>
        <w:pStyle w:val="BodyTextL25"/>
      </w:pPr>
      <w:r>
        <w:rPr>
          <w:rStyle w:val="AnswerGray"/>
          <w:lang w:val="pt-BR"/>
          <w:rFonts/>
        </w:rPr>
        <w:t xml:space="preserve">Ele indica que a porta não está encaminhando quadros porque está em um estado de árvore de abrangência, neste caso o estado de bloqueio.</w:t>
      </w:r>
    </w:p>
    <w:p w14:paraId="1266B67F" w14:textId="77777777" w:rsidR="00E10CB1" w:rsidRDefault="00593DAA" w:rsidP="004F7BD9">
      <w:pPr>
        <w:pStyle w:val="BodyTextL25"/>
      </w:pPr>
      <w:r>
        <w:rPr>
          <w:lang w:val="pt-BR"/>
          <w:rFonts/>
        </w:rPr>
        <w:t xml:space="preserve">Qual caminho os quadros tomarão do PC1 para o PC2?</w:t>
      </w:r>
      <w:r>
        <w:rPr>
          <w:lang w:val="pt-BR"/>
          <w:rFonts/>
        </w:rPr>
        <w:t xml:space="preserve"> </w:t>
      </w:r>
    </w:p>
    <w:p w14:paraId="678D45FC" w14:textId="77777777" w:rsidR="00E154A7" w:rsidRDefault="00E154A7" w:rsidP="002229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0973CE60" w14:textId="7AE613A9" w:rsidR="00593DAA" w:rsidRPr="004C04ED" w:rsidRDefault="00593DAA" w:rsidP="004F7BD9">
      <w:pPr>
        <w:pStyle w:val="BodyTextL25"/>
      </w:pPr>
      <w:r>
        <w:rPr>
          <w:rStyle w:val="AnswerGray"/>
          <w:lang w:val="pt-BR"/>
          <w:rFonts/>
        </w:rPr>
        <w:t xml:space="preserve">Eles vão de S1 para S2.</w:t>
      </w:r>
    </w:p>
    <w:p w14:paraId="3AC1011B" w14:textId="3525AD95" w:rsidR="00E10CB1" w:rsidRDefault="00593DAA" w:rsidP="004C04ED">
      <w:pPr>
        <w:pStyle w:val="BodyTextL25"/>
      </w:pPr>
      <w:r>
        <w:rPr>
          <w:lang w:val="pt-BR"/>
          <w:rFonts/>
        </w:rPr>
        <w:t xml:space="preserve">Por que os quadros não viajam pelo S3?</w:t>
      </w:r>
      <w:r>
        <w:rPr>
          <w:lang w:val="pt-BR"/>
          <w:rFonts/>
        </w:rPr>
        <w:t xml:space="preserve"> </w:t>
      </w:r>
    </w:p>
    <w:p w14:paraId="0D67F14E" w14:textId="77777777" w:rsidR="00E154A7" w:rsidRDefault="00E154A7" w:rsidP="002229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1954468C" w14:textId="16F34342" w:rsidR="00593DAA" w:rsidRDefault="004C04ED" w:rsidP="004C04ED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 principal razão é que a árvore de abrangência colocou a porta G0/2 no S3 no modo de bloqueio.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Nenhum quadro é enviado ou recebido nessa porta.</w:t>
      </w:r>
    </w:p>
    <w:p w14:paraId="51232540" w14:textId="67A0E4E5" w:rsidR="00A5761D" w:rsidRDefault="00A5761D" w:rsidP="00A5761D">
      <w:pPr>
        <w:pStyle w:val="BodyTextL25"/>
      </w:pPr>
      <w:r>
        <w:rPr>
          <w:lang w:val="pt-BR"/>
          <w:rFonts/>
        </w:rPr>
        <w:t xml:space="preserve">Por que a árvore de abrangência colocou uma porta no estado de bloqueio?</w:t>
      </w:r>
    </w:p>
    <w:p w14:paraId="227A21CD" w14:textId="426F6B92" w:rsidR="00E154A7" w:rsidRDefault="00E154A7" w:rsidP="0022293E">
      <w:pPr>
        <w:pStyle w:val="AnswerLineL25"/>
      </w:pPr>
      <w:r>
        <w:rPr>
          <w:lang w:val="pt-BR"/>
          <w:rFonts/>
        </w:rPr>
        <w:t xml:space="preserve">Digite suas respostas aqui.</w:t>
      </w:r>
    </w:p>
    <w:p w14:paraId="4C58F186" w14:textId="145ECEEE" w:rsidR="00A5761D" w:rsidRDefault="00E770E1" w:rsidP="00A5761D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Se todas as portas pudessem encaminhar quadros, existiria um loop de switching na rede.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Os loops de comutação podem degradar o desempenho da rede e até causar falha na rede.</w:t>
      </w:r>
    </w:p>
    <w:p w14:paraId="14354253" w14:textId="7EA0A7C3" w:rsidR="004756B5" w:rsidRPr="004756B5" w:rsidRDefault="004756B5" w:rsidP="004756B5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455B4169" w14:textId="4A2C7559" w:rsidR="00394A1C" w:rsidRDefault="00451143" w:rsidP="004756B5">
      <w:pPr>
        <w:pStyle w:val="Heading2"/>
        <w:spacing w:before="120"/>
      </w:pPr>
      <w:r>
        <w:rPr>
          <w:lang w:val="pt-BR"/>
          <w:rFonts/>
        </w:rPr>
        <w:t xml:space="preserve">Observar convergência de árvore de abrangência</w:t>
      </w:r>
    </w:p>
    <w:p w14:paraId="58E927D1" w14:textId="0CF34D54" w:rsidR="00451143" w:rsidRDefault="00451143" w:rsidP="00451143">
      <w:pPr>
        <w:pStyle w:val="Heading3"/>
      </w:pPr>
      <w:r>
        <w:rPr>
          <w:lang w:val="pt-BR"/>
          <w:rFonts/>
        </w:rPr>
        <w:t xml:space="preserve">Remova a conexão entre S1 e S2.</w:t>
      </w:r>
    </w:p>
    <w:p w14:paraId="03A9727E" w14:textId="14139A65" w:rsidR="00451143" w:rsidRDefault="00451143" w:rsidP="004756B5">
      <w:pPr>
        <w:pStyle w:val="SubStepAlpha"/>
        <w:spacing w:after="0"/>
      </w:pPr>
      <w:r>
        <w:rPr>
          <w:lang w:val="pt-BR"/>
          <w:rFonts/>
        </w:rPr>
        <w:t xml:space="preserve">Abra uma janela da CLI no switch S3 e emita o comando </w:t>
      </w:r>
      <w:r>
        <w:rPr>
          <w:b w:val="true"/>
          <w:lang w:val="pt-BR"/>
          <w:rFonts/>
        </w:rPr>
        <w:t xml:space="preserve">show spanning-tree vlan 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Deixe a janela da CLI aberta.</w:t>
      </w:r>
    </w:p>
    <w:p w14:paraId="4F16C0D3" w14:textId="02E35BE1" w:rsidR="004756B5" w:rsidRPr="00451143" w:rsidRDefault="004756B5" w:rsidP="004756B5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1699FF07" w14:textId="77777777" w:rsidR="00451143" w:rsidRDefault="0067229A" w:rsidP="00451143">
      <w:pPr>
        <w:pStyle w:val="SubStepAlpha"/>
      </w:pPr>
      <w:r>
        <w:rPr>
          <w:lang w:val="pt-BR"/>
          <w:rFonts/>
        </w:rPr>
        <w:t xml:space="preserve">Selecione a ferramenta de exclusão na barra de menus e clique no cabo que conecta S1 e S2.</w:t>
      </w:r>
    </w:p>
    <w:p w14:paraId="2CD96C50" w14:textId="77777777" w:rsidR="00451143" w:rsidRDefault="00451143" w:rsidP="00451143">
      <w:pPr>
        <w:pStyle w:val="Heading3"/>
      </w:pPr>
      <w:r>
        <w:rPr>
          <w:lang w:val="pt-BR"/>
          <w:rFonts/>
        </w:rPr>
        <w:t xml:space="preserve">Observe a convergência da árvore de abrangência.</w:t>
      </w:r>
    </w:p>
    <w:p w14:paraId="2C1CF874" w14:textId="077FA2C8" w:rsidR="00451143" w:rsidRDefault="00451143" w:rsidP="00451143">
      <w:pPr>
        <w:pStyle w:val="SubStepAlpha"/>
      </w:pPr>
      <w:r>
        <w:rPr>
          <w:lang w:val="pt-BR"/>
          <w:rFonts/>
        </w:rPr>
        <w:t xml:space="preserve">Retorne rapidamente ao prompt da CLI no switch S3 e emita o comando </w:t>
      </w:r>
      <w:r>
        <w:rPr>
          <w:b w:val="true"/>
          <w:lang w:val="pt-BR"/>
          <w:rFonts/>
        </w:rPr>
        <w:t xml:space="preserve">show spanning-tree vlan 1</w:t>
      </w:r>
      <w:r>
        <w:rPr>
          <w:lang w:val="pt-BR"/>
          <w:rFonts/>
        </w:rPr>
        <w:t xml:space="preserve"> .</w:t>
      </w:r>
    </w:p>
    <w:p w14:paraId="6E74473D" w14:textId="269EB871" w:rsidR="0067229A" w:rsidRDefault="0067229A" w:rsidP="00B034A2">
      <w:pPr>
        <w:pStyle w:val="SubStepAlpha"/>
        <w:spacing w:after="0"/>
      </w:pPr>
      <w:r>
        <w:rPr>
          <w:lang w:val="pt-BR"/>
          <w:rFonts/>
        </w:rPr>
        <w:t xml:space="preserve">Use a tecla de seta para cima para recuperar o comando </w:t>
      </w:r>
      <w:r>
        <w:rPr>
          <w:b w:val="true"/>
          <w:lang w:val="pt-BR"/>
          <w:rFonts/>
        </w:rPr>
        <w:t xml:space="preserve">show spanning-tree vlan 1</w:t>
      </w:r>
      <w:r>
        <w:rPr>
          <w:lang w:val="pt-BR"/>
          <w:rFonts/>
        </w:rPr>
        <w:t xml:space="preserve"> e emita repetidamente até que a luz de link laranja no cabo fique verde.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o status da porta G0/2.</w:t>
      </w:r>
    </w:p>
    <w:p w14:paraId="484EAD82" w14:textId="74734AFC" w:rsidR="00E154A7" w:rsidRDefault="00E154A7" w:rsidP="0022293E">
      <w:pPr>
        <w:pStyle w:val="Heading4"/>
      </w:pPr>
      <w:r>
        <w:rPr>
          <w:lang w:val="pt-BR"/>
          <w:rFonts/>
        </w:rPr>
        <w:t xml:space="preserve">Pergunta:</w:t>
      </w:r>
    </w:p>
    <w:p w14:paraId="5FB6D4D7" w14:textId="77777777" w:rsidR="00E154A7" w:rsidRDefault="0067229A" w:rsidP="0022293E">
      <w:pPr>
        <w:pStyle w:val="BodyTextL50"/>
        <w:spacing w:before="0"/>
      </w:pPr>
      <w:r>
        <w:rPr>
          <w:lang w:val="pt-BR"/>
          <w:rFonts/>
        </w:rPr>
        <w:t xml:space="preserve">O que você vê acontecer com o status da porta G0/2 durante esse processo?</w:t>
      </w:r>
    </w:p>
    <w:p w14:paraId="7DDDEBD6" w14:textId="32169594" w:rsidR="00E10CB1" w:rsidRDefault="00E154A7" w:rsidP="0022293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5AD7A89" w14:textId="77777777" w:rsidR="0067229A" w:rsidRDefault="0067229A" w:rsidP="0067229A">
      <w:pPr>
        <w:pStyle w:val="BodyTextL50"/>
      </w:pPr>
      <w:r>
        <w:rPr>
          <w:rStyle w:val="AnswerGray"/>
          <w:lang w:val="pt-BR"/>
          <w:rFonts/>
        </w:rPr>
        <w:t xml:space="preserve">Primeiro foi BLK, depois tornou-se LSN (escuta), depois LRN (aprendizagem) e, finalmente, FWD para encaminhamento</w:t>
      </w:r>
      <w:r>
        <w:rPr>
          <w:lang w:val="pt-BR"/>
          <w:rFonts/>
        </w:rPr>
        <w:t xml:space="preserve">. </w:t>
      </w:r>
    </w:p>
    <w:p w14:paraId="2B42B51C" w14:textId="77777777" w:rsidR="0067229A" w:rsidRPr="0067229A" w:rsidRDefault="0067229A" w:rsidP="0067229A">
      <w:pPr>
        <w:pStyle w:val="BodyTextL50"/>
      </w:pPr>
      <w:r>
        <w:rPr>
          <w:lang w:val="pt-BR"/>
          <w:rFonts/>
        </w:rPr>
        <w:t xml:space="preserve">Você observou a transição no status da porta que ocorre quando uma porta de árvore de abrangência passa do bloqueio para o estado de encaminhamento.</w:t>
      </w:r>
    </w:p>
    <w:p w14:paraId="392AB6C2" w14:textId="27751008" w:rsidR="005B4B8E" w:rsidRDefault="0067229A" w:rsidP="0067229A">
      <w:pPr>
        <w:pStyle w:val="SubStepAlpha"/>
      </w:pPr>
      <w:r>
        <w:rPr>
          <w:lang w:val="pt-BR"/>
          <w:rFonts/>
        </w:rPr>
        <w:t xml:space="preserve">Verifique a conectividade por ping de PC1 para PC2.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ping deve obter êxito.</w:t>
      </w:r>
    </w:p>
    <w:p w14:paraId="1DB7B7B3" w14:textId="77777777" w:rsidR="00E154A7" w:rsidRDefault="0067229A" w:rsidP="0067229A">
      <w:pPr>
        <w:pStyle w:val="BodyTextL50"/>
      </w:pPr>
      <w:r>
        <w:rPr>
          <w:lang w:val="pt-BR"/>
          <w:rFonts/>
        </w:rPr>
        <w:t xml:space="preserve">Há alguma porta mostrando uma luz de link laranja que indica que a porta está em um estado de árvore de abrangência diferente do encaminhamento?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que usar esse cabo ou por que não usar esse cabo?</w:t>
      </w:r>
    </w:p>
    <w:p w14:paraId="36B2042C" w14:textId="50F4BE66" w:rsidR="00E10CB1" w:rsidRDefault="00E154A7" w:rsidP="0022293E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656E1B3" w14:textId="640C67A1" w:rsidR="0067229A" w:rsidRDefault="00AF16EA" w:rsidP="00E154A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Nenhuma luz de link laranja é mostrada porque eles não são mais caminhos redundantes na rede.</w:t>
      </w:r>
    </w:p>
    <w:p w14:paraId="4AF08399" w14:textId="1F7AC8AC" w:rsidR="004756B5" w:rsidRPr="004756B5" w:rsidRDefault="004756B5" w:rsidP="004756B5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7F8BCC17" w14:textId="6B211825" w:rsidR="00E154A7" w:rsidRPr="0022293E" w:rsidRDefault="00E154A7" w:rsidP="0022293E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E154A7" w:rsidRPr="0022293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DA093" w14:textId="77777777" w:rsidR="00C666D1" w:rsidRDefault="00C666D1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5F5FAE0" w14:textId="77777777" w:rsidR="00C666D1" w:rsidRDefault="00C666D1"/>
  </w:endnote>
  <w:endnote w:type="continuationSeparator" w:id="0">
    <w:p w14:paraId="28C723D9" w14:textId="77777777" w:rsidR="00C666D1" w:rsidRDefault="00C666D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AB71093" w14:textId="77777777" w:rsidR="00C666D1" w:rsidRDefault="00C666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646B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3122" w14:textId="0B87F474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D452E5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266F0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266F0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5B834" w14:textId="58B26986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D452E5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266F0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266F0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4959F" w14:textId="77777777" w:rsidR="00C666D1" w:rsidRDefault="00C666D1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4ECC1CA" w14:textId="77777777" w:rsidR="00C666D1" w:rsidRDefault="00C666D1"/>
  </w:footnote>
  <w:footnote w:type="continuationSeparator" w:id="0">
    <w:p w14:paraId="2627BA7D" w14:textId="77777777" w:rsidR="00C666D1" w:rsidRDefault="00C666D1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D2A01EF" w14:textId="77777777" w:rsidR="00C666D1" w:rsidRDefault="00C666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E42D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EE28A8FB305E43EA9FC9515C05CBCE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59F35B" w14:textId="77777777" w:rsidR="00926CB2" w:rsidRDefault="0022691F" w:rsidP="008402F2">
        <w:pPr>
          <w:pStyle w:val="PageHead"/>
        </w:pPr>
        <w:r>
          <w:rPr>
            <w:lang w:val="pt-BR"/>
            <w:rFonts/>
          </w:rPr>
          <w:t xml:space="preserve">Packet Tracer - Investigar a Prevenção de Loop de STP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CFC8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565103C1" wp14:editId="7D09E3B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srSwMDA2NjY1MDdX0lEKTi0uzszPAykwrAUAJjzcNCwAAAA="/>
  </w:docVars>
  <w:rsids>
    <w:rsidRoot w:val="0022691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E1F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A7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119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6DB2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93E"/>
    <w:rsid w:val="002240AB"/>
    <w:rsid w:val="00225E37"/>
    <w:rsid w:val="0022691F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37A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BB"/>
    <w:rsid w:val="002F45FF"/>
    <w:rsid w:val="002F66D3"/>
    <w:rsid w:val="002F6D17"/>
    <w:rsid w:val="002F791C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4A1C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3E6"/>
    <w:rsid w:val="003E17CA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628"/>
    <w:rsid w:val="004478F4"/>
    <w:rsid w:val="00450F7A"/>
    <w:rsid w:val="00451143"/>
    <w:rsid w:val="00452C6D"/>
    <w:rsid w:val="00455E0B"/>
    <w:rsid w:val="0045724D"/>
    <w:rsid w:val="00457934"/>
    <w:rsid w:val="00462B9F"/>
    <w:rsid w:val="004659EE"/>
    <w:rsid w:val="00473E34"/>
    <w:rsid w:val="004756B5"/>
    <w:rsid w:val="00476BA9"/>
    <w:rsid w:val="00481650"/>
    <w:rsid w:val="004936C2"/>
    <w:rsid w:val="0049379C"/>
    <w:rsid w:val="004952A0"/>
    <w:rsid w:val="004A00DE"/>
    <w:rsid w:val="004A1CA0"/>
    <w:rsid w:val="004A22E9"/>
    <w:rsid w:val="004A4ACD"/>
    <w:rsid w:val="004A506C"/>
    <w:rsid w:val="004A5BC5"/>
    <w:rsid w:val="004B023D"/>
    <w:rsid w:val="004B183D"/>
    <w:rsid w:val="004C04E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BD9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DAA"/>
    <w:rsid w:val="00596998"/>
    <w:rsid w:val="0059790F"/>
    <w:rsid w:val="005A6E62"/>
    <w:rsid w:val="005B2FB3"/>
    <w:rsid w:val="005B46D2"/>
    <w:rsid w:val="005B4B8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5C5"/>
    <w:rsid w:val="00622D61"/>
    <w:rsid w:val="00624198"/>
    <w:rsid w:val="00636C28"/>
    <w:rsid w:val="006428E5"/>
    <w:rsid w:val="00644958"/>
    <w:rsid w:val="006513FB"/>
    <w:rsid w:val="00656EEF"/>
    <w:rsid w:val="006576AF"/>
    <w:rsid w:val="0067229A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7C0E"/>
    <w:rsid w:val="00721E01"/>
    <w:rsid w:val="007222AD"/>
    <w:rsid w:val="007267CF"/>
    <w:rsid w:val="00731F3F"/>
    <w:rsid w:val="007332EE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DD5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244E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118"/>
    <w:rsid w:val="00A014A3"/>
    <w:rsid w:val="00A027CC"/>
    <w:rsid w:val="00A0412D"/>
    <w:rsid w:val="00A15DF0"/>
    <w:rsid w:val="00A21211"/>
    <w:rsid w:val="00A27703"/>
    <w:rsid w:val="00A30F8A"/>
    <w:rsid w:val="00A33890"/>
    <w:rsid w:val="00A34E7F"/>
    <w:rsid w:val="00A45BF9"/>
    <w:rsid w:val="00A46F0A"/>
    <w:rsid w:val="00A46F25"/>
    <w:rsid w:val="00A47CC2"/>
    <w:rsid w:val="00A502BA"/>
    <w:rsid w:val="00A5761D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7820"/>
    <w:rsid w:val="00A807C1"/>
    <w:rsid w:val="00A82658"/>
    <w:rsid w:val="00A83374"/>
    <w:rsid w:val="00A96172"/>
    <w:rsid w:val="00A96D52"/>
    <w:rsid w:val="00A97C5F"/>
    <w:rsid w:val="00AB0D6A"/>
    <w:rsid w:val="00AB30A7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5BB1"/>
    <w:rsid w:val="00AF16EA"/>
    <w:rsid w:val="00AF7ACC"/>
    <w:rsid w:val="00B00914"/>
    <w:rsid w:val="00B02A8E"/>
    <w:rsid w:val="00B034A2"/>
    <w:rsid w:val="00B052EE"/>
    <w:rsid w:val="00B1081F"/>
    <w:rsid w:val="00B2496B"/>
    <w:rsid w:val="00B27499"/>
    <w:rsid w:val="00B3010D"/>
    <w:rsid w:val="00B35151"/>
    <w:rsid w:val="00B433F2"/>
    <w:rsid w:val="00B44820"/>
    <w:rsid w:val="00B458E8"/>
    <w:rsid w:val="00B5397B"/>
    <w:rsid w:val="00B53EE9"/>
    <w:rsid w:val="00B612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1833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66D1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C9A"/>
    <w:rsid w:val="00CD40B1"/>
    <w:rsid w:val="00CD7F73"/>
    <w:rsid w:val="00CE0E22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327C"/>
    <w:rsid w:val="00D06107"/>
    <w:rsid w:val="00D139C8"/>
    <w:rsid w:val="00D17F81"/>
    <w:rsid w:val="00D2758C"/>
    <w:rsid w:val="00D275CA"/>
    <w:rsid w:val="00D2789B"/>
    <w:rsid w:val="00D345AB"/>
    <w:rsid w:val="00D41566"/>
    <w:rsid w:val="00D452E5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1DBF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0CB1"/>
    <w:rsid w:val="00E11A48"/>
    <w:rsid w:val="00E130EB"/>
    <w:rsid w:val="00E154A7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0E1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01C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BBA40"/>
  <w15:docId w15:val="{C22ACF4B-1E21-4ABB-89CF-7AD9C9FC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154A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4756B5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B034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756B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452E5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034A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B034A2"/>
    <w:rPr>
      <w:rFonts w:eastAsia="Times New Roman"/>
      <w:bCs/>
      <w:color w:val="FFFFFF" w:themeColor="background1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wlc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28A8FB305E43EA9FC9515C05CBC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5F1F-4624-428E-969F-2E6E7432D701}"/>
      </w:docPartPr>
      <w:docPartBody>
        <w:p w:rsidR="00871E96" w:rsidRDefault="00BA502A">
          <w:pPr>
            <w:pStyle w:val="EE28A8FB305E43EA9FC9515C05CBCE69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2A"/>
    <w:rsid w:val="00031734"/>
    <w:rsid w:val="0014469F"/>
    <w:rsid w:val="00660A99"/>
    <w:rsid w:val="00871372"/>
    <w:rsid w:val="00871E96"/>
    <w:rsid w:val="009D2DB1"/>
    <w:rsid w:val="00BA502A"/>
    <w:rsid w:val="00F5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E28A8FB305E43EA9FC9515C05CBCE69">
    <w:name w:val="EE28A8FB305E43EA9FC9515C05CBC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BC740F-962D-48EC-B6AC-63849C10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STP Loop Prevention</vt:lpstr>
    </vt:vector>
  </TitlesOfParts>
  <Company>Cisco Systems, Inc.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Investigar a Prevenção de Loop de STP</dc:title>
  <dc:creator>Martin Benson</dc:creator>
  <cp:keywords/>
  <dc:description>2019</dc:description>
  <cp:lastModifiedBy>Suk-Yi Pennock -X (spennock - UNICON INC at Cisco)</cp:lastModifiedBy>
  <cp:revision>11</cp:revision>
  <cp:lastPrinted>2019-10-22T18:46:00Z</cp:lastPrinted>
  <dcterms:created xsi:type="dcterms:W3CDTF">2019-10-22T18:31:00Z</dcterms:created>
  <dcterms:modified xsi:type="dcterms:W3CDTF">2019-12-02T15:31:00Z</dcterms:modified>
</cp:coreProperties>
</file>